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11"/>
        </w:rPr>
      </w:pPr>
    </w:p>
    <w:p>
      <w:pPr>
        <w:pStyle w:val="BodyText"/>
        <w:ind w:left="2852"/>
        <w:rPr>
          <w:rFonts w:ascii="Times New Roman"/>
          <w:sz w:val="20"/>
        </w:rPr>
      </w:pPr>
      <w:r>
        <w:rPr>
          <w:rFonts w:ascii="Times New Roman"/>
          <w:sz w:val="20"/>
        </w:rPr>
        <w:drawing>
          <wp:inline distT="0" distB="0" distL="0" distR="0">
            <wp:extent cx="4046969" cy="2816352"/>
            <wp:effectExtent l="0" t="0" r="0" b="0"/>
            <wp:docPr id="3" name="image4.png"/>
            <wp:cNvGraphicFramePr>
              <a:graphicFrameLocks noChangeAspect="1"/>
            </wp:cNvGraphicFramePr>
            <a:graphic>
              <a:graphicData uri="http://schemas.openxmlformats.org/drawingml/2006/picture">
                <pic:pic>
                  <pic:nvPicPr>
                    <pic:cNvPr id="4" name="image4.png"/>
                    <pic:cNvPicPr/>
                  </pic:nvPicPr>
                  <pic:blipFill>
                    <a:blip r:embed="rId7" cstate="print"/>
                    <a:stretch>
                      <a:fillRect/>
                    </a:stretch>
                  </pic:blipFill>
                  <pic:spPr>
                    <a:xfrm>
                      <a:off x="0" y="0"/>
                      <a:ext cx="4046969" cy="2816352"/>
                    </a:xfrm>
                    <a:prstGeom prst="rect">
                      <a:avLst/>
                    </a:prstGeom>
                  </pic:spPr>
                </pic:pic>
              </a:graphicData>
            </a:graphic>
          </wp:inline>
        </w:drawing>
      </w:r>
      <w:r>
        <w:rPr>
          <w:rFonts w:ascii="Times New Roman"/>
          <w:sz w:val="20"/>
        </w:rPr>
      </w:r>
    </w:p>
    <w:p>
      <w:pPr>
        <w:spacing w:after="0"/>
        <w:rPr>
          <w:rFonts w:ascii="Times New Roman"/>
          <w:sz w:val="20"/>
        </w:rPr>
        <w:sectPr>
          <w:headerReference w:type="default" r:id="rId5"/>
          <w:footerReference w:type="default" r:id="rId6"/>
          <w:type w:val="continuous"/>
          <w:pgSz w:w="12240" w:h="15840"/>
          <w:pgMar w:header="178" w:footer="1076" w:top="1120" w:bottom="1260" w:left="460" w:right="220"/>
          <w:pgNumType w:start="1"/>
        </w:sectPr>
      </w:pPr>
    </w:p>
    <w:p>
      <w:pPr>
        <w:pStyle w:val="BodyText"/>
        <w:rPr>
          <w:rFonts w:ascii="Times New Roman"/>
          <w:sz w:val="20"/>
        </w:rPr>
      </w:pPr>
    </w:p>
    <w:p>
      <w:pPr>
        <w:pStyle w:val="BodyText"/>
        <w:rPr>
          <w:rFonts w:ascii="Times New Roman"/>
          <w:sz w:val="24"/>
        </w:rPr>
      </w:pPr>
    </w:p>
    <w:p>
      <w:pPr>
        <w:pStyle w:val="Heading4"/>
      </w:pPr>
      <w:r>
        <w:rPr>
          <w:color w:val="3D3D3D"/>
        </w:rPr>
        <w:t>Contenido</w:t>
      </w:r>
    </w:p>
    <w:sdt>
      <w:sdtPr>
        <w:docPartObj>
          <w:docPartGallery w:val="Table of Contents"/>
          <w:docPartUnique/>
        </w:docPartObj>
      </w:sdtPr>
      <w:sdtEndPr/>
      <w:sdtContent>
        <w:p>
          <w:pPr>
            <w:pStyle w:val="TOC1"/>
            <w:tabs>
              <w:tab w:pos="10389" w:val="right" w:leader="dot"/>
            </w:tabs>
            <w:spacing w:before="401"/>
            <w:rPr>
              <w:u w:val="none"/>
            </w:rPr>
          </w:pPr>
          <w:hyperlink w:history="true" w:anchor="_bookmark0">
            <w:r>
              <w:rPr>
                <w:u w:val="single"/>
              </w:rPr>
              <w:t>PRESENTACIÓN</w:t>
            </w:r>
            <w:r>
              <w:rPr>
                <w:u w:val="none"/>
              </w:rPr>
              <w:tab/>
            </w:r>
            <w:r>
              <w:rPr>
                <w:u w:val="single"/>
              </w:rPr>
              <w:t>6</w:t>
            </w:r>
          </w:hyperlink>
        </w:p>
        <w:p>
          <w:pPr>
            <w:pStyle w:val="TOC1"/>
            <w:tabs>
              <w:tab w:pos="10389" w:val="right" w:leader="dot"/>
            </w:tabs>
            <w:spacing w:before="359"/>
            <w:rPr>
              <w:u w:val="none"/>
            </w:rPr>
          </w:pPr>
          <w:hyperlink w:history="true" w:anchor="_bookmark1">
            <w:r>
              <w:rPr>
                <w:u w:val="single"/>
              </w:rPr>
              <w:t>INTRODUCCIÓN</w:t>
            </w:r>
            <w:r>
              <w:rPr>
                <w:u w:val="none"/>
              </w:rPr>
              <w:tab/>
            </w:r>
            <w:r>
              <w:rPr>
                <w:u w:val="single"/>
              </w:rPr>
              <w:t>10</w:t>
            </w:r>
          </w:hyperlink>
        </w:p>
        <w:p>
          <w:pPr>
            <w:pStyle w:val="TOC1"/>
            <w:tabs>
              <w:tab w:pos="10389" w:val="right" w:leader="dot"/>
            </w:tabs>
            <w:spacing w:before="362"/>
            <w:rPr>
              <w:u w:val="none"/>
            </w:rPr>
          </w:pPr>
          <w:hyperlink w:history="true" w:anchor="_bookmark2">
            <w:r>
              <w:rPr>
                <w:u w:val="single"/>
              </w:rPr>
              <w:t>VISIÓN</w:t>
            </w:r>
            <w:r>
              <w:rPr>
                <w:u w:val="none"/>
              </w:rPr>
              <w:tab/>
            </w:r>
            <w:r>
              <w:rPr>
                <w:u w:val="single"/>
              </w:rPr>
              <w:t>11</w:t>
            </w:r>
          </w:hyperlink>
        </w:p>
        <w:p>
          <w:pPr>
            <w:pStyle w:val="TOC1"/>
            <w:tabs>
              <w:tab w:pos="10389" w:val="right" w:leader="dot"/>
            </w:tabs>
            <w:rPr>
              <w:u w:val="none"/>
            </w:rPr>
          </w:pPr>
          <w:hyperlink w:history="true" w:anchor="_bookmark3">
            <w:r>
              <w:rPr>
                <w:u w:val="single"/>
              </w:rPr>
              <w:t>MISIÓN</w:t>
            </w:r>
            <w:r>
              <w:rPr>
                <w:u w:val="none"/>
              </w:rPr>
              <w:tab/>
            </w:r>
            <w:r>
              <w:rPr>
                <w:u w:val="single"/>
              </w:rPr>
              <w:t>13</w:t>
            </w:r>
          </w:hyperlink>
        </w:p>
        <w:p>
          <w:pPr>
            <w:pStyle w:val="TOC1"/>
            <w:tabs>
              <w:tab w:pos="10389" w:val="right" w:leader="dot"/>
            </w:tabs>
            <w:spacing w:before="359"/>
            <w:rPr>
              <w:u w:val="none"/>
            </w:rPr>
          </w:pPr>
          <w:hyperlink w:history="true" w:anchor="_bookmark4">
            <w:r>
              <w:rPr>
                <w:u w:val="single"/>
              </w:rPr>
              <w:t>ANTECEDENTES</w:t>
            </w:r>
            <w:r>
              <w:rPr>
                <w:spacing w:val="-1"/>
                <w:u w:val="single"/>
              </w:rPr>
              <w:t> </w:t>
            </w:r>
            <w:r>
              <w:rPr>
                <w:u w:val="single"/>
              </w:rPr>
              <w:t>HISTÓRICOS</w:t>
            </w:r>
            <w:r>
              <w:rPr>
                <w:u w:val="none"/>
              </w:rPr>
              <w:tab/>
            </w:r>
            <w:r>
              <w:rPr>
                <w:u w:val="single"/>
              </w:rPr>
              <w:t>14</w:t>
            </w:r>
          </w:hyperlink>
        </w:p>
        <w:p>
          <w:pPr>
            <w:pStyle w:val="TOC1"/>
            <w:numPr>
              <w:ilvl w:val="0"/>
              <w:numId w:val="1"/>
            </w:numPr>
            <w:tabs>
              <w:tab w:pos="1123" w:val="left" w:leader="none"/>
              <w:tab w:pos="10389" w:val="right" w:leader="dot"/>
            </w:tabs>
            <w:spacing w:line="240" w:lineRule="auto" w:before="361" w:after="0"/>
            <w:ind w:left="1122" w:right="0" w:hanging="222"/>
            <w:jc w:val="left"/>
            <w:rPr>
              <w:u w:val="none"/>
            </w:rPr>
          </w:pPr>
          <w:hyperlink w:history="true" w:anchor="_bookmark5">
            <w:r>
              <w:rPr>
                <w:u w:val="single"/>
              </w:rPr>
              <w:t>CONSULTA</w:t>
            </w:r>
            <w:r>
              <w:rPr>
                <w:spacing w:val="-2"/>
                <w:u w:val="single"/>
              </w:rPr>
              <w:t> </w:t>
            </w:r>
            <w:r>
              <w:rPr>
                <w:u w:val="single"/>
              </w:rPr>
              <w:t>CIUDADANA</w:t>
            </w:r>
            <w:r>
              <w:rPr>
                <w:u w:val="none"/>
              </w:rPr>
              <w:tab/>
            </w:r>
            <w:r>
              <w:rPr>
                <w:u w:val="single"/>
              </w:rPr>
              <w:t>18</w:t>
            </w:r>
          </w:hyperlink>
        </w:p>
        <w:p>
          <w:pPr>
            <w:pStyle w:val="TOC1"/>
            <w:numPr>
              <w:ilvl w:val="0"/>
              <w:numId w:val="1"/>
            </w:numPr>
            <w:tabs>
              <w:tab w:pos="1175" w:val="left" w:leader="none"/>
              <w:tab w:pos="10389" w:val="right" w:leader="dot"/>
            </w:tabs>
            <w:spacing w:line="240" w:lineRule="auto" w:before="359" w:after="0"/>
            <w:ind w:left="1174" w:right="0" w:hanging="274"/>
            <w:jc w:val="left"/>
            <w:rPr>
              <w:u w:val="none"/>
            </w:rPr>
          </w:pPr>
          <w:hyperlink w:history="true" w:anchor="_TOC_250000">
            <w:r>
              <w:rPr>
                <w:u w:val="single"/>
              </w:rPr>
              <w:t>DESARROLLO SOSTENIBLE</w:t>
            </w:r>
            <w:r>
              <w:rPr>
                <w:spacing w:val="4"/>
                <w:u w:val="single"/>
              </w:rPr>
              <w:t> </w:t>
            </w:r>
            <w:r>
              <w:rPr>
                <w:u w:val="single"/>
              </w:rPr>
              <w:t>DEL</w:t>
            </w:r>
            <w:r>
              <w:rPr>
                <w:spacing w:val="-1"/>
                <w:u w:val="single"/>
              </w:rPr>
              <w:t> </w:t>
            </w:r>
            <w:r>
              <w:rPr>
                <w:u w:val="single"/>
              </w:rPr>
              <w:t>TERRITORIO</w:t>
            </w:r>
            <w:r>
              <w:rPr>
                <w:u w:val="none"/>
              </w:rPr>
              <w:tab/>
            </w:r>
            <w:r>
              <w:rPr>
                <w:u w:val="single"/>
              </w:rPr>
              <w:t>27</w:t>
            </w:r>
          </w:hyperlink>
        </w:p>
        <w:p>
          <w:pPr>
            <w:pStyle w:val="TOC1"/>
            <w:numPr>
              <w:ilvl w:val="1"/>
              <w:numId w:val="1"/>
            </w:numPr>
            <w:tabs>
              <w:tab w:pos="1223" w:val="left" w:leader="none"/>
              <w:tab w:pos="10389" w:val="right" w:leader="dot"/>
            </w:tabs>
            <w:spacing w:line="240" w:lineRule="auto" w:before="360" w:after="0"/>
            <w:ind w:left="1222" w:right="0" w:hanging="322"/>
            <w:jc w:val="left"/>
            <w:rPr>
              <w:u w:val="none"/>
            </w:rPr>
          </w:pPr>
          <w:hyperlink w:history="true" w:anchor="_bookmark6">
            <w:r>
              <w:rPr>
                <w:u w:val="none"/>
              </w:rPr>
              <w:t>COMPONENTE</w:t>
            </w:r>
            <w:r>
              <w:rPr>
                <w:spacing w:val="-9"/>
                <w:u w:val="none"/>
              </w:rPr>
              <w:t> </w:t>
            </w:r>
            <w:r>
              <w:rPr>
                <w:u w:val="none"/>
              </w:rPr>
              <w:t>DE</w:t>
            </w:r>
            <w:r>
              <w:rPr>
                <w:spacing w:val="-9"/>
                <w:u w:val="none"/>
              </w:rPr>
              <w:t> </w:t>
            </w:r>
            <w:r>
              <w:rPr>
                <w:u w:val="none"/>
              </w:rPr>
              <w:t>DIAGNÓSTICO</w:t>
              <w:tab/>
              <w:t>27</w:t>
            </w:r>
          </w:hyperlink>
        </w:p>
        <w:p>
          <w:pPr>
            <w:pStyle w:val="TOC1"/>
            <w:tabs>
              <w:tab w:pos="10389" w:val="right" w:leader="dot"/>
            </w:tabs>
            <w:spacing w:before="2"/>
            <w:rPr>
              <w:u w:val="none"/>
            </w:rPr>
          </w:pPr>
          <w:hyperlink w:history="true" w:anchor="_bookmark7">
            <w:r>
              <w:rPr>
                <w:u w:val="none"/>
              </w:rPr>
              <w:t>1.2</w:t>
            </w:r>
            <w:r>
              <w:rPr>
                <w:spacing w:val="-9"/>
                <w:u w:val="none"/>
              </w:rPr>
              <w:t> </w:t>
            </w:r>
            <w:r>
              <w:rPr>
                <w:u w:val="none"/>
              </w:rPr>
              <w:t>COMPONENTE</w:t>
            </w:r>
            <w:r>
              <w:rPr>
                <w:spacing w:val="-8"/>
                <w:u w:val="none"/>
              </w:rPr>
              <w:t> </w:t>
            </w:r>
            <w:r>
              <w:rPr>
                <w:u w:val="none"/>
              </w:rPr>
              <w:t>ESTRATÉGICO</w:t>
              <w:tab/>
              <w:t>43</w:t>
            </w:r>
          </w:hyperlink>
        </w:p>
        <w:p>
          <w:pPr>
            <w:pStyle w:val="TOC1"/>
            <w:numPr>
              <w:ilvl w:val="1"/>
              <w:numId w:val="2"/>
            </w:numPr>
            <w:tabs>
              <w:tab w:pos="1233" w:val="left" w:leader="none"/>
              <w:tab w:pos="10389" w:val="right" w:leader="dot"/>
            </w:tabs>
            <w:spacing w:line="240" w:lineRule="auto" w:before="359" w:after="0"/>
            <w:ind w:left="1232" w:right="0" w:hanging="332"/>
            <w:jc w:val="left"/>
            <w:rPr>
              <w:u w:val="none"/>
            </w:rPr>
          </w:pPr>
          <w:hyperlink w:history="true" w:anchor="_bookmark8">
            <w:r>
              <w:rPr>
                <w:u w:val="single"/>
              </w:rPr>
              <w:t>DESARROLLO</w:t>
            </w:r>
            <w:r>
              <w:rPr>
                <w:spacing w:val="2"/>
                <w:u w:val="single"/>
              </w:rPr>
              <w:t> </w:t>
            </w:r>
            <w:r>
              <w:rPr>
                <w:u w:val="single"/>
              </w:rPr>
              <w:t>SOCIAL</w:t>
            </w:r>
            <w:r>
              <w:rPr>
                <w:u w:val="none"/>
              </w:rPr>
              <w:tab/>
            </w:r>
            <w:r>
              <w:rPr>
                <w:u w:val="single"/>
              </w:rPr>
              <w:t>54</w:t>
            </w:r>
          </w:hyperlink>
        </w:p>
        <w:p>
          <w:pPr>
            <w:pStyle w:val="TOC1"/>
            <w:numPr>
              <w:ilvl w:val="1"/>
              <w:numId w:val="2"/>
            </w:numPr>
            <w:tabs>
              <w:tab w:pos="1223" w:val="left" w:leader="none"/>
              <w:tab w:pos="10389" w:val="right" w:leader="dot"/>
            </w:tabs>
            <w:spacing w:line="245" w:lineRule="exact" w:before="360" w:after="0"/>
            <w:ind w:left="1222" w:right="0" w:hanging="322"/>
            <w:jc w:val="left"/>
            <w:rPr>
              <w:u w:val="none"/>
            </w:rPr>
          </w:pPr>
          <w:hyperlink w:history="true" w:anchor="_bookmark9">
            <w:r>
              <w:rPr>
                <w:u w:val="none"/>
              </w:rPr>
              <w:t>COMPONENTE</w:t>
            </w:r>
            <w:r>
              <w:rPr>
                <w:spacing w:val="-9"/>
                <w:u w:val="none"/>
              </w:rPr>
              <w:t> </w:t>
            </w:r>
            <w:r>
              <w:rPr>
                <w:u w:val="none"/>
              </w:rPr>
              <w:t>DE</w:t>
            </w:r>
            <w:r>
              <w:rPr>
                <w:spacing w:val="-9"/>
                <w:u w:val="none"/>
              </w:rPr>
              <w:t> </w:t>
            </w:r>
            <w:r>
              <w:rPr>
                <w:u w:val="none"/>
              </w:rPr>
              <w:t>DIAGNOSTICO</w:t>
              <w:tab/>
              <w:t>54</w:t>
            </w:r>
          </w:hyperlink>
        </w:p>
        <w:p>
          <w:pPr>
            <w:pStyle w:val="TOC1"/>
            <w:numPr>
              <w:ilvl w:val="1"/>
              <w:numId w:val="2"/>
            </w:numPr>
            <w:tabs>
              <w:tab w:pos="1223" w:val="left" w:leader="none"/>
              <w:tab w:pos="10389" w:val="right" w:leader="dot"/>
            </w:tabs>
            <w:spacing w:line="245" w:lineRule="exact" w:before="0" w:after="0"/>
            <w:ind w:left="1222" w:right="0" w:hanging="322"/>
            <w:jc w:val="left"/>
            <w:rPr>
              <w:u w:val="none"/>
            </w:rPr>
          </w:pPr>
          <w:hyperlink w:history="true" w:anchor="_bookmark10">
            <w:r>
              <w:rPr>
                <w:u w:val="none"/>
              </w:rPr>
              <w:t>COMPONENTE</w:t>
            </w:r>
            <w:r>
              <w:rPr>
                <w:spacing w:val="-9"/>
                <w:u w:val="none"/>
              </w:rPr>
              <w:t> </w:t>
            </w:r>
            <w:r>
              <w:rPr>
                <w:u w:val="none"/>
              </w:rPr>
              <w:t>ESTRATEGICO</w:t>
              <w:tab/>
              <w:t>77</w:t>
            </w:r>
          </w:hyperlink>
        </w:p>
        <w:p>
          <w:pPr>
            <w:pStyle w:val="TOC1"/>
            <w:numPr>
              <w:ilvl w:val="1"/>
              <w:numId w:val="3"/>
            </w:numPr>
            <w:tabs>
              <w:tab w:pos="1233" w:val="left" w:leader="none"/>
              <w:tab w:pos="10389" w:val="right" w:leader="dot"/>
            </w:tabs>
            <w:spacing w:line="240" w:lineRule="auto" w:before="360" w:after="0"/>
            <w:ind w:left="1232" w:right="0" w:hanging="332"/>
            <w:jc w:val="left"/>
            <w:rPr>
              <w:u w:val="none"/>
            </w:rPr>
          </w:pPr>
          <w:hyperlink w:history="true" w:anchor="_bookmark11">
            <w:r>
              <w:rPr>
                <w:u w:val="single"/>
              </w:rPr>
              <w:t>GOBIERNO Y ESTADO</w:t>
            </w:r>
            <w:r>
              <w:rPr>
                <w:spacing w:val="1"/>
                <w:u w:val="single"/>
              </w:rPr>
              <w:t> </w:t>
            </w:r>
            <w:r>
              <w:rPr>
                <w:u w:val="single"/>
              </w:rPr>
              <w:t>DE</w:t>
            </w:r>
            <w:r>
              <w:rPr>
                <w:spacing w:val="1"/>
                <w:u w:val="single"/>
              </w:rPr>
              <w:t> </w:t>
            </w:r>
            <w:r>
              <w:rPr>
                <w:u w:val="single"/>
              </w:rPr>
              <w:t>DERECHO</w:t>
            </w:r>
            <w:r>
              <w:rPr>
                <w:u w:val="none"/>
              </w:rPr>
              <w:tab/>
            </w:r>
            <w:r>
              <w:rPr>
                <w:u w:val="single"/>
              </w:rPr>
              <w:t>85</w:t>
            </w:r>
          </w:hyperlink>
        </w:p>
        <w:p>
          <w:pPr>
            <w:pStyle w:val="TOC1"/>
            <w:numPr>
              <w:ilvl w:val="1"/>
              <w:numId w:val="3"/>
            </w:numPr>
            <w:tabs>
              <w:tab w:pos="1223" w:val="left" w:leader="none"/>
              <w:tab w:pos="10389" w:val="right" w:leader="dot"/>
            </w:tabs>
            <w:spacing w:line="245" w:lineRule="exact" w:before="362" w:after="0"/>
            <w:ind w:left="1222" w:right="0" w:hanging="322"/>
            <w:jc w:val="left"/>
            <w:rPr>
              <w:u w:val="none"/>
            </w:rPr>
          </w:pPr>
          <w:hyperlink w:history="true" w:anchor="_bookmark12">
            <w:r>
              <w:rPr>
                <w:u w:val="none"/>
              </w:rPr>
              <w:t>COMPONENTE</w:t>
            </w:r>
            <w:r>
              <w:rPr>
                <w:spacing w:val="-9"/>
                <w:u w:val="none"/>
              </w:rPr>
              <w:t> </w:t>
            </w:r>
            <w:r>
              <w:rPr>
                <w:u w:val="none"/>
              </w:rPr>
              <w:t>DIAGNOSTICO</w:t>
              <w:tab/>
              <w:t>85</w:t>
            </w:r>
          </w:hyperlink>
        </w:p>
        <w:p>
          <w:pPr>
            <w:pStyle w:val="TOC1"/>
            <w:numPr>
              <w:ilvl w:val="1"/>
              <w:numId w:val="3"/>
            </w:numPr>
            <w:tabs>
              <w:tab w:pos="1223" w:val="left" w:leader="none"/>
              <w:tab w:pos="10389" w:val="right" w:leader="dot"/>
            </w:tabs>
            <w:spacing w:line="245" w:lineRule="exact" w:before="0" w:after="0"/>
            <w:ind w:left="1222" w:right="0" w:hanging="322"/>
            <w:jc w:val="left"/>
            <w:rPr>
              <w:u w:val="none"/>
            </w:rPr>
          </w:pPr>
          <w:hyperlink w:history="true" w:anchor="_bookmark13">
            <w:r>
              <w:rPr>
                <w:u w:val="none"/>
              </w:rPr>
              <w:t>COMPONENTE</w:t>
            </w:r>
            <w:r>
              <w:rPr>
                <w:spacing w:val="-9"/>
                <w:u w:val="none"/>
              </w:rPr>
              <w:t> </w:t>
            </w:r>
            <w:r>
              <w:rPr>
                <w:u w:val="none"/>
              </w:rPr>
              <w:t>ESTRATÉGICO</w:t>
              <w:tab/>
              <w:t>98</w:t>
            </w:r>
          </w:hyperlink>
        </w:p>
        <w:p>
          <w:pPr>
            <w:pStyle w:val="TOC1"/>
            <w:tabs>
              <w:tab w:pos="10387" w:val="right" w:leader="dot"/>
            </w:tabs>
            <w:rPr>
              <w:u w:val="none"/>
            </w:rPr>
          </w:pPr>
          <w:hyperlink w:history="true" w:anchor="_bookmark14">
            <w:r>
              <w:rPr>
                <w:u w:val="single"/>
              </w:rPr>
              <w:t>5.0</w:t>
            </w:r>
            <w:r>
              <w:rPr>
                <w:spacing w:val="1"/>
                <w:u w:val="single"/>
              </w:rPr>
              <w:t> </w:t>
            </w:r>
            <w:r>
              <w:rPr>
                <w:u w:val="single"/>
              </w:rPr>
              <w:t>DESARROLLO ECONOMICO</w:t>
            </w:r>
            <w:r>
              <w:rPr>
                <w:u w:val="none"/>
              </w:rPr>
              <w:tab/>
            </w:r>
            <w:r>
              <w:rPr>
                <w:u w:val="single"/>
              </w:rPr>
              <w:t>101</w:t>
            </w:r>
          </w:hyperlink>
        </w:p>
        <w:p>
          <w:pPr>
            <w:pStyle w:val="TOC1"/>
            <w:tabs>
              <w:tab w:pos="10387" w:val="right" w:leader="dot"/>
            </w:tabs>
            <w:spacing w:line="245" w:lineRule="exact" w:before="359"/>
            <w:rPr>
              <w:u w:val="none"/>
            </w:rPr>
          </w:pPr>
          <w:hyperlink w:history="true" w:anchor="_bookmark15">
            <w:r>
              <w:rPr>
                <w:u w:val="none"/>
              </w:rPr>
              <w:t>5.1.  COMPONENTE</w:t>
            </w:r>
            <w:r>
              <w:rPr>
                <w:spacing w:val="-31"/>
                <w:u w:val="none"/>
              </w:rPr>
              <w:t> </w:t>
            </w:r>
            <w:r>
              <w:rPr>
                <w:u w:val="none"/>
              </w:rPr>
              <w:t>DE</w:t>
            </w:r>
            <w:r>
              <w:rPr>
                <w:spacing w:val="-9"/>
                <w:u w:val="none"/>
              </w:rPr>
              <w:t> </w:t>
            </w:r>
            <w:r>
              <w:rPr>
                <w:u w:val="none"/>
              </w:rPr>
              <w:t>DIAGNÓSTICO</w:t>
              <w:tab/>
              <w:t>101</w:t>
            </w:r>
          </w:hyperlink>
        </w:p>
        <w:p>
          <w:pPr>
            <w:pStyle w:val="TOC1"/>
            <w:tabs>
              <w:tab w:pos="10387" w:val="right" w:leader="dot"/>
            </w:tabs>
            <w:spacing w:line="245" w:lineRule="exact" w:before="0"/>
            <w:rPr>
              <w:u w:val="none"/>
            </w:rPr>
          </w:pPr>
          <w:hyperlink w:history="true" w:anchor="_bookmark16">
            <w:r>
              <w:rPr>
                <w:u w:val="none"/>
              </w:rPr>
              <w:t>5.2</w:t>
            </w:r>
            <w:r>
              <w:rPr>
                <w:spacing w:val="-9"/>
                <w:u w:val="none"/>
              </w:rPr>
              <w:t> </w:t>
            </w:r>
            <w:r>
              <w:rPr>
                <w:u w:val="none"/>
              </w:rPr>
              <w:t>COMPONENTE</w:t>
            </w:r>
            <w:r>
              <w:rPr>
                <w:spacing w:val="-8"/>
                <w:u w:val="none"/>
              </w:rPr>
              <w:t> </w:t>
            </w:r>
            <w:r>
              <w:rPr>
                <w:u w:val="none"/>
              </w:rPr>
              <w:t>ESTRATÉGICO</w:t>
              <w:tab/>
              <w:t>139</w:t>
            </w:r>
          </w:hyperlink>
        </w:p>
        <w:p>
          <w:pPr>
            <w:pStyle w:val="TOC1"/>
            <w:tabs>
              <w:tab w:pos="10387" w:val="right" w:leader="dot"/>
            </w:tabs>
            <w:rPr>
              <w:u w:val="none"/>
            </w:rPr>
          </w:pPr>
          <w:hyperlink w:history="true" w:anchor="_bookmark17">
            <w:r>
              <w:rPr>
                <w:u w:val="single"/>
              </w:rPr>
              <w:t>6.</w:t>
            </w:r>
            <w:r>
              <w:rPr>
                <w:spacing w:val="-4"/>
                <w:u w:val="single"/>
              </w:rPr>
              <w:t> </w:t>
            </w:r>
            <w:r>
              <w:rPr>
                <w:u w:val="single"/>
              </w:rPr>
              <w:t>INDICADORES</w:t>
            </w:r>
            <w:r>
              <w:rPr>
                <w:u w:val="none"/>
              </w:rPr>
              <w:tab/>
            </w:r>
            <w:r>
              <w:rPr>
                <w:u w:val="single"/>
              </w:rPr>
              <w:t>146</w:t>
            </w:r>
          </w:hyperlink>
        </w:p>
        <w:p>
          <w:pPr>
            <w:pStyle w:val="TOC1"/>
            <w:tabs>
              <w:tab w:pos="10387" w:val="right" w:leader="dot"/>
            </w:tabs>
            <w:spacing w:before="362"/>
            <w:rPr>
              <w:u w:val="none"/>
            </w:rPr>
          </w:pPr>
          <w:hyperlink w:history="true" w:anchor="_bookmark18">
            <w:r>
              <w:rPr>
                <w:u w:val="single"/>
              </w:rPr>
              <w:t>ANEXO DE INVERSIÓN</w:t>
            </w:r>
            <w:r>
              <w:rPr>
                <w:spacing w:val="-1"/>
                <w:u w:val="single"/>
              </w:rPr>
              <w:t> </w:t>
            </w:r>
            <w:r>
              <w:rPr>
                <w:u w:val="single"/>
              </w:rPr>
              <w:t>PÚBLICA</w:t>
            </w:r>
            <w:r>
              <w:rPr>
                <w:u w:val="none"/>
              </w:rPr>
              <w:tab/>
            </w:r>
            <w:r>
              <w:rPr>
                <w:u w:val="single"/>
              </w:rPr>
              <w:t>154</w:t>
            </w:r>
          </w:hyperlink>
        </w:p>
      </w:sdtContent>
    </w:sdt>
    <w:p>
      <w:pPr>
        <w:spacing w:after="0"/>
        <w:sectPr>
          <w:pgSz w:w="12240" w:h="15840"/>
          <w:pgMar w:header="178" w:footer="1076" w:top="1120" w:bottom="1340" w:left="460" w:right="220"/>
        </w:sectPr>
      </w:pPr>
    </w:p>
    <w:p>
      <w:pPr>
        <w:pStyle w:val="BodyText"/>
        <w:rPr>
          <w:sz w:val="26"/>
        </w:rPr>
      </w:pPr>
    </w:p>
    <w:p>
      <w:pPr>
        <w:pStyle w:val="BodyText"/>
        <w:spacing w:before="173"/>
        <w:ind w:left="901" w:right="6055"/>
        <w:rPr>
          <w:rFonts w:ascii="Trebuchet MS" w:hAnsi="Trebuchet MS"/>
        </w:rPr>
      </w:pPr>
      <w:r>
        <w:rPr>
          <w:rFonts w:ascii="Trebuchet MS" w:hAnsi="Trebuchet MS"/>
          <w:color w:val="585858"/>
        </w:rPr>
        <w:t>GOBIERNO MUNICIPAL DE MAGDALENA JALISCO 2018 – 2021</w:t>
      </w:r>
    </w:p>
    <w:p>
      <w:pPr>
        <w:pStyle w:val="BodyText"/>
        <w:spacing w:before="11"/>
        <w:rPr>
          <w:rFonts w:ascii="Trebuchet MS"/>
          <w:sz w:val="21"/>
        </w:rPr>
      </w:pPr>
    </w:p>
    <w:p>
      <w:pPr>
        <w:pStyle w:val="BodyText"/>
        <w:ind w:left="901" w:right="7720"/>
        <w:rPr>
          <w:rFonts w:ascii="Trebuchet MS"/>
        </w:rPr>
      </w:pPr>
      <w:r>
        <w:rPr>
          <w:rFonts w:ascii="Trebuchet MS"/>
          <w:color w:val="585858"/>
        </w:rPr>
        <w:t>LIC. FABIOLA PULIDO FRANCO PRESIDENTE MUNICIPAL</w:t>
      </w:r>
    </w:p>
    <w:p>
      <w:pPr>
        <w:pStyle w:val="BodyText"/>
        <w:rPr>
          <w:rFonts w:ascii="Trebuchet MS"/>
          <w:sz w:val="26"/>
        </w:rPr>
      </w:pPr>
    </w:p>
    <w:p>
      <w:pPr>
        <w:pStyle w:val="BodyText"/>
        <w:spacing w:before="10"/>
        <w:rPr>
          <w:rFonts w:ascii="Trebuchet MS"/>
          <w:sz w:val="36"/>
        </w:rPr>
      </w:pPr>
    </w:p>
    <w:p>
      <w:pPr>
        <w:tabs>
          <w:tab w:pos="8226" w:val="left" w:leader="none"/>
        </w:tabs>
        <w:spacing w:before="0"/>
        <w:ind w:left="2130" w:right="0" w:firstLine="0"/>
        <w:jc w:val="left"/>
        <w:rPr>
          <w:sz w:val="21"/>
        </w:rPr>
      </w:pPr>
      <w:r>
        <w:rPr>
          <w:sz w:val="21"/>
        </w:rPr>
        <w:t>C. EFREN</w:t>
      </w:r>
      <w:r>
        <w:rPr>
          <w:spacing w:val="-6"/>
          <w:sz w:val="21"/>
        </w:rPr>
        <w:t> </w:t>
      </w:r>
      <w:r>
        <w:rPr>
          <w:sz w:val="21"/>
        </w:rPr>
        <w:t>FIGUEROA</w:t>
      </w:r>
      <w:r>
        <w:rPr>
          <w:spacing w:val="-3"/>
          <w:sz w:val="21"/>
        </w:rPr>
        <w:t> </w:t>
      </w:r>
      <w:r>
        <w:rPr>
          <w:sz w:val="21"/>
        </w:rPr>
        <w:t>SANTIAGO</w:t>
        <w:tab/>
        <w:t>REGIDOR</w:t>
      </w:r>
    </w:p>
    <w:p>
      <w:pPr>
        <w:tabs>
          <w:tab w:pos="8222" w:val="left" w:leader="none"/>
        </w:tabs>
        <w:spacing w:before="201"/>
        <w:ind w:left="2139" w:right="0" w:firstLine="0"/>
        <w:jc w:val="both"/>
        <w:rPr>
          <w:sz w:val="21"/>
        </w:rPr>
      </w:pPr>
      <w:r>
        <w:rPr>
          <w:sz w:val="21"/>
        </w:rPr>
        <w:t>LIC. OLGA LUCIA</w:t>
      </w:r>
      <w:r>
        <w:rPr>
          <w:spacing w:val="-11"/>
          <w:sz w:val="21"/>
        </w:rPr>
        <w:t> </w:t>
      </w:r>
      <w:r>
        <w:rPr>
          <w:sz w:val="21"/>
        </w:rPr>
        <w:t>MARTINEZ</w:t>
      </w:r>
      <w:r>
        <w:rPr>
          <w:spacing w:val="-3"/>
          <w:sz w:val="21"/>
        </w:rPr>
        <w:t> </w:t>
      </w:r>
      <w:r>
        <w:rPr>
          <w:sz w:val="21"/>
        </w:rPr>
        <w:t>CHAVEZ</w:t>
        <w:tab/>
        <w:t>REGIDOR</w:t>
      </w:r>
    </w:p>
    <w:p>
      <w:pPr>
        <w:tabs>
          <w:tab w:pos="8174" w:val="left" w:leader="none"/>
          <w:tab w:pos="8205" w:val="left" w:leader="none"/>
        </w:tabs>
        <w:spacing w:line="427" w:lineRule="auto" w:before="198"/>
        <w:ind w:left="2178" w:right="2410" w:hanging="24"/>
        <w:jc w:val="both"/>
        <w:rPr>
          <w:sz w:val="21"/>
        </w:rPr>
      </w:pPr>
      <w:r>
        <w:rPr>
          <w:sz w:val="21"/>
        </w:rPr>
        <w:t>C. DELFINO</w:t>
      </w:r>
      <w:r>
        <w:rPr>
          <w:spacing w:val="-6"/>
          <w:sz w:val="21"/>
        </w:rPr>
        <w:t> </w:t>
      </w:r>
      <w:r>
        <w:rPr>
          <w:sz w:val="21"/>
        </w:rPr>
        <w:t>HUERTA</w:t>
      </w:r>
      <w:r>
        <w:rPr>
          <w:spacing w:val="-4"/>
          <w:sz w:val="21"/>
        </w:rPr>
        <w:t> </w:t>
      </w:r>
      <w:r>
        <w:rPr>
          <w:sz w:val="21"/>
        </w:rPr>
        <w:t>CHAVEZ</w:t>
        <w:tab/>
        <w:tab/>
      </w:r>
      <w:r>
        <w:rPr>
          <w:spacing w:val="-3"/>
          <w:sz w:val="21"/>
        </w:rPr>
        <w:t>REGIDOR </w:t>
      </w:r>
      <w:r>
        <w:rPr>
          <w:sz w:val="21"/>
        </w:rPr>
        <w:t>LIC. VIANET DEL ROSARIO</w:t>
      </w:r>
      <w:r>
        <w:rPr>
          <w:spacing w:val="-10"/>
          <w:sz w:val="21"/>
        </w:rPr>
        <w:t> </w:t>
      </w:r>
      <w:r>
        <w:rPr>
          <w:sz w:val="21"/>
        </w:rPr>
        <w:t>CORONA</w:t>
      </w:r>
      <w:r>
        <w:rPr>
          <w:spacing w:val="-5"/>
          <w:sz w:val="21"/>
        </w:rPr>
        <w:t> </w:t>
      </w:r>
      <w:r>
        <w:rPr>
          <w:sz w:val="21"/>
        </w:rPr>
        <w:t>GONZALEZ</w:t>
        <w:tab/>
        <w:t>REGIDOR LIC. FABIAN</w:t>
      </w:r>
      <w:r>
        <w:rPr>
          <w:spacing w:val="-6"/>
          <w:sz w:val="21"/>
        </w:rPr>
        <w:t> </w:t>
      </w:r>
      <w:r>
        <w:rPr>
          <w:sz w:val="21"/>
        </w:rPr>
        <w:t>HERNANDEZ</w:t>
      </w:r>
      <w:r>
        <w:rPr>
          <w:spacing w:val="-1"/>
          <w:sz w:val="21"/>
        </w:rPr>
        <w:t> </w:t>
      </w:r>
      <w:r>
        <w:rPr>
          <w:sz w:val="21"/>
        </w:rPr>
        <w:t>MEDINA</w:t>
        <w:tab/>
        <w:t>REGIDOR</w:t>
      </w:r>
    </w:p>
    <w:p>
      <w:pPr>
        <w:tabs>
          <w:tab w:pos="8231" w:val="left" w:leader="none"/>
        </w:tabs>
        <w:spacing w:line="256" w:lineRule="exact" w:before="0"/>
        <w:ind w:left="2130" w:right="0" w:firstLine="0"/>
        <w:jc w:val="both"/>
        <w:rPr>
          <w:sz w:val="21"/>
        </w:rPr>
      </w:pPr>
      <w:r>
        <w:rPr>
          <w:sz w:val="21"/>
        </w:rPr>
        <w:t>LIC. CELINA DEL</w:t>
      </w:r>
      <w:r>
        <w:rPr>
          <w:spacing w:val="-8"/>
          <w:sz w:val="21"/>
        </w:rPr>
        <w:t> </w:t>
      </w:r>
      <w:r>
        <w:rPr>
          <w:sz w:val="21"/>
        </w:rPr>
        <w:t>CARMEN PONCE</w:t>
        <w:tab/>
        <w:t>REGIDOR</w:t>
      </w:r>
    </w:p>
    <w:p>
      <w:pPr>
        <w:tabs>
          <w:tab w:pos="8210" w:val="left" w:leader="none"/>
        </w:tabs>
        <w:spacing w:before="201"/>
        <w:ind w:left="2151" w:right="0" w:firstLine="0"/>
        <w:jc w:val="left"/>
        <w:rPr>
          <w:sz w:val="21"/>
        </w:rPr>
      </w:pPr>
      <w:r>
        <w:rPr>
          <w:sz w:val="21"/>
        </w:rPr>
        <w:t>C. VICTORIO</w:t>
      </w:r>
      <w:r>
        <w:rPr>
          <w:spacing w:val="-5"/>
          <w:sz w:val="21"/>
        </w:rPr>
        <w:t> </w:t>
      </w:r>
      <w:r>
        <w:rPr>
          <w:sz w:val="21"/>
        </w:rPr>
        <w:t>MONTAÑO</w:t>
      </w:r>
      <w:r>
        <w:rPr>
          <w:spacing w:val="-5"/>
          <w:sz w:val="21"/>
        </w:rPr>
        <w:t> </w:t>
      </w:r>
      <w:r>
        <w:rPr>
          <w:sz w:val="21"/>
        </w:rPr>
        <w:t>CASTELLON</w:t>
        <w:tab/>
        <w:t>REGIDOR</w:t>
      </w:r>
    </w:p>
    <w:p>
      <w:pPr>
        <w:tabs>
          <w:tab w:pos="8217" w:val="left" w:leader="none"/>
        </w:tabs>
        <w:spacing w:before="199"/>
        <w:ind w:left="2144" w:right="0" w:firstLine="0"/>
        <w:jc w:val="both"/>
        <w:rPr>
          <w:sz w:val="21"/>
        </w:rPr>
      </w:pPr>
      <w:r>
        <w:rPr>
          <w:sz w:val="21"/>
        </w:rPr>
        <w:t>LIC. MARIA ELENA</w:t>
      </w:r>
      <w:r>
        <w:rPr>
          <w:spacing w:val="-9"/>
          <w:sz w:val="21"/>
        </w:rPr>
        <w:t> </w:t>
      </w:r>
      <w:r>
        <w:rPr>
          <w:sz w:val="21"/>
        </w:rPr>
        <w:t>ALDANA</w:t>
      </w:r>
      <w:r>
        <w:rPr>
          <w:spacing w:val="-4"/>
          <w:sz w:val="21"/>
        </w:rPr>
        <w:t> </w:t>
      </w:r>
      <w:r>
        <w:rPr>
          <w:sz w:val="21"/>
        </w:rPr>
        <w:t>RINCON</w:t>
        <w:tab/>
        <w:t>REGIDOR</w:t>
      </w:r>
    </w:p>
    <w:p>
      <w:pPr>
        <w:tabs>
          <w:tab w:pos="8181" w:val="left" w:leader="none"/>
        </w:tabs>
        <w:spacing w:before="201"/>
        <w:ind w:left="2180" w:right="0" w:firstLine="0"/>
        <w:jc w:val="both"/>
        <w:rPr>
          <w:sz w:val="21"/>
        </w:rPr>
      </w:pPr>
      <w:r>
        <w:rPr>
          <w:sz w:val="21"/>
        </w:rPr>
        <w:t>ING. JOSE MIGUEL RUVALCABA</w:t>
      </w:r>
      <w:r>
        <w:rPr>
          <w:spacing w:val="-7"/>
          <w:sz w:val="21"/>
        </w:rPr>
        <w:t> </w:t>
      </w:r>
      <w:r>
        <w:rPr>
          <w:sz w:val="21"/>
        </w:rPr>
        <w:t>DE</w:t>
      </w:r>
      <w:r>
        <w:rPr>
          <w:spacing w:val="-2"/>
          <w:sz w:val="21"/>
        </w:rPr>
        <w:t> </w:t>
      </w:r>
      <w:r>
        <w:rPr>
          <w:sz w:val="21"/>
        </w:rPr>
        <w:t>LIRA</w:t>
        <w:tab/>
        <w:t>REGIDOR</w:t>
      </w:r>
    </w:p>
    <w:p>
      <w:pPr>
        <w:tabs>
          <w:tab w:pos="8183" w:val="left" w:leader="none"/>
        </w:tabs>
        <w:spacing w:before="201"/>
        <w:ind w:left="2175" w:right="0" w:firstLine="0"/>
        <w:jc w:val="left"/>
        <w:rPr>
          <w:sz w:val="21"/>
        </w:rPr>
      </w:pPr>
      <w:r>
        <w:rPr>
          <w:sz w:val="21"/>
        </w:rPr>
        <w:t>C. MA DE LA LUZ</w:t>
      </w:r>
      <w:r>
        <w:rPr>
          <w:spacing w:val="-8"/>
          <w:sz w:val="21"/>
        </w:rPr>
        <w:t> </w:t>
      </w:r>
      <w:r>
        <w:rPr>
          <w:sz w:val="21"/>
        </w:rPr>
        <w:t>RUIZ</w:t>
      </w:r>
      <w:r>
        <w:rPr>
          <w:spacing w:val="-1"/>
          <w:sz w:val="21"/>
        </w:rPr>
        <w:t> </w:t>
      </w:r>
      <w:r>
        <w:rPr>
          <w:sz w:val="21"/>
        </w:rPr>
        <w:t>RUBIO</w:t>
        <w:tab/>
        <w:t>REGIDOR</w:t>
      </w:r>
    </w:p>
    <w:p>
      <w:pPr>
        <w:spacing w:after="0"/>
        <w:jc w:val="left"/>
        <w:rPr>
          <w:sz w:val="21"/>
        </w:rPr>
        <w:sectPr>
          <w:pgSz w:w="12240" w:h="15840"/>
          <w:pgMar w:header="178" w:footer="1076" w:top="1120" w:bottom="1340" w:left="460" w:right="220"/>
        </w:sectPr>
      </w:pPr>
    </w:p>
    <w:p>
      <w:pPr>
        <w:pStyle w:val="BodyText"/>
        <w:rPr>
          <w:sz w:val="20"/>
        </w:rPr>
      </w:pPr>
    </w:p>
    <w:p>
      <w:pPr>
        <w:pStyle w:val="BodyText"/>
        <w:rPr>
          <w:sz w:val="20"/>
        </w:rPr>
      </w:pPr>
    </w:p>
    <w:p>
      <w:pPr>
        <w:pStyle w:val="BodyText"/>
        <w:rPr>
          <w:sz w:val="21"/>
        </w:rPr>
      </w:pPr>
    </w:p>
    <w:p>
      <w:pPr>
        <w:spacing w:before="0"/>
        <w:ind w:left="901" w:right="3389" w:firstLine="0"/>
        <w:jc w:val="left"/>
        <w:rPr>
          <w:rFonts w:ascii="Trebuchet MS" w:hAnsi="Trebuchet MS"/>
          <w:sz w:val="21"/>
        </w:rPr>
      </w:pPr>
      <w:r>
        <w:rPr>
          <w:rFonts w:ascii="Trebuchet MS" w:hAnsi="Trebuchet MS"/>
          <w:color w:val="585858"/>
          <w:sz w:val="21"/>
        </w:rPr>
        <w:t>CONSEJO DE PARTICIPACIÓN Y PLANEACIÓN PARA EL DESARROLLO MUNICIPAL (COPPLADEMUN)</w:t>
      </w:r>
    </w:p>
    <w:p>
      <w:pPr>
        <w:spacing w:line="243" w:lineRule="exact" w:before="0"/>
        <w:ind w:left="901" w:right="0" w:firstLine="0"/>
        <w:jc w:val="left"/>
        <w:rPr>
          <w:rFonts w:ascii="Trebuchet MS"/>
          <w:sz w:val="21"/>
        </w:rPr>
      </w:pPr>
      <w:r>
        <w:rPr>
          <w:rFonts w:ascii="Trebuchet MS"/>
          <w:color w:val="585858"/>
          <w:sz w:val="21"/>
        </w:rPr>
        <w:t>INTEGRANTES DEL CONSEJO</w:t>
      </w:r>
    </w:p>
    <w:p>
      <w:pPr>
        <w:pStyle w:val="BodyText"/>
        <w:rPr>
          <w:rFonts w:ascii="Trebuchet MS"/>
          <w:sz w:val="21"/>
        </w:rPr>
      </w:pPr>
    </w:p>
    <w:p>
      <w:pPr>
        <w:spacing w:before="0"/>
        <w:ind w:left="901" w:right="0" w:firstLine="0"/>
        <w:jc w:val="left"/>
        <w:rPr>
          <w:rFonts w:ascii="Trebuchet MS"/>
          <w:sz w:val="21"/>
        </w:rPr>
      </w:pPr>
      <w:r>
        <w:rPr>
          <w:rFonts w:ascii="Trebuchet MS"/>
          <w:color w:val="585858"/>
          <w:sz w:val="21"/>
        </w:rPr>
        <w:t>PRESIDENTA DE COPPLADEMUN.</w:t>
      </w:r>
    </w:p>
    <w:p>
      <w:pPr>
        <w:spacing w:before="1"/>
        <w:ind w:left="901" w:right="0" w:firstLine="0"/>
        <w:jc w:val="left"/>
        <w:rPr>
          <w:rFonts w:ascii="Trebuchet MS"/>
          <w:sz w:val="21"/>
        </w:rPr>
      </w:pPr>
      <w:r>
        <w:rPr>
          <w:rFonts w:ascii="Trebuchet MS"/>
          <w:color w:val="585858"/>
          <w:sz w:val="21"/>
        </w:rPr>
        <w:t>Lic. Fabiola Pulido Franco</w:t>
      </w:r>
    </w:p>
    <w:p>
      <w:pPr>
        <w:pStyle w:val="BodyText"/>
        <w:rPr>
          <w:rFonts w:ascii="Trebuchet MS"/>
          <w:sz w:val="24"/>
        </w:rPr>
      </w:pPr>
    </w:p>
    <w:p>
      <w:pPr>
        <w:pStyle w:val="BodyText"/>
        <w:rPr>
          <w:rFonts w:ascii="Trebuchet MS"/>
          <w:sz w:val="24"/>
        </w:rPr>
      </w:pPr>
    </w:p>
    <w:p>
      <w:pPr>
        <w:pStyle w:val="BodyText"/>
        <w:spacing w:before="7"/>
        <w:rPr>
          <w:rFonts w:ascii="Trebuchet MS"/>
          <w:sz w:val="31"/>
        </w:rPr>
      </w:pPr>
    </w:p>
    <w:p>
      <w:pPr>
        <w:spacing w:before="0"/>
        <w:ind w:left="901" w:right="0" w:firstLine="0"/>
        <w:jc w:val="left"/>
        <w:rPr>
          <w:rFonts w:ascii="Corbel" w:hAnsi="Corbel"/>
          <w:sz w:val="21"/>
        </w:rPr>
      </w:pPr>
      <w:r>
        <w:rPr>
          <w:rFonts w:ascii="Corbel" w:hAnsi="Corbel"/>
          <w:color w:val="585858"/>
          <w:sz w:val="21"/>
        </w:rPr>
        <w:t>REGIDORES QUE PRESIDEN LAS COMISIONES EDILICIAS CON FUNCIONES DE PLANEACIÓN.</w:t>
      </w:r>
    </w:p>
    <w:p>
      <w:pPr>
        <w:pStyle w:val="BodyText"/>
        <w:spacing w:before="2"/>
        <w:rPr>
          <w:rFonts w:ascii="Corbel"/>
          <w:sz w:val="16"/>
        </w:rPr>
      </w:pPr>
    </w:p>
    <w:p>
      <w:pPr>
        <w:spacing w:before="0"/>
        <w:ind w:left="901" w:right="0" w:firstLine="0"/>
        <w:jc w:val="left"/>
        <w:rPr>
          <w:rFonts w:ascii="Corbel" w:hAnsi="Corbel"/>
          <w:sz w:val="21"/>
        </w:rPr>
      </w:pPr>
      <w:r>
        <w:rPr>
          <w:rFonts w:ascii="Corbel" w:hAnsi="Corbel"/>
          <w:sz w:val="21"/>
        </w:rPr>
        <w:t>C. Efrén Figueroa Santiago</w:t>
      </w:r>
    </w:p>
    <w:p>
      <w:pPr>
        <w:spacing w:before="1"/>
        <w:ind w:left="901" w:right="0" w:firstLine="0"/>
        <w:jc w:val="left"/>
        <w:rPr>
          <w:rFonts w:ascii="Corbel" w:hAnsi="Corbel"/>
          <w:sz w:val="21"/>
        </w:rPr>
      </w:pPr>
      <w:r>
        <w:rPr>
          <w:rFonts w:ascii="Corbel" w:hAnsi="Corbel"/>
          <w:sz w:val="21"/>
        </w:rPr>
        <w:t>C. Delfino Huerta Chávez</w:t>
      </w:r>
    </w:p>
    <w:p>
      <w:pPr>
        <w:pStyle w:val="BodyText"/>
        <w:spacing w:before="1"/>
        <w:rPr>
          <w:rFonts w:ascii="Corbel"/>
          <w:sz w:val="21"/>
        </w:rPr>
      </w:pPr>
    </w:p>
    <w:p>
      <w:pPr>
        <w:spacing w:before="0"/>
        <w:ind w:left="901" w:right="0" w:firstLine="0"/>
        <w:jc w:val="left"/>
        <w:rPr>
          <w:rFonts w:ascii="Corbel" w:hAnsi="Corbel"/>
          <w:sz w:val="21"/>
        </w:rPr>
      </w:pPr>
      <w:r>
        <w:rPr>
          <w:rFonts w:ascii="Corbel" w:hAnsi="Corbel"/>
          <w:color w:val="585858"/>
          <w:sz w:val="21"/>
        </w:rPr>
        <w:t>REGIDOR QUE PRESIDE LA COMISIÓN DE PARTICIPACIÓN CIUDADANA.</w:t>
      </w:r>
    </w:p>
    <w:p>
      <w:pPr>
        <w:pStyle w:val="BodyText"/>
        <w:spacing w:before="4"/>
        <w:rPr>
          <w:rFonts w:ascii="Corbel"/>
          <w:sz w:val="16"/>
        </w:rPr>
      </w:pPr>
    </w:p>
    <w:p>
      <w:pPr>
        <w:spacing w:before="1"/>
        <w:ind w:left="901" w:right="0" w:firstLine="0"/>
        <w:jc w:val="left"/>
        <w:rPr>
          <w:rFonts w:ascii="Corbel" w:hAnsi="Corbel"/>
          <w:sz w:val="21"/>
        </w:rPr>
      </w:pPr>
      <w:r>
        <w:rPr>
          <w:rFonts w:ascii="Corbel" w:hAnsi="Corbel"/>
          <w:sz w:val="21"/>
        </w:rPr>
        <w:t>Lic. Olga Lucia Martínez Chávez</w:t>
      </w:r>
    </w:p>
    <w:p>
      <w:pPr>
        <w:pStyle w:val="BodyText"/>
        <w:spacing w:before="6"/>
        <w:rPr>
          <w:rFonts w:ascii="Corbel"/>
          <w:sz w:val="16"/>
        </w:rPr>
      </w:pPr>
    </w:p>
    <w:p>
      <w:pPr>
        <w:spacing w:before="0"/>
        <w:ind w:left="901" w:right="0" w:firstLine="0"/>
        <w:jc w:val="left"/>
        <w:rPr>
          <w:rFonts w:ascii="Corbel" w:hAnsi="Corbel"/>
          <w:sz w:val="21"/>
        </w:rPr>
      </w:pPr>
      <w:r>
        <w:rPr>
          <w:rFonts w:ascii="Corbel" w:hAnsi="Corbel"/>
          <w:color w:val="585858"/>
          <w:sz w:val="21"/>
        </w:rPr>
        <w:t>DIRECTORES DE LA ADMINISTRACIÓN PUBLICA CON FUNCIONES DE PLANEACIÓN.</w:t>
      </w:r>
    </w:p>
    <w:p>
      <w:pPr>
        <w:pStyle w:val="BodyText"/>
        <w:spacing w:before="2"/>
        <w:rPr>
          <w:rFonts w:ascii="Corbel"/>
          <w:sz w:val="16"/>
        </w:rPr>
      </w:pPr>
    </w:p>
    <w:p>
      <w:pPr>
        <w:spacing w:before="0"/>
        <w:ind w:left="901" w:right="0" w:firstLine="0"/>
        <w:jc w:val="left"/>
        <w:rPr>
          <w:rFonts w:ascii="Corbel" w:hAnsi="Corbel"/>
          <w:sz w:val="21"/>
        </w:rPr>
      </w:pPr>
      <w:r>
        <w:rPr>
          <w:rFonts w:ascii="Corbel" w:hAnsi="Corbel"/>
          <w:sz w:val="21"/>
        </w:rPr>
        <w:t>Ing. José Caloca Díaz</w:t>
      </w:r>
    </w:p>
    <w:p>
      <w:pPr>
        <w:spacing w:before="1"/>
        <w:ind w:left="901" w:right="0" w:firstLine="0"/>
        <w:jc w:val="left"/>
        <w:rPr>
          <w:rFonts w:ascii="Corbel" w:hAnsi="Corbel"/>
          <w:sz w:val="21"/>
        </w:rPr>
      </w:pPr>
      <w:r>
        <w:rPr>
          <w:rFonts w:ascii="Corbel" w:hAnsi="Corbel"/>
          <w:sz w:val="21"/>
        </w:rPr>
        <w:t>Lic. Oswaldo Rafael Sánchez Corona</w:t>
      </w:r>
    </w:p>
    <w:p>
      <w:pPr>
        <w:pStyle w:val="BodyText"/>
        <w:rPr>
          <w:rFonts w:ascii="Corbel"/>
          <w:sz w:val="21"/>
        </w:rPr>
      </w:pPr>
    </w:p>
    <w:p>
      <w:pPr>
        <w:spacing w:before="1"/>
        <w:ind w:left="901" w:right="0" w:firstLine="0"/>
        <w:jc w:val="left"/>
        <w:rPr>
          <w:rFonts w:ascii="Corbel" w:hAnsi="Corbel"/>
          <w:sz w:val="21"/>
        </w:rPr>
      </w:pPr>
      <w:r>
        <w:rPr>
          <w:rFonts w:ascii="Corbel" w:hAnsi="Corbel"/>
          <w:color w:val="585858"/>
          <w:sz w:val="21"/>
        </w:rPr>
        <w:t>REPRESENTANTE DE LA SECRETARIA DE PLANEACIÓN Y PARTICIPACIÓN CIUDADANA.</w:t>
      </w:r>
    </w:p>
    <w:p>
      <w:pPr>
        <w:pStyle w:val="BodyText"/>
        <w:spacing w:before="4"/>
        <w:rPr>
          <w:rFonts w:ascii="Corbel"/>
          <w:sz w:val="16"/>
        </w:rPr>
      </w:pPr>
    </w:p>
    <w:p>
      <w:pPr>
        <w:spacing w:before="0"/>
        <w:ind w:left="901" w:right="0" w:firstLine="0"/>
        <w:jc w:val="left"/>
        <w:rPr>
          <w:rFonts w:ascii="Corbel" w:hAnsi="Corbel"/>
          <w:sz w:val="21"/>
        </w:rPr>
      </w:pPr>
      <w:r>
        <w:rPr>
          <w:rFonts w:ascii="Corbel" w:hAnsi="Corbel"/>
          <w:sz w:val="21"/>
        </w:rPr>
        <w:t>Lic. Laura Fernández Beas</w:t>
      </w:r>
    </w:p>
    <w:p>
      <w:pPr>
        <w:pStyle w:val="BodyText"/>
        <w:spacing w:before="4"/>
        <w:rPr>
          <w:rFonts w:ascii="Corbel"/>
          <w:sz w:val="16"/>
        </w:rPr>
      </w:pPr>
    </w:p>
    <w:p>
      <w:pPr>
        <w:spacing w:before="1"/>
        <w:ind w:left="901" w:right="0" w:firstLine="0"/>
        <w:jc w:val="left"/>
        <w:rPr>
          <w:rFonts w:ascii="Corbel"/>
          <w:sz w:val="21"/>
        </w:rPr>
      </w:pPr>
      <w:r>
        <w:rPr>
          <w:rFonts w:ascii="Corbel"/>
          <w:color w:val="585858"/>
          <w:sz w:val="21"/>
        </w:rPr>
        <w:t>REPRESENTANTES DE LAS ORGANIZACIONES DEL SECTOR PRIVADO.</w:t>
      </w:r>
    </w:p>
    <w:p>
      <w:pPr>
        <w:pStyle w:val="BodyText"/>
        <w:spacing w:before="4"/>
        <w:rPr>
          <w:rFonts w:ascii="Corbel"/>
          <w:sz w:val="16"/>
        </w:rPr>
      </w:pPr>
    </w:p>
    <w:p>
      <w:pPr>
        <w:spacing w:line="255" w:lineRule="exact" w:before="0"/>
        <w:ind w:left="901" w:right="0" w:firstLine="0"/>
        <w:jc w:val="left"/>
        <w:rPr>
          <w:rFonts w:ascii="Corbel" w:hAnsi="Corbel"/>
          <w:sz w:val="21"/>
        </w:rPr>
      </w:pPr>
      <w:r>
        <w:rPr>
          <w:rFonts w:ascii="Corbel" w:hAnsi="Corbel"/>
          <w:sz w:val="21"/>
        </w:rPr>
        <w:t>Arq. Guillermo Domínguez Miranda</w:t>
      </w:r>
    </w:p>
    <w:p>
      <w:pPr>
        <w:spacing w:line="255" w:lineRule="exact" w:before="0"/>
        <w:ind w:left="901" w:right="0" w:firstLine="0"/>
        <w:jc w:val="left"/>
        <w:rPr>
          <w:rFonts w:ascii="Corbel" w:hAnsi="Corbel"/>
          <w:sz w:val="21"/>
        </w:rPr>
      </w:pPr>
      <w:r>
        <w:rPr>
          <w:rFonts w:ascii="Corbel" w:hAnsi="Corbel"/>
          <w:sz w:val="21"/>
        </w:rPr>
        <w:t>C. Salomón Rubio Molina</w:t>
      </w:r>
    </w:p>
    <w:p>
      <w:pPr>
        <w:pStyle w:val="BodyText"/>
        <w:spacing w:before="3"/>
        <w:rPr>
          <w:rFonts w:ascii="Corbel"/>
          <w:sz w:val="21"/>
        </w:rPr>
      </w:pPr>
    </w:p>
    <w:p>
      <w:pPr>
        <w:spacing w:before="0"/>
        <w:ind w:left="901" w:right="0" w:firstLine="0"/>
        <w:jc w:val="left"/>
        <w:rPr>
          <w:rFonts w:ascii="Corbel"/>
          <w:sz w:val="21"/>
        </w:rPr>
      </w:pPr>
      <w:r>
        <w:rPr>
          <w:rFonts w:ascii="Corbel"/>
          <w:color w:val="585858"/>
          <w:sz w:val="21"/>
        </w:rPr>
        <w:t>REPRESENTANTES DE COOPERATIVAS.</w:t>
      </w:r>
    </w:p>
    <w:p>
      <w:pPr>
        <w:pStyle w:val="BodyText"/>
        <w:spacing w:before="2"/>
        <w:rPr>
          <w:rFonts w:ascii="Corbel"/>
          <w:sz w:val="16"/>
        </w:rPr>
      </w:pPr>
    </w:p>
    <w:p>
      <w:pPr>
        <w:spacing w:before="0"/>
        <w:ind w:left="901" w:right="0" w:firstLine="0"/>
        <w:jc w:val="left"/>
        <w:rPr>
          <w:rFonts w:ascii="Corbel" w:hAnsi="Corbel"/>
          <w:sz w:val="21"/>
        </w:rPr>
      </w:pPr>
      <w:r>
        <w:rPr>
          <w:rFonts w:ascii="Corbel" w:hAnsi="Corbel"/>
          <w:sz w:val="21"/>
        </w:rPr>
        <w:t>Ing. Martin Carrillo Gómez</w:t>
      </w:r>
    </w:p>
    <w:p>
      <w:pPr>
        <w:spacing w:before="1"/>
        <w:ind w:left="901" w:right="0" w:firstLine="0"/>
        <w:jc w:val="left"/>
        <w:rPr>
          <w:rFonts w:ascii="Corbel" w:hAnsi="Corbel"/>
          <w:sz w:val="21"/>
        </w:rPr>
      </w:pPr>
      <w:r>
        <w:rPr>
          <w:rFonts w:ascii="Corbel" w:hAnsi="Corbel"/>
          <w:sz w:val="21"/>
        </w:rPr>
        <w:t>C. Miriam Hernández Guevara</w:t>
      </w:r>
    </w:p>
    <w:p>
      <w:pPr>
        <w:spacing w:after="0"/>
        <w:jc w:val="left"/>
        <w:rPr>
          <w:rFonts w:ascii="Corbel" w:hAnsi="Corbel"/>
          <w:sz w:val="21"/>
        </w:rPr>
        <w:sectPr>
          <w:pgSz w:w="12240" w:h="15840"/>
          <w:pgMar w:header="178" w:footer="1076" w:top="1120" w:bottom="1360" w:left="460" w:right="220"/>
        </w:sectPr>
      </w:pPr>
    </w:p>
    <w:p>
      <w:pPr>
        <w:pStyle w:val="BodyText"/>
        <w:rPr>
          <w:rFonts w:ascii="Corbel"/>
          <w:sz w:val="20"/>
        </w:rPr>
      </w:pPr>
    </w:p>
    <w:p>
      <w:pPr>
        <w:pStyle w:val="BodyText"/>
        <w:spacing w:before="6"/>
        <w:rPr>
          <w:rFonts w:ascii="Corbel"/>
          <w:sz w:val="16"/>
        </w:rPr>
      </w:pPr>
    </w:p>
    <w:p>
      <w:pPr>
        <w:spacing w:before="58"/>
        <w:ind w:left="901" w:right="0" w:firstLine="0"/>
        <w:jc w:val="left"/>
        <w:rPr>
          <w:rFonts w:ascii="Corbel"/>
          <w:sz w:val="21"/>
        </w:rPr>
      </w:pPr>
      <w:r>
        <w:rPr>
          <w:rFonts w:ascii="Corbel"/>
          <w:color w:val="585858"/>
          <w:sz w:val="21"/>
        </w:rPr>
        <w:t>REPRESENTANTES DE ORGANIZACIONES VECINALES.</w:t>
      </w:r>
    </w:p>
    <w:p>
      <w:pPr>
        <w:pStyle w:val="BodyText"/>
        <w:spacing w:before="2"/>
        <w:rPr>
          <w:rFonts w:ascii="Corbel"/>
          <w:sz w:val="16"/>
        </w:rPr>
      </w:pPr>
    </w:p>
    <w:p>
      <w:pPr>
        <w:spacing w:before="0"/>
        <w:ind w:left="901" w:right="0" w:firstLine="0"/>
        <w:jc w:val="left"/>
        <w:rPr>
          <w:rFonts w:ascii="Corbel"/>
          <w:sz w:val="21"/>
        </w:rPr>
      </w:pPr>
      <w:r>
        <w:rPr>
          <w:rFonts w:ascii="Corbel"/>
          <w:sz w:val="21"/>
        </w:rPr>
        <w:t>C. Balbino Cornelio Cetina ko</w:t>
      </w:r>
    </w:p>
    <w:p>
      <w:pPr>
        <w:spacing w:before="0"/>
        <w:ind w:left="901" w:right="0" w:firstLine="0"/>
        <w:jc w:val="left"/>
        <w:rPr>
          <w:rFonts w:ascii="Corbel" w:hAnsi="Corbel"/>
          <w:sz w:val="21"/>
        </w:rPr>
      </w:pPr>
      <w:r>
        <w:rPr>
          <w:rFonts w:ascii="Corbel" w:hAnsi="Corbel"/>
          <w:sz w:val="21"/>
        </w:rPr>
        <w:t>C. Leticia Díaz Chávez</w:t>
      </w:r>
    </w:p>
    <w:p>
      <w:pPr>
        <w:pStyle w:val="BodyText"/>
        <w:spacing w:before="3"/>
        <w:rPr>
          <w:rFonts w:ascii="Corbel"/>
          <w:sz w:val="21"/>
        </w:rPr>
      </w:pPr>
    </w:p>
    <w:p>
      <w:pPr>
        <w:spacing w:before="0"/>
        <w:ind w:left="901" w:right="0" w:firstLine="0"/>
        <w:jc w:val="left"/>
        <w:rPr>
          <w:rFonts w:ascii="Corbel" w:hAnsi="Corbel"/>
          <w:sz w:val="21"/>
        </w:rPr>
      </w:pPr>
      <w:r>
        <w:rPr>
          <w:rFonts w:ascii="Corbel" w:hAnsi="Corbel"/>
          <w:color w:val="585858"/>
          <w:sz w:val="21"/>
        </w:rPr>
        <w:t>REPRESENTANTES DE LAS INSTITUCIONES DE EDUCACIÓN SUPERIOR.</w:t>
      </w:r>
    </w:p>
    <w:p>
      <w:pPr>
        <w:pStyle w:val="BodyText"/>
        <w:spacing w:before="2"/>
        <w:rPr>
          <w:rFonts w:ascii="Corbel"/>
          <w:sz w:val="16"/>
        </w:rPr>
      </w:pPr>
    </w:p>
    <w:p>
      <w:pPr>
        <w:spacing w:before="0"/>
        <w:ind w:left="901" w:right="0" w:firstLine="0"/>
        <w:jc w:val="left"/>
        <w:rPr>
          <w:rFonts w:ascii="Corbel" w:hAnsi="Corbel"/>
          <w:sz w:val="21"/>
        </w:rPr>
      </w:pPr>
      <w:r>
        <w:rPr>
          <w:rFonts w:ascii="Corbel" w:hAnsi="Corbel"/>
          <w:sz w:val="21"/>
        </w:rPr>
        <w:t>Lic. Juana Ávila Flores</w:t>
      </w:r>
    </w:p>
    <w:p>
      <w:pPr>
        <w:spacing w:before="1"/>
        <w:ind w:left="901" w:right="0" w:firstLine="0"/>
        <w:jc w:val="left"/>
        <w:rPr>
          <w:rFonts w:ascii="Corbel" w:hAnsi="Corbel"/>
          <w:sz w:val="21"/>
        </w:rPr>
      </w:pPr>
      <w:r>
        <w:rPr>
          <w:rFonts w:ascii="Corbel" w:hAnsi="Corbel"/>
          <w:sz w:val="21"/>
        </w:rPr>
        <w:t>Lic. Ian Rodolfo Cruz Ramírez</w:t>
      </w:r>
    </w:p>
    <w:p>
      <w:pPr>
        <w:pStyle w:val="BodyText"/>
        <w:spacing w:before="1"/>
        <w:rPr>
          <w:rFonts w:ascii="Corbel"/>
          <w:sz w:val="21"/>
        </w:rPr>
      </w:pPr>
    </w:p>
    <w:p>
      <w:pPr>
        <w:spacing w:before="0"/>
        <w:ind w:left="901" w:right="0" w:firstLine="0"/>
        <w:jc w:val="left"/>
        <w:rPr>
          <w:rFonts w:ascii="Corbel" w:hAnsi="Corbel"/>
          <w:sz w:val="21"/>
        </w:rPr>
      </w:pPr>
      <w:r>
        <w:rPr>
          <w:rFonts w:ascii="Corbel" w:hAnsi="Corbel"/>
          <w:color w:val="585858"/>
          <w:sz w:val="21"/>
        </w:rPr>
        <w:t>LIDERES SOCIALES RECONOCIDOS POR SU CONTRIBUCIÓN AL DESARROLLO DE LA COMUNIDAD.</w:t>
      </w:r>
    </w:p>
    <w:p>
      <w:pPr>
        <w:pStyle w:val="BodyText"/>
        <w:spacing w:before="2"/>
        <w:rPr>
          <w:rFonts w:ascii="Corbel"/>
          <w:sz w:val="16"/>
        </w:rPr>
      </w:pPr>
    </w:p>
    <w:p>
      <w:pPr>
        <w:spacing w:before="0"/>
        <w:ind w:left="901" w:right="0" w:firstLine="0"/>
        <w:jc w:val="left"/>
        <w:rPr>
          <w:rFonts w:ascii="Corbel" w:hAnsi="Corbel"/>
          <w:sz w:val="21"/>
        </w:rPr>
      </w:pPr>
      <w:r>
        <w:rPr>
          <w:rFonts w:ascii="Corbel" w:hAnsi="Corbel"/>
          <w:sz w:val="21"/>
        </w:rPr>
        <w:t>C. José Rafael Ascencio Ceseña</w:t>
      </w:r>
    </w:p>
    <w:p>
      <w:pPr>
        <w:spacing w:line="484" w:lineRule="auto" w:before="0"/>
        <w:ind w:left="901" w:right="6321" w:firstLine="0"/>
        <w:jc w:val="left"/>
        <w:rPr>
          <w:rFonts w:ascii="Corbel" w:hAnsi="Corbel"/>
          <w:sz w:val="21"/>
        </w:rPr>
      </w:pPr>
      <w:r>
        <w:rPr>
          <w:rFonts w:ascii="Corbel" w:hAnsi="Corbel"/>
          <w:sz w:val="21"/>
        </w:rPr>
        <w:t>C. francisco Javier Romero Montaño</w:t>
      </w:r>
      <w:r>
        <w:rPr>
          <w:rFonts w:ascii="Corbel" w:hAnsi="Corbel"/>
          <w:color w:val="585858"/>
          <w:sz w:val="21"/>
        </w:rPr>
        <w:t> REPRESENTANTES DE GRUPOS VULNERABLES.</w:t>
      </w:r>
    </w:p>
    <w:p>
      <w:pPr>
        <w:spacing w:line="191" w:lineRule="exact" w:before="0"/>
        <w:ind w:left="901" w:right="0" w:firstLine="0"/>
        <w:jc w:val="left"/>
        <w:rPr>
          <w:rFonts w:ascii="Corbel" w:hAnsi="Corbel"/>
          <w:sz w:val="21"/>
        </w:rPr>
      </w:pPr>
      <w:r>
        <w:rPr>
          <w:rFonts w:ascii="Corbel" w:hAnsi="Corbel"/>
          <w:sz w:val="21"/>
        </w:rPr>
        <w:t>C. María de Jesús Aguilar Espinoza</w:t>
      </w:r>
    </w:p>
    <w:p>
      <w:pPr>
        <w:spacing w:before="1"/>
        <w:ind w:left="901" w:right="0" w:firstLine="0"/>
        <w:jc w:val="left"/>
        <w:rPr>
          <w:rFonts w:ascii="Corbel" w:hAnsi="Corbel"/>
          <w:sz w:val="21"/>
        </w:rPr>
      </w:pPr>
      <w:r>
        <w:rPr>
          <w:rFonts w:ascii="Corbel" w:hAnsi="Corbel"/>
          <w:sz w:val="21"/>
        </w:rPr>
        <w:t>C. Lucia Ruíz Ibarra</w:t>
      </w:r>
    </w:p>
    <w:p>
      <w:pPr>
        <w:pStyle w:val="BodyText"/>
        <w:rPr>
          <w:rFonts w:ascii="Corbel"/>
          <w:sz w:val="21"/>
        </w:rPr>
      </w:pPr>
    </w:p>
    <w:p>
      <w:pPr>
        <w:spacing w:before="1"/>
        <w:ind w:left="901" w:right="0" w:firstLine="0"/>
        <w:jc w:val="left"/>
        <w:rPr>
          <w:rFonts w:ascii="Corbel"/>
          <w:sz w:val="21"/>
        </w:rPr>
      </w:pPr>
      <w:r>
        <w:rPr>
          <w:rFonts w:ascii="Corbel"/>
          <w:color w:val="585858"/>
          <w:sz w:val="21"/>
        </w:rPr>
        <w:t>REPRESENTANTES DE LAS DELEGACIONES DEL MUNICIPIO.</w:t>
      </w:r>
    </w:p>
    <w:p>
      <w:pPr>
        <w:pStyle w:val="BodyText"/>
        <w:spacing w:before="1"/>
        <w:rPr>
          <w:rFonts w:ascii="Corbel"/>
          <w:sz w:val="16"/>
        </w:rPr>
      </w:pPr>
    </w:p>
    <w:p>
      <w:pPr>
        <w:spacing w:before="0"/>
        <w:ind w:left="901" w:right="8429" w:firstLine="0"/>
        <w:jc w:val="left"/>
        <w:rPr>
          <w:rFonts w:ascii="Corbel" w:hAnsi="Corbel"/>
          <w:sz w:val="21"/>
        </w:rPr>
      </w:pPr>
      <w:r>
        <w:rPr>
          <w:rFonts w:ascii="Corbel" w:hAnsi="Corbel"/>
          <w:sz w:val="21"/>
        </w:rPr>
        <w:t>C. Darío Rubio Carrillo Lic. Lorena osuna</w:t>
      </w:r>
      <w:r>
        <w:rPr>
          <w:rFonts w:ascii="Corbel" w:hAnsi="Corbel"/>
          <w:spacing w:val="-7"/>
          <w:sz w:val="21"/>
        </w:rPr>
        <w:t> </w:t>
      </w:r>
      <w:r>
        <w:rPr>
          <w:rFonts w:ascii="Corbel" w:hAnsi="Corbel"/>
          <w:sz w:val="21"/>
        </w:rPr>
        <w:t>Guitron</w:t>
      </w:r>
    </w:p>
    <w:p>
      <w:pPr>
        <w:pStyle w:val="BodyText"/>
        <w:spacing w:before="4"/>
        <w:rPr>
          <w:rFonts w:ascii="Corbel"/>
          <w:sz w:val="21"/>
        </w:rPr>
      </w:pPr>
    </w:p>
    <w:p>
      <w:pPr>
        <w:spacing w:before="0"/>
        <w:ind w:left="901" w:right="0" w:firstLine="0"/>
        <w:jc w:val="left"/>
        <w:rPr>
          <w:rFonts w:ascii="Corbel" w:hAnsi="Corbel"/>
          <w:sz w:val="21"/>
        </w:rPr>
      </w:pPr>
      <w:r>
        <w:rPr>
          <w:rFonts w:ascii="Corbel" w:hAnsi="Corbel"/>
          <w:color w:val="585858"/>
          <w:sz w:val="21"/>
        </w:rPr>
        <w:t>SECRETARIO TÉCNICO</w:t>
      </w:r>
    </w:p>
    <w:p>
      <w:pPr>
        <w:pStyle w:val="BodyText"/>
        <w:spacing w:before="4"/>
        <w:rPr>
          <w:rFonts w:ascii="Corbel"/>
          <w:sz w:val="16"/>
        </w:rPr>
      </w:pPr>
    </w:p>
    <w:p>
      <w:pPr>
        <w:spacing w:before="1"/>
        <w:ind w:left="901" w:right="0" w:firstLine="0"/>
        <w:jc w:val="left"/>
        <w:rPr>
          <w:rFonts w:ascii="Corbel" w:hAnsi="Corbel"/>
          <w:sz w:val="21"/>
        </w:rPr>
      </w:pPr>
      <w:r>
        <w:rPr>
          <w:rFonts w:ascii="Corbel" w:hAnsi="Corbel"/>
          <w:sz w:val="21"/>
        </w:rPr>
        <w:t>Ing. Arq. José de Jesús Robles Rodríguez</w:t>
      </w:r>
    </w:p>
    <w:p>
      <w:pPr>
        <w:spacing w:after="0"/>
        <w:jc w:val="left"/>
        <w:rPr>
          <w:rFonts w:ascii="Corbel" w:hAnsi="Corbel"/>
          <w:sz w:val="21"/>
        </w:rPr>
        <w:sectPr>
          <w:pgSz w:w="12240" w:h="15840"/>
          <w:pgMar w:header="178" w:footer="1076" w:top="1120" w:bottom="1360" w:left="460" w:right="220"/>
        </w:sectPr>
      </w:pPr>
    </w:p>
    <w:p>
      <w:pPr>
        <w:pStyle w:val="BodyText"/>
        <w:rPr>
          <w:rFonts w:ascii="Corbel"/>
          <w:sz w:val="20"/>
        </w:rPr>
      </w:pPr>
    </w:p>
    <w:p>
      <w:pPr>
        <w:pStyle w:val="Heading1"/>
        <w:spacing w:before="258"/>
      </w:pPr>
      <w:bookmarkStart w:name="_bookmark0" w:id="1"/>
      <w:bookmarkEnd w:id="1"/>
      <w:r>
        <w:rPr/>
      </w:r>
      <w:r>
        <w:rPr>
          <w:color w:val="3D3D3D"/>
        </w:rPr>
        <w:t>PRESENTACIÓN</w:t>
      </w:r>
    </w:p>
    <w:p>
      <w:pPr>
        <w:pStyle w:val="BodyText"/>
        <w:rPr>
          <w:sz w:val="48"/>
        </w:rPr>
      </w:pPr>
    </w:p>
    <w:p>
      <w:pPr>
        <w:pStyle w:val="BodyText"/>
        <w:spacing w:line="276" w:lineRule="auto" w:before="300"/>
        <w:ind w:left="901" w:right="1155"/>
        <w:jc w:val="both"/>
      </w:pPr>
      <w:r>
        <w:rPr/>
        <w:t>Magdalena, municipio con una ubicación estratégica en el Occidente de Jalisco, conexión del Estado con la rica región del noroeste mexicano, requiere de aprovechar las potencialidades de esta inmejorable situación y, por tanto, planear eficazmente su desarrollo, para explotar al máximo estas condiciones, y hacer de ellas, fuente de progreso y bienestar para sus habitantes</w:t>
      </w:r>
    </w:p>
    <w:p>
      <w:pPr>
        <w:pStyle w:val="BodyText"/>
        <w:spacing w:line="276" w:lineRule="auto" w:before="199"/>
        <w:ind w:left="901" w:right="1154"/>
        <w:jc w:val="both"/>
      </w:pPr>
      <w:r>
        <w:rPr/>
        <w:t>El Quincuagésimo Cuarto Ayuntamiento Constitucional de Magdalena, Jalisco, tiene el interés y el propósito de contar con un instrumento de planeación que le permita una gestión pública eficaz y eficiente para atender los requerimientos y las necesidades de su población a lo largo y ancho de su territorio.</w:t>
      </w:r>
    </w:p>
    <w:p>
      <w:pPr>
        <w:pStyle w:val="BodyText"/>
        <w:spacing w:line="276" w:lineRule="auto" w:before="199"/>
        <w:ind w:left="901" w:right="1154"/>
        <w:jc w:val="both"/>
      </w:pPr>
      <w:r>
        <w:rPr/>
        <w:t>El Ayuntamiento de Magdalena, Jalisco, hará de este instrumento el medio adecuado para su fortalecimiento institucional, centrando su atención en la construcción del desarrollo social, económico y cultural de un municipio sustentable en el marco de un fuerte estado de derecho y respeto de las garantías individuales y colectivas de sus habitantes.</w:t>
      </w:r>
    </w:p>
    <w:p>
      <w:pPr>
        <w:pStyle w:val="BodyText"/>
        <w:spacing w:line="276" w:lineRule="auto" w:before="201"/>
        <w:ind w:left="901" w:right="1155"/>
        <w:jc w:val="both"/>
      </w:pPr>
      <w:r>
        <w:rPr/>
        <w:t>EL CONSEJO DE PLANEACIÓN, que constituye el eje de apoyo y rectoría más importante de la administración municipal en materia de planeación y desde luego, un factor de impulso a la participación de la comunidad organizada, se involucra como elemento fundamental en la solución de la problemática municipal, de tal manera que el binomio administración–comunidad garantizan el desarrollo social armónico y económicamente equilibrados.</w:t>
      </w:r>
    </w:p>
    <w:p>
      <w:pPr>
        <w:pStyle w:val="BodyText"/>
        <w:spacing w:line="276" w:lineRule="auto" w:before="201"/>
        <w:ind w:left="901" w:right="1155"/>
        <w:jc w:val="both"/>
      </w:pPr>
      <w:r>
        <w:rPr/>
        <w:t>La observación de las normas y principios básicos de la planeación de las actividades de La Administración Pública Municipal, habrán de coadyuvar en el desarrollo integral y sustentable no solo del Municipio, sino de nuestro Estado, y tendrán la participación permanente de la ciudadanía en la elaboración de los planes y programas de desarrollo del municipio de</w:t>
      </w:r>
      <w:r>
        <w:rPr>
          <w:spacing w:val="-5"/>
        </w:rPr>
        <w:t> </w:t>
      </w:r>
      <w:r>
        <w:rPr/>
        <w:t>Magdalena.</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6"/>
        <w:jc w:val="both"/>
      </w:pPr>
      <w:r>
        <w:rPr/>
        <w:t>Este instrumento de planeación pretende conocer y dar a conocer el estado que guarda el municipio de Magdalena, en rubros tan importantes como:</w:t>
      </w:r>
    </w:p>
    <w:p>
      <w:pPr>
        <w:pStyle w:val="BodyText"/>
        <w:spacing w:before="5"/>
        <w:rPr>
          <w:sz w:val="21"/>
        </w:rPr>
      </w:pPr>
    </w:p>
    <w:p>
      <w:pPr>
        <w:pStyle w:val="ListParagraph"/>
        <w:numPr>
          <w:ilvl w:val="0"/>
          <w:numId w:val="4"/>
        </w:numPr>
        <w:tabs>
          <w:tab w:pos="1622" w:val="left" w:leader="none"/>
        </w:tabs>
        <w:spacing w:line="240" w:lineRule="auto" w:before="1" w:after="0"/>
        <w:ind w:left="1621" w:right="0" w:hanging="361"/>
        <w:jc w:val="left"/>
        <w:rPr>
          <w:sz w:val="22"/>
        </w:rPr>
      </w:pPr>
      <w:r>
        <w:rPr>
          <w:sz w:val="22"/>
        </w:rPr>
        <w:t>EL MEDIO AMBIENTE Y EL</w:t>
      </w:r>
      <w:r>
        <w:rPr>
          <w:spacing w:val="-6"/>
          <w:sz w:val="22"/>
        </w:rPr>
        <w:t> </w:t>
      </w:r>
      <w:r>
        <w:rPr>
          <w:sz w:val="22"/>
        </w:rPr>
        <w:t>TERRITORIO</w:t>
      </w:r>
    </w:p>
    <w:p>
      <w:pPr>
        <w:pStyle w:val="BodyText"/>
        <w:spacing w:before="1"/>
        <w:rPr>
          <w:sz w:val="20"/>
        </w:rPr>
      </w:pPr>
    </w:p>
    <w:p>
      <w:pPr>
        <w:pStyle w:val="ListParagraph"/>
        <w:numPr>
          <w:ilvl w:val="0"/>
          <w:numId w:val="4"/>
        </w:numPr>
        <w:tabs>
          <w:tab w:pos="1622" w:val="left" w:leader="none"/>
        </w:tabs>
        <w:spacing w:line="240" w:lineRule="auto" w:before="1" w:after="0"/>
        <w:ind w:left="1621" w:right="0" w:hanging="361"/>
        <w:jc w:val="left"/>
        <w:rPr>
          <w:sz w:val="22"/>
        </w:rPr>
      </w:pPr>
      <w:r>
        <w:rPr>
          <w:sz w:val="22"/>
        </w:rPr>
        <w:t>EL DESARROLLO</w:t>
      </w:r>
      <w:r>
        <w:rPr>
          <w:spacing w:val="-1"/>
          <w:sz w:val="22"/>
        </w:rPr>
        <w:t> </w:t>
      </w:r>
      <w:r>
        <w:rPr>
          <w:sz w:val="22"/>
        </w:rPr>
        <w:t>SOCIAL</w:t>
      </w:r>
    </w:p>
    <w:p>
      <w:pPr>
        <w:pStyle w:val="BodyText"/>
        <w:spacing w:before="4"/>
        <w:rPr>
          <w:sz w:val="20"/>
        </w:rPr>
      </w:pPr>
    </w:p>
    <w:p>
      <w:pPr>
        <w:pStyle w:val="ListParagraph"/>
        <w:numPr>
          <w:ilvl w:val="0"/>
          <w:numId w:val="4"/>
        </w:numPr>
        <w:tabs>
          <w:tab w:pos="1622" w:val="left" w:leader="none"/>
        </w:tabs>
        <w:spacing w:line="240" w:lineRule="auto" w:before="0" w:after="0"/>
        <w:ind w:left="1621" w:right="0" w:hanging="361"/>
        <w:jc w:val="left"/>
        <w:rPr>
          <w:sz w:val="22"/>
        </w:rPr>
      </w:pPr>
      <w:r>
        <w:rPr>
          <w:sz w:val="22"/>
        </w:rPr>
        <w:t>GOBIERNO Y ESTADO DE</w:t>
      </w:r>
      <w:r>
        <w:rPr>
          <w:spacing w:val="-4"/>
          <w:sz w:val="22"/>
        </w:rPr>
        <w:t> </w:t>
      </w:r>
      <w:r>
        <w:rPr>
          <w:sz w:val="22"/>
        </w:rPr>
        <w:t>DERECHO</w:t>
      </w:r>
    </w:p>
    <w:p>
      <w:pPr>
        <w:pStyle w:val="BodyText"/>
        <w:spacing w:before="4"/>
        <w:rPr>
          <w:sz w:val="20"/>
        </w:rPr>
      </w:pPr>
    </w:p>
    <w:p>
      <w:pPr>
        <w:pStyle w:val="ListParagraph"/>
        <w:numPr>
          <w:ilvl w:val="0"/>
          <w:numId w:val="4"/>
        </w:numPr>
        <w:tabs>
          <w:tab w:pos="1622" w:val="left" w:leader="none"/>
        </w:tabs>
        <w:spacing w:line="240" w:lineRule="auto" w:before="0" w:after="0"/>
        <w:ind w:left="1621" w:right="0" w:hanging="361"/>
        <w:jc w:val="left"/>
        <w:rPr>
          <w:sz w:val="22"/>
        </w:rPr>
      </w:pPr>
      <w:r>
        <w:rPr>
          <w:sz w:val="22"/>
        </w:rPr>
        <w:t>EL DESARROLLO</w:t>
      </w:r>
      <w:r>
        <w:rPr>
          <w:spacing w:val="-1"/>
          <w:sz w:val="22"/>
        </w:rPr>
        <w:t> </w:t>
      </w:r>
      <w:r>
        <w:rPr>
          <w:sz w:val="22"/>
        </w:rPr>
        <w:t>ECONÓMICO</w:t>
      </w:r>
    </w:p>
    <w:p>
      <w:pPr>
        <w:pStyle w:val="BodyText"/>
        <w:spacing w:line="276" w:lineRule="auto" w:before="185"/>
        <w:ind w:left="901" w:right="1157"/>
        <w:jc w:val="both"/>
      </w:pPr>
      <w:r>
        <w:rPr/>
        <w:t>La elaboración, actualización y desarrollo de este instrumento, estará basada en la consideración de que la planeación del desarrollo se orienta por principios tales como:</w:t>
      </w:r>
    </w:p>
    <w:p>
      <w:pPr>
        <w:pStyle w:val="BodyText"/>
        <w:spacing w:line="276" w:lineRule="auto" w:before="201"/>
        <w:ind w:left="901" w:right="1153"/>
        <w:jc w:val="both"/>
      </w:pPr>
      <w:r>
        <w:rPr/>
        <w:t>La igualdad de derechos, la atención a las necesidades básicas de la población, la mejora de la calidad de vida, la participación ciudadana, la democracia, el uso óptimo de los recursos naturales, humanos, técnicos y financieros del municipio, y la búsqueda de la prosperidad para todos los habitantes del municipio.</w:t>
      </w:r>
    </w:p>
    <w:p>
      <w:pPr>
        <w:pStyle w:val="BodyText"/>
        <w:spacing w:line="276" w:lineRule="auto" w:before="199"/>
        <w:ind w:left="901" w:right="1154"/>
        <w:jc w:val="both"/>
        <w:rPr>
          <w:sz w:val="24"/>
        </w:rPr>
      </w:pPr>
      <w:r>
        <w:rPr/>
        <w:t>El H. Ayuntamiento, autoridad encargada de aplicar esta ley en el ámbito de su competencia, habrá de compartir la responsabilidad con “El Comité de Planeación para el Desarrollo Municipal”, órgano al que la misma ley le concede relevante importancia, por lo que ambos, habrán de conducir la planeación del desarrollo del municipio de Magdalena, fomentando la participación de los sectores, público, social </w:t>
      </w:r>
      <w:r>
        <w:rPr>
          <w:sz w:val="24"/>
        </w:rPr>
        <w:t>y privado.</w:t>
      </w:r>
    </w:p>
    <w:p>
      <w:pPr>
        <w:spacing w:before="205"/>
        <w:ind w:left="901" w:right="0" w:firstLine="0"/>
        <w:jc w:val="both"/>
        <w:rPr>
          <w:b/>
          <w:sz w:val="28"/>
        </w:rPr>
      </w:pPr>
      <w:r>
        <w:rPr>
          <w:b/>
          <w:sz w:val="28"/>
        </w:rPr>
        <w:t>UN PLAN ALINEADO</w:t>
      </w:r>
    </w:p>
    <w:p>
      <w:pPr>
        <w:pStyle w:val="BodyText"/>
        <w:spacing w:line="276" w:lineRule="auto" w:before="197"/>
        <w:ind w:left="901" w:right="1154"/>
        <w:jc w:val="both"/>
      </w:pPr>
      <w:r>
        <w:rPr/>
        <w:t>Cabe señalar que los objetivos planteados en el PLAN DE DESARROLLO MUNICIPAL ADMINISTRACIÓN 2018 - 2021 está alineado con las prioridades y objetivos que, en el ámbito regional, estatal y nacional, enmarquen los correspondientes planes de desarrollo vigentes al momento de la publicación de este instrumento:</w:t>
      </w:r>
    </w:p>
    <w:p>
      <w:pPr>
        <w:pStyle w:val="ListParagraph"/>
        <w:numPr>
          <w:ilvl w:val="0"/>
          <w:numId w:val="5"/>
        </w:numPr>
        <w:tabs>
          <w:tab w:pos="1621" w:val="left" w:leader="none"/>
          <w:tab w:pos="1622" w:val="left" w:leader="none"/>
        </w:tabs>
        <w:spacing w:line="240" w:lineRule="auto" w:before="199" w:after="0"/>
        <w:ind w:left="1621" w:right="0" w:hanging="361"/>
        <w:jc w:val="left"/>
        <w:rPr>
          <w:sz w:val="22"/>
        </w:rPr>
      </w:pPr>
      <w:r>
        <w:rPr>
          <w:sz w:val="22"/>
        </w:rPr>
        <w:t>PLANES REGIONALES DE DESARROLLO 2015 –</w:t>
      </w:r>
      <w:r>
        <w:rPr>
          <w:spacing w:val="-6"/>
          <w:sz w:val="22"/>
        </w:rPr>
        <w:t> </w:t>
      </w:r>
      <w:r>
        <w:rPr>
          <w:sz w:val="22"/>
        </w:rPr>
        <w:t>2025</w:t>
      </w:r>
    </w:p>
    <w:p>
      <w:pPr>
        <w:pStyle w:val="ListParagraph"/>
        <w:numPr>
          <w:ilvl w:val="0"/>
          <w:numId w:val="5"/>
        </w:numPr>
        <w:tabs>
          <w:tab w:pos="1621" w:val="left" w:leader="none"/>
          <w:tab w:pos="1622" w:val="left" w:leader="none"/>
        </w:tabs>
        <w:spacing w:line="240" w:lineRule="auto" w:before="200" w:after="0"/>
        <w:ind w:left="1621" w:right="0" w:hanging="361"/>
        <w:jc w:val="left"/>
        <w:rPr>
          <w:sz w:val="22"/>
        </w:rPr>
      </w:pPr>
      <w:r>
        <w:rPr>
          <w:sz w:val="22"/>
        </w:rPr>
        <w:t>PLAN ESTATAL DE DESARROLLO JALISCO 2013 –</w:t>
      </w:r>
      <w:r>
        <w:rPr>
          <w:spacing w:val="-1"/>
          <w:sz w:val="22"/>
        </w:rPr>
        <w:t> </w:t>
      </w:r>
      <w:r>
        <w:rPr>
          <w:sz w:val="22"/>
        </w:rPr>
        <w:t>2033</w:t>
      </w:r>
    </w:p>
    <w:p>
      <w:pPr>
        <w:pStyle w:val="ListParagraph"/>
        <w:numPr>
          <w:ilvl w:val="0"/>
          <w:numId w:val="5"/>
        </w:numPr>
        <w:tabs>
          <w:tab w:pos="1621" w:val="left" w:leader="none"/>
          <w:tab w:pos="1622" w:val="left" w:leader="none"/>
        </w:tabs>
        <w:spacing w:line="240" w:lineRule="auto" w:before="202" w:after="0"/>
        <w:ind w:left="1621" w:right="0" w:hanging="361"/>
        <w:jc w:val="left"/>
        <w:rPr>
          <w:sz w:val="22"/>
        </w:rPr>
      </w:pPr>
      <w:r>
        <w:rPr>
          <w:sz w:val="22"/>
        </w:rPr>
        <w:t>PLAN DE DESARROLLO NACIONAL 2013 –</w:t>
      </w:r>
      <w:r>
        <w:rPr>
          <w:spacing w:val="-5"/>
          <w:sz w:val="22"/>
        </w:rPr>
        <w:t> </w:t>
      </w:r>
      <w:r>
        <w:rPr>
          <w:sz w:val="22"/>
        </w:rPr>
        <w:t>2018</w:t>
      </w:r>
    </w:p>
    <w:p>
      <w:pPr>
        <w:spacing w:after="0" w:line="240" w:lineRule="auto"/>
        <w:jc w:val="left"/>
        <w:rPr>
          <w:sz w:val="22"/>
        </w:rPr>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ind w:left="901"/>
      </w:pPr>
      <w:r>
        <w:rPr/>
        <w:t>Los objetivos del PED:</w:t>
      </w:r>
    </w:p>
    <w:p>
      <w:pPr>
        <w:pStyle w:val="ListParagraph"/>
        <w:numPr>
          <w:ilvl w:val="0"/>
          <w:numId w:val="6"/>
        </w:numPr>
        <w:tabs>
          <w:tab w:pos="1622" w:val="left" w:leader="none"/>
        </w:tabs>
        <w:spacing w:line="240" w:lineRule="auto" w:before="201" w:after="0"/>
        <w:ind w:left="1621" w:right="0" w:hanging="361"/>
        <w:jc w:val="left"/>
        <w:rPr>
          <w:sz w:val="22"/>
        </w:rPr>
      </w:pPr>
      <w:r>
        <w:rPr>
          <w:sz w:val="22"/>
        </w:rPr>
        <w:t>Territorio y Medio Ambiente</w:t>
      </w:r>
      <w:r>
        <w:rPr>
          <w:spacing w:val="-6"/>
          <w:sz w:val="22"/>
        </w:rPr>
        <w:t> </w:t>
      </w:r>
      <w:r>
        <w:rPr>
          <w:sz w:val="22"/>
        </w:rPr>
        <w:t>Sustentable</w:t>
      </w:r>
    </w:p>
    <w:p>
      <w:pPr>
        <w:pStyle w:val="ListParagraph"/>
        <w:numPr>
          <w:ilvl w:val="0"/>
          <w:numId w:val="6"/>
        </w:numPr>
        <w:tabs>
          <w:tab w:pos="1622" w:val="left" w:leader="none"/>
        </w:tabs>
        <w:spacing w:line="240" w:lineRule="auto" w:before="198" w:after="0"/>
        <w:ind w:left="1621" w:right="0" w:hanging="361"/>
        <w:jc w:val="left"/>
        <w:rPr>
          <w:sz w:val="22"/>
        </w:rPr>
      </w:pPr>
      <w:r>
        <w:rPr>
          <w:sz w:val="22"/>
        </w:rPr>
        <w:t>Economía</w:t>
      </w:r>
      <w:r>
        <w:rPr>
          <w:spacing w:val="-1"/>
          <w:sz w:val="22"/>
        </w:rPr>
        <w:t> </w:t>
      </w:r>
      <w:r>
        <w:rPr>
          <w:sz w:val="22"/>
        </w:rPr>
        <w:t>Próspera</w:t>
      </w:r>
    </w:p>
    <w:p>
      <w:pPr>
        <w:pStyle w:val="ListParagraph"/>
        <w:numPr>
          <w:ilvl w:val="0"/>
          <w:numId w:val="6"/>
        </w:numPr>
        <w:tabs>
          <w:tab w:pos="1622" w:val="left" w:leader="none"/>
        </w:tabs>
        <w:spacing w:line="240" w:lineRule="auto" w:before="201" w:after="0"/>
        <w:ind w:left="1621" w:right="0" w:hanging="361"/>
        <w:jc w:val="left"/>
        <w:rPr>
          <w:sz w:val="22"/>
        </w:rPr>
      </w:pPr>
      <w:r>
        <w:rPr>
          <w:sz w:val="22"/>
        </w:rPr>
        <w:t>Equidad de</w:t>
      </w:r>
      <w:r>
        <w:rPr>
          <w:spacing w:val="-3"/>
          <w:sz w:val="22"/>
        </w:rPr>
        <w:t> </w:t>
      </w:r>
      <w:r>
        <w:rPr>
          <w:sz w:val="22"/>
        </w:rPr>
        <w:t>Oportunidades</w:t>
      </w:r>
    </w:p>
    <w:p>
      <w:pPr>
        <w:pStyle w:val="ListParagraph"/>
        <w:numPr>
          <w:ilvl w:val="0"/>
          <w:numId w:val="6"/>
        </w:numPr>
        <w:tabs>
          <w:tab w:pos="1622" w:val="left" w:leader="none"/>
        </w:tabs>
        <w:spacing w:line="240" w:lineRule="auto" w:before="200" w:after="0"/>
        <w:ind w:left="1621" w:right="0" w:hanging="361"/>
        <w:jc w:val="left"/>
        <w:rPr>
          <w:sz w:val="22"/>
        </w:rPr>
      </w:pPr>
      <w:r>
        <w:rPr>
          <w:sz w:val="22"/>
        </w:rPr>
        <w:t>Educación de</w:t>
      </w:r>
      <w:r>
        <w:rPr>
          <w:spacing w:val="-4"/>
          <w:sz w:val="22"/>
        </w:rPr>
        <w:t> </w:t>
      </w:r>
      <w:r>
        <w:rPr>
          <w:sz w:val="22"/>
        </w:rPr>
        <w:t>Calidad</w:t>
      </w:r>
    </w:p>
    <w:p>
      <w:pPr>
        <w:pStyle w:val="ListParagraph"/>
        <w:numPr>
          <w:ilvl w:val="0"/>
          <w:numId w:val="6"/>
        </w:numPr>
        <w:tabs>
          <w:tab w:pos="1622" w:val="left" w:leader="none"/>
        </w:tabs>
        <w:spacing w:line="240" w:lineRule="auto" w:before="201" w:after="0"/>
        <w:ind w:left="1621" w:right="0" w:hanging="361"/>
        <w:jc w:val="left"/>
        <w:rPr>
          <w:sz w:val="22"/>
        </w:rPr>
      </w:pPr>
      <w:r>
        <w:rPr>
          <w:sz w:val="22"/>
        </w:rPr>
        <w:t>Estado de</w:t>
      </w:r>
      <w:r>
        <w:rPr>
          <w:spacing w:val="-1"/>
          <w:sz w:val="22"/>
        </w:rPr>
        <w:t> </w:t>
      </w:r>
      <w:r>
        <w:rPr>
          <w:sz w:val="22"/>
        </w:rPr>
        <w:t>Derecho</w:t>
      </w:r>
    </w:p>
    <w:p>
      <w:pPr>
        <w:pStyle w:val="ListParagraph"/>
        <w:numPr>
          <w:ilvl w:val="0"/>
          <w:numId w:val="6"/>
        </w:numPr>
        <w:tabs>
          <w:tab w:pos="1622" w:val="left" w:leader="none"/>
        </w:tabs>
        <w:spacing w:line="240" w:lineRule="auto" w:before="198" w:after="0"/>
        <w:ind w:left="1621" w:right="0" w:hanging="361"/>
        <w:jc w:val="left"/>
        <w:rPr>
          <w:sz w:val="22"/>
        </w:rPr>
      </w:pPr>
      <w:r>
        <w:rPr>
          <w:sz w:val="22"/>
        </w:rPr>
        <w:t>Temas</w:t>
      </w:r>
      <w:r>
        <w:rPr>
          <w:spacing w:val="-8"/>
          <w:sz w:val="22"/>
        </w:rPr>
        <w:t> </w:t>
      </w:r>
      <w:r>
        <w:rPr>
          <w:sz w:val="22"/>
        </w:rPr>
        <w:t>transversales</w:t>
      </w:r>
    </w:p>
    <w:p>
      <w:pPr>
        <w:pStyle w:val="BodyText"/>
        <w:rPr>
          <w:sz w:val="26"/>
        </w:rPr>
      </w:pPr>
    </w:p>
    <w:p>
      <w:pPr>
        <w:pStyle w:val="BodyText"/>
        <w:spacing w:before="10"/>
        <w:rPr>
          <w:sz w:val="28"/>
        </w:rPr>
      </w:pPr>
    </w:p>
    <w:p>
      <w:pPr>
        <w:pStyle w:val="BodyText"/>
        <w:ind w:left="901" w:right="1435"/>
      </w:pPr>
      <w:r>
        <w:rPr/>
        <w:t>El Plan Nacional de Desarrollo 2019 – 2024 publicado el 2 de mayo de 2019, se articula en 3 Ejes:</w:t>
      </w:r>
    </w:p>
    <w:p>
      <w:pPr>
        <w:pStyle w:val="ListParagraph"/>
        <w:numPr>
          <w:ilvl w:val="0"/>
          <w:numId w:val="7"/>
        </w:numPr>
        <w:tabs>
          <w:tab w:pos="1163" w:val="left" w:leader="none"/>
        </w:tabs>
        <w:spacing w:line="240" w:lineRule="auto" w:before="200" w:after="0"/>
        <w:ind w:left="1162" w:right="0" w:hanging="262"/>
        <w:jc w:val="left"/>
        <w:rPr>
          <w:sz w:val="22"/>
        </w:rPr>
      </w:pPr>
      <w:r>
        <w:rPr>
          <w:sz w:val="22"/>
        </w:rPr>
        <w:t>Política y</w:t>
      </w:r>
      <w:r>
        <w:rPr>
          <w:spacing w:val="-4"/>
          <w:sz w:val="22"/>
        </w:rPr>
        <w:t> </w:t>
      </w:r>
      <w:r>
        <w:rPr>
          <w:sz w:val="22"/>
        </w:rPr>
        <w:t>Gobierno</w:t>
      </w:r>
    </w:p>
    <w:p>
      <w:pPr>
        <w:pStyle w:val="ListParagraph"/>
        <w:numPr>
          <w:ilvl w:val="0"/>
          <w:numId w:val="7"/>
        </w:numPr>
        <w:tabs>
          <w:tab w:pos="1163" w:val="left" w:leader="none"/>
        </w:tabs>
        <w:spacing w:line="240" w:lineRule="auto" w:before="200" w:after="0"/>
        <w:ind w:left="1162" w:right="0" w:hanging="262"/>
        <w:jc w:val="left"/>
        <w:rPr>
          <w:sz w:val="22"/>
        </w:rPr>
      </w:pPr>
      <w:r>
        <w:rPr>
          <w:sz w:val="22"/>
        </w:rPr>
        <w:t>Política</w:t>
      </w:r>
      <w:r>
        <w:rPr>
          <w:spacing w:val="-2"/>
          <w:sz w:val="22"/>
        </w:rPr>
        <w:t> </w:t>
      </w:r>
      <w:r>
        <w:rPr>
          <w:sz w:val="22"/>
        </w:rPr>
        <w:t>Social</w:t>
      </w:r>
    </w:p>
    <w:p>
      <w:pPr>
        <w:pStyle w:val="ListParagraph"/>
        <w:numPr>
          <w:ilvl w:val="0"/>
          <w:numId w:val="7"/>
        </w:numPr>
        <w:tabs>
          <w:tab w:pos="1163" w:val="left" w:leader="none"/>
        </w:tabs>
        <w:spacing w:line="240" w:lineRule="auto" w:before="199" w:after="0"/>
        <w:ind w:left="1162" w:right="0" w:hanging="262"/>
        <w:jc w:val="left"/>
        <w:rPr>
          <w:sz w:val="22"/>
        </w:rPr>
      </w:pPr>
      <w:r>
        <w:rPr>
          <w:sz w:val="22"/>
        </w:rPr>
        <w:t>Economía</w:t>
      </w:r>
    </w:p>
    <w:p>
      <w:pPr>
        <w:pStyle w:val="BodyText"/>
        <w:spacing w:line="276" w:lineRule="auto" w:before="200"/>
        <w:ind w:left="901" w:right="1155"/>
        <w:jc w:val="both"/>
      </w:pPr>
      <w:r>
        <w:rPr/>
        <w:t>Para el logro de los objetivos de este PLAN MUNICIPAL DE DESARROLLO el Ayuntamiento de Magdalena, ha llevado a cabo, dentro del proceso de planeación, la consulta pública, la concertación y por igual la aprobación de los conceptos y factores que intervienen en la fundamentación del citado PLAN MUNICIPAL DE DESARROLLO; en su momento publicará y difundirá los planes para que sean un instrumento de ejecución y control del desarrollo municipal, y luego conjuntamente con la sociedad, se harán las evaluaciones de los logros y resultados de la aplicación de las políticas y programas municipales derivados del Plan.</w:t>
      </w:r>
    </w:p>
    <w:p>
      <w:pPr>
        <w:pStyle w:val="BodyText"/>
        <w:spacing w:line="276" w:lineRule="auto" w:before="200"/>
        <w:ind w:left="901" w:right="1155"/>
        <w:jc w:val="both"/>
      </w:pPr>
      <w:r>
        <w:rPr/>
        <w:t>Fundamental, será la utilización de la información que el IIEG, INEGI, las Instituciones de Enseñanza Superior, las Entidades Estatales y Federales, los Particulares, entre otros, Aporten para la realización más certera del Plan Municipal.</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4"/>
        <w:jc w:val="both"/>
      </w:pPr>
      <w:r>
        <w:rPr/>
        <w:t>Los objetivos generales del Plan Municipal de Desarrollo y Gobernanza serán precisos, al igual que sus objetivos y lineamientos, esperando contar para ello con el valioso apoyo del organismo de Planeación del Estado, La Secretaría de Planeación y Participación Ciudadana, y coadyuvar para que la rectoría que el citado plan establezca, norme la actuación de todas las dependencias de la administración pública.</w:t>
      </w:r>
    </w:p>
    <w:p>
      <w:pPr>
        <w:pStyle w:val="BodyText"/>
        <w:spacing w:line="276" w:lineRule="auto" w:before="201"/>
        <w:ind w:left="901" w:right="1156"/>
        <w:jc w:val="both"/>
      </w:pPr>
      <w:r>
        <w:rPr/>
        <w:t>Los objetivos son claros, las metas por alcanzar, lo son por igual, al aprobarlo, el Ayuntamiento de Magdalena, espera que este “PLAN MUNICIPAL DE DESARROLLO DE MAGDALENA”, sea el instrumento que le permita impulsar el desarrollo integral que anhela su comunidad.</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pPr>
    </w:p>
    <w:p>
      <w:pPr>
        <w:spacing w:line="667" w:lineRule="exact" w:before="0"/>
        <w:ind w:left="901" w:right="0" w:firstLine="0"/>
        <w:jc w:val="left"/>
        <w:rPr>
          <w:rFonts w:ascii="Corbel" w:hAnsi="Corbel"/>
          <w:sz w:val="56"/>
        </w:rPr>
      </w:pPr>
      <w:bookmarkStart w:name="_bookmark1" w:id="2"/>
      <w:bookmarkEnd w:id="2"/>
      <w:r>
        <w:rPr/>
      </w:r>
      <w:r>
        <w:rPr>
          <w:rFonts w:ascii="Corbel" w:hAnsi="Corbel"/>
          <w:color w:val="585858"/>
          <w:sz w:val="56"/>
        </w:rPr>
        <w:t>INTRODUCCIÓN</w:t>
      </w:r>
    </w:p>
    <w:p>
      <w:pPr>
        <w:pStyle w:val="BodyText"/>
        <w:spacing w:before="1"/>
        <w:rPr>
          <w:rFonts w:ascii="Corbel"/>
          <w:sz w:val="42"/>
        </w:rPr>
      </w:pPr>
    </w:p>
    <w:p>
      <w:pPr>
        <w:pStyle w:val="BodyText"/>
        <w:spacing w:line="276" w:lineRule="auto"/>
        <w:ind w:left="901" w:right="1155"/>
        <w:jc w:val="both"/>
      </w:pPr>
      <w:r>
        <w:rPr/>
        <w:t>Durante la elaboración del PMDYG del Municipio de Magdalena, el  Ayuntamiento lideró un análisis exhaustivo de la problemática local con la participación permanente de la ciudadanía, de las diferentes comunidades, así como de los diversos actores políticos, sociales y económicos. Así como con la participación de las diferentes instituciones públicas y privadas, es decir, todos aquellos actores que intervienen en el desarrollo del</w:t>
      </w:r>
      <w:r>
        <w:rPr>
          <w:spacing w:val="-2"/>
        </w:rPr>
        <w:t> </w:t>
      </w:r>
      <w:r>
        <w:rPr/>
        <w:t>municipio.</w:t>
      </w:r>
    </w:p>
    <w:p>
      <w:pPr>
        <w:pStyle w:val="BodyText"/>
        <w:spacing w:line="276" w:lineRule="auto" w:before="201"/>
        <w:ind w:left="901" w:right="1155"/>
        <w:jc w:val="both"/>
      </w:pPr>
      <w:r>
        <w:rPr/>
        <w:t>Ahora bien, para alcanzar los objetivos del desarrollo municipal, es indispensable un amplio diagnóstico del estado en que se encuentra el municipio de Magdalena, que ayude a identificar e interpretar de forma coherente, entendible y confiable los problemas que se enfrentan y así, estar en condiciones de plantear acciones y programas eficaces y alineados a la solución de los problemas que aquejan a los habitantes del municipio.</w:t>
      </w:r>
    </w:p>
    <w:p>
      <w:pPr>
        <w:pStyle w:val="BodyText"/>
        <w:spacing w:line="276" w:lineRule="auto" w:before="200"/>
        <w:ind w:left="901" w:right="1156"/>
        <w:jc w:val="both"/>
      </w:pPr>
      <w:r>
        <w:rPr/>
        <w:t>Para estructurar el Plan de Desarrollo Municipal, se constituirán cuatro ejes temáticos fundamentales:</w:t>
      </w:r>
    </w:p>
    <w:p>
      <w:pPr>
        <w:pStyle w:val="ListParagraph"/>
        <w:numPr>
          <w:ilvl w:val="0"/>
          <w:numId w:val="8"/>
        </w:numPr>
        <w:tabs>
          <w:tab w:pos="1144" w:val="left" w:leader="none"/>
        </w:tabs>
        <w:spacing w:line="240" w:lineRule="auto" w:before="198" w:after="0"/>
        <w:ind w:left="1143" w:right="0" w:hanging="243"/>
        <w:jc w:val="left"/>
        <w:rPr>
          <w:sz w:val="22"/>
        </w:rPr>
      </w:pPr>
      <w:r>
        <w:rPr>
          <w:sz w:val="22"/>
        </w:rPr>
        <w:t>Desarrollo sostenible del</w:t>
      </w:r>
      <w:r>
        <w:rPr>
          <w:spacing w:val="-4"/>
          <w:sz w:val="22"/>
        </w:rPr>
        <w:t> </w:t>
      </w:r>
      <w:r>
        <w:rPr>
          <w:sz w:val="22"/>
        </w:rPr>
        <w:t>territorio.</w:t>
      </w:r>
    </w:p>
    <w:p>
      <w:pPr>
        <w:pStyle w:val="BodyText"/>
        <w:spacing w:before="9"/>
        <w:rPr>
          <w:sz w:val="19"/>
        </w:rPr>
      </w:pPr>
    </w:p>
    <w:p>
      <w:pPr>
        <w:pStyle w:val="ListParagraph"/>
        <w:numPr>
          <w:ilvl w:val="0"/>
          <w:numId w:val="8"/>
        </w:numPr>
        <w:tabs>
          <w:tab w:pos="1144" w:val="left" w:leader="none"/>
        </w:tabs>
        <w:spacing w:line="240" w:lineRule="auto" w:before="0" w:after="0"/>
        <w:ind w:left="1143" w:right="0" w:hanging="243"/>
        <w:jc w:val="left"/>
        <w:rPr>
          <w:sz w:val="22"/>
        </w:rPr>
      </w:pPr>
      <w:r>
        <w:rPr>
          <w:sz w:val="22"/>
        </w:rPr>
        <w:t>Desarrollo</w:t>
      </w:r>
      <w:r>
        <w:rPr>
          <w:spacing w:val="-2"/>
          <w:sz w:val="22"/>
        </w:rPr>
        <w:t> </w:t>
      </w:r>
      <w:r>
        <w:rPr>
          <w:sz w:val="22"/>
        </w:rPr>
        <w:t>Social.</w:t>
      </w:r>
    </w:p>
    <w:p>
      <w:pPr>
        <w:pStyle w:val="BodyText"/>
        <w:spacing w:before="9"/>
        <w:rPr>
          <w:sz w:val="19"/>
        </w:rPr>
      </w:pPr>
    </w:p>
    <w:p>
      <w:pPr>
        <w:pStyle w:val="ListParagraph"/>
        <w:numPr>
          <w:ilvl w:val="0"/>
          <w:numId w:val="8"/>
        </w:numPr>
        <w:tabs>
          <w:tab w:pos="1144" w:val="left" w:leader="none"/>
        </w:tabs>
        <w:spacing w:line="240" w:lineRule="auto" w:before="0" w:after="0"/>
        <w:ind w:left="1143" w:right="0" w:hanging="243"/>
        <w:jc w:val="left"/>
        <w:rPr>
          <w:sz w:val="22"/>
        </w:rPr>
      </w:pPr>
      <w:r>
        <w:rPr>
          <w:sz w:val="22"/>
        </w:rPr>
        <w:t>Gobierno y Estado de</w:t>
      </w:r>
      <w:r>
        <w:rPr>
          <w:spacing w:val="-6"/>
          <w:sz w:val="22"/>
        </w:rPr>
        <w:t> </w:t>
      </w:r>
      <w:r>
        <w:rPr>
          <w:sz w:val="22"/>
        </w:rPr>
        <w:t>Derecho</w:t>
      </w:r>
    </w:p>
    <w:p>
      <w:pPr>
        <w:pStyle w:val="BodyText"/>
        <w:spacing w:before="6"/>
        <w:rPr>
          <w:sz w:val="19"/>
        </w:rPr>
      </w:pPr>
    </w:p>
    <w:p>
      <w:pPr>
        <w:pStyle w:val="ListParagraph"/>
        <w:numPr>
          <w:ilvl w:val="0"/>
          <w:numId w:val="8"/>
        </w:numPr>
        <w:tabs>
          <w:tab w:pos="1144" w:val="left" w:leader="none"/>
        </w:tabs>
        <w:spacing w:line="240" w:lineRule="auto" w:before="0" w:after="0"/>
        <w:ind w:left="1143" w:right="0" w:hanging="243"/>
        <w:jc w:val="left"/>
        <w:rPr>
          <w:sz w:val="22"/>
        </w:rPr>
      </w:pPr>
      <w:r>
        <w:rPr>
          <w:sz w:val="22"/>
        </w:rPr>
        <w:t>El Desarrollo</w:t>
      </w:r>
      <w:r>
        <w:rPr>
          <w:spacing w:val="-2"/>
          <w:sz w:val="22"/>
        </w:rPr>
        <w:t> </w:t>
      </w:r>
      <w:r>
        <w:rPr>
          <w:sz w:val="22"/>
        </w:rPr>
        <w:t>Económico.</w:t>
      </w:r>
    </w:p>
    <w:p>
      <w:pPr>
        <w:pStyle w:val="BodyText"/>
        <w:spacing w:before="8"/>
        <w:rPr>
          <w:sz w:val="19"/>
        </w:rPr>
      </w:pPr>
    </w:p>
    <w:p>
      <w:pPr>
        <w:pStyle w:val="BodyText"/>
        <w:spacing w:line="276" w:lineRule="auto"/>
        <w:ind w:left="901" w:right="1157"/>
        <w:jc w:val="both"/>
      </w:pPr>
      <w:r>
        <w:rPr/>
        <w:t>En el contexto de cada uno de estos Ejes, se especificarán apartados especializados que habrán de permitirnos lograr una óptima comprensión de las condiciones socioeconómicas del Municipio en el marco del tema especificado.</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pPr>
    </w:p>
    <w:p>
      <w:pPr>
        <w:spacing w:line="667" w:lineRule="exact" w:before="0"/>
        <w:ind w:left="901" w:right="0" w:firstLine="0"/>
        <w:jc w:val="left"/>
        <w:rPr>
          <w:rFonts w:ascii="Corbel" w:hAnsi="Corbel"/>
          <w:sz w:val="56"/>
        </w:rPr>
      </w:pPr>
      <w:bookmarkStart w:name="_bookmark2" w:id="3"/>
      <w:bookmarkEnd w:id="3"/>
      <w:r>
        <w:rPr/>
      </w:r>
      <w:r>
        <w:rPr>
          <w:rFonts w:ascii="Corbel" w:hAnsi="Corbel"/>
          <w:color w:val="585858"/>
          <w:sz w:val="56"/>
        </w:rPr>
        <w:t>VISIÓN</w:t>
      </w:r>
    </w:p>
    <w:p>
      <w:pPr>
        <w:pStyle w:val="BodyText"/>
        <w:spacing w:before="9"/>
        <w:rPr>
          <w:rFonts w:ascii="Corbel"/>
          <w:sz w:val="72"/>
        </w:rPr>
      </w:pPr>
    </w:p>
    <w:p>
      <w:pPr>
        <w:pStyle w:val="BodyText"/>
        <w:spacing w:line="276" w:lineRule="auto"/>
        <w:ind w:left="901" w:right="1155"/>
        <w:jc w:val="both"/>
      </w:pPr>
      <w:r>
        <w:rPr/>
        <w:t>Para el año 2030 Magdalena será un municipio modelo, próspero y de los más seguros del Estado, con una destacada economía que le permitirá ser reconocido en el ámbito regional, estatal y nacional por los siguientes factores:</w:t>
      </w:r>
    </w:p>
    <w:p>
      <w:pPr>
        <w:pStyle w:val="BodyText"/>
        <w:spacing w:line="276" w:lineRule="auto" w:before="200"/>
        <w:ind w:left="901" w:right="1155"/>
        <w:jc w:val="both"/>
      </w:pPr>
      <w:r>
        <w:rPr/>
        <w:t>_ Ser un municipio cuyo crecimiento sostenido se deriva de haber desarrollado una industria agropecuaria, cuya tecnología de punta es ejemplo estatal y nacional, siendo este sector productivo de un dinamismo que lo ubica a la cabeza en el contexto regional.</w:t>
      </w:r>
    </w:p>
    <w:p>
      <w:pPr>
        <w:pStyle w:val="BodyText"/>
        <w:spacing w:line="276" w:lineRule="auto" w:before="200"/>
        <w:ind w:left="901" w:right="1155"/>
        <w:jc w:val="both"/>
      </w:pPr>
      <w:r>
        <w:rPr/>
        <w:t>_ Municipio de gran atracción turística, actividad económica que le permite sumarse a los destinos de montaña y de acuacultura de agua dulce más importantes en el estado, incorporándose a ellos el desarrollo de los deportes acuáticos, favorecidos por la pureza de las aguas de sus lagunas y los vientos y el clima altamente favorable. Así mismo, Magdalena se incorpora al corredor del paisaje agavero ampliando los servicios turísticos al visitante nacional e internacional que viene a conocer uno de los iconos del Estado de Jalisco: el tequila.</w:t>
      </w:r>
    </w:p>
    <w:p>
      <w:pPr>
        <w:pStyle w:val="BodyText"/>
        <w:spacing w:line="276" w:lineRule="auto" w:before="200"/>
        <w:ind w:left="901" w:right="1155"/>
        <w:jc w:val="both"/>
      </w:pPr>
      <w:r>
        <w:rPr/>
        <w:t>_ La seguridad y tranquilidad con que el ciudadano desarrolla su vida cotidiana, han elevado el nivel cultural y los valores de las familias que viven en el municipio, lo que ha traido consigo también la eficiente calidad en los servicios de salud, y sin duda, la excelencia de los servicios públicos municipales.</w:t>
      </w:r>
    </w:p>
    <w:p>
      <w:pPr>
        <w:pStyle w:val="BodyText"/>
        <w:spacing w:line="276" w:lineRule="auto" w:before="197"/>
        <w:ind w:left="901" w:right="1157"/>
        <w:jc w:val="both"/>
      </w:pPr>
      <w:r>
        <w:rPr>
          <w:rFonts w:ascii="Corbel" w:hAnsi="Corbel"/>
        </w:rPr>
        <w:t>_ </w:t>
      </w:r>
      <w:r>
        <w:rPr/>
        <w:t>El profundizar la democracia con la creciente participación ciudadana y </w:t>
      </w:r>
      <w:r>
        <w:rPr>
          <w:spacing w:val="-4"/>
        </w:rPr>
        <w:t>la </w:t>
      </w:r>
      <w:r>
        <w:rPr/>
        <w:t>corresponsabilidad social, han construido un municipio incluyente, con instituciones municipales sólidas y eficientes en los aspectos sociales y financieros, y eficaces para la gestión y promoción del desarrollo</w:t>
      </w:r>
      <w:r>
        <w:rPr>
          <w:spacing w:val="-7"/>
        </w:rPr>
        <w:t> </w:t>
      </w:r>
      <w:r>
        <w:rPr/>
        <w:t>municipal.</w:t>
      </w:r>
    </w:p>
    <w:p>
      <w:pPr>
        <w:pStyle w:val="BodyText"/>
        <w:spacing w:line="276" w:lineRule="auto" w:before="205"/>
        <w:ind w:left="901" w:right="1155"/>
        <w:jc w:val="both"/>
      </w:pPr>
      <w:r>
        <w:rPr/>
        <w:t>_Preservar un medio ambiente sano como el que se tiene en el municipio de Magdalena, es motivo de orgullo para sus habitantes, que conjuntamente con sus autoridades, practican con celoso cuidado un constante empeño por conservar su suelo, sus aguas, su aire, su flora y fauna y más que nada, impulsar el desarrollo de los seres humanos en armonía con la</w:t>
      </w:r>
      <w:r>
        <w:rPr>
          <w:spacing w:val="-9"/>
        </w:rPr>
        <w:t> </w:t>
      </w:r>
      <w:r>
        <w:rPr/>
        <w:t>naturaleza.</w:t>
      </w:r>
    </w:p>
    <w:p>
      <w:pPr>
        <w:pStyle w:val="BodyText"/>
        <w:spacing w:line="276" w:lineRule="auto" w:before="199"/>
        <w:ind w:left="901" w:right="1155"/>
        <w:jc w:val="both"/>
      </w:pPr>
      <w:r>
        <w:rPr/>
        <w:t>_ Haber planeado el desarrollo con responsabilidad, hace 20 años, pero sobremanera, haber actuado con firmeza y conforme a los planes establecidos, le ha permitido </w:t>
      </w:r>
      <w:r>
        <w:rPr>
          <w:spacing w:val="-3"/>
        </w:rPr>
        <w:t>al</w:t>
      </w:r>
      <w:r>
        <w:rPr>
          <w:spacing w:val="54"/>
        </w:rPr>
        <w:t> </w:t>
      </w:r>
      <w:r>
        <w:rPr/>
        <w:t>municipio de Magdalena, estar y seguir estando a la vanguardia en el ámbito de la planeación y el desarrollo ordenados, de los mejores municipios, no solo en el estado sino de la República Mexicana.</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6"/>
        <w:jc w:val="both"/>
      </w:pPr>
      <w:r>
        <w:rPr/>
        <w:t>Vivir en el municipio de Magdalena, ofrece a sus habitantes, la seguridad en sus trabajos, los segundos mejor pagados en el estado, tan solo superados por la zona metropolitana.</w:t>
      </w:r>
    </w:p>
    <w:p>
      <w:pPr>
        <w:pStyle w:val="BodyText"/>
        <w:spacing w:line="276" w:lineRule="auto" w:before="200"/>
        <w:ind w:left="901" w:right="1153"/>
        <w:jc w:val="both"/>
      </w:pPr>
      <w:r>
        <w:rPr/>
        <w:t>Los productos agrícolas, artesanales y mineros están debidamente promovidos en el mercado nacional y extranjero, y sus exportaciones están seguras y seguirán alcanzando los mejores precios, todo ello debido al alto grado de especialización y tecnología que alcanzan los estudiantes del municipio, quienes aplican sus conocimientos al desarrollo de la economía local y generan valor agregado a la producción</w:t>
      </w:r>
      <w:r>
        <w:rPr>
          <w:spacing w:val="-3"/>
        </w:rPr>
        <w:t> </w:t>
      </w:r>
      <w:r>
        <w:rPr/>
        <w:t>municipal.</w:t>
      </w:r>
    </w:p>
    <w:p>
      <w:pPr>
        <w:pStyle w:val="BodyText"/>
        <w:spacing w:line="276" w:lineRule="auto" w:before="200"/>
        <w:ind w:left="901" w:right="1156" w:firstLine="62"/>
        <w:jc w:val="both"/>
      </w:pPr>
      <w:r>
        <w:rPr/>
        <w:t>Ambiente cultural y educativo destacado, apoyado fuertemente por las instituciones universitarias de la localidad, a las que asisten un importante grupo de estudiantes extranjeros. Así mismo, un intercambio cultural y académico con numerosas  instituciones de México y del exterior, le permiten a los jóvenes de la localidad, estudiar la carrera que asegure su futuro, y formarse en un ambiente de primer nivel que los hace competitivos para estar en los más importantes staff gerenciales de las mejores empresas ubicadas en nuestro estado. La vida universitaria, es inmejorable en los diferentes campus y sus efectos se reflejan en el desarrollo</w:t>
      </w:r>
      <w:r>
        <w:rPr>
          <w:spacing w:val="-15"/>
        </w:rPr>
        <w:t> </w:t>
      </w:r>
      <w:r>
        <w:rPr/>
        <w:t>municipal.</w:t>
      </w:r>
    </w:p>
    <w:p>
      <w:pPr>
        <w:spacing w:after="0" w:line="276" w:lineRule="auto"/>
        <w:jc w:val="both"/>
        <w:sectPr>
          <w:pgSz w:w="12240" w:h="15840"/>
          <w:pgMar w:header="178" w:footer="1076" w:top="1120" w:bottom="1360" w:left="460" w:right="220"/>
        </w:sectPr>
      </w:pPr>
    </w:p>
    <w:p>
      <w:pPr>
        <w:pStyle w:val="BodyText"/>
        <w:rPr>
          <w:sz w:val="20"/>
        </w:rPr>
      </w:pPr>
    </w:p>
    <w:p>
      <w:pPr>
        <w:pStyle w:val="Heading1"/>
      </w:pPr>
      <w:bookmarkStart w:name="_bookmark3" w:id="4"/>
      <w:bookmarkEnd w:id="4"/>
      <w:r>
        <w:rPr/>
      </w:r>
      <w:r>
        <w:rPr>
          <w:color w:val="3D3D3D"/>
        </w:rPr>
        <w:t>MISIÓN</w:t>
      </w:r>
    </w:p>
    <w:p>
      <w:pPr>
        <w:pStyle w:val="BodyText"/>
        <w:spacing w:before="7"/>
        <w:rPr>
          <w:sz w:val="40"/>
        </w:rPr>
      </w:pPr>
    </w:p>
    <w:p>
      <w:pPr>
        <w:pStyle w:val="BodyText"/>
        <w:spacing w:line="276" w:lineRule="auto"/>
        <w:ind w:left="901" w:right="1156"/>
        <w:jc w:val="both"/>
      </w:pPr>
      <w:r>
        <w:rPr>
          <w:spacing w:val="-3"/>
        </w:rPr>
        <w:t>Al </w:t>
      </w:r>
      <w:r>
        <w:rPr/>
        <w:t>emprender esta tarea, que nos habrá de elevar las miras hacia un futuro promisorio, es preciso dejar en claro que nuestra misión</w:t>
      </w:r>
      <w:r>
        <w:rPr>
          <w:spacing w:val="-13"/>
        </w:rPr>
        <w:t> </w:t>
      </w:r>
      <w:r>
        <w:rPr/>
        <w:t>es:</w:t>
      </w:r>
    </w:p>
    <w:p>
      <w:pPr>
        <w:pStyle w:val="BodyText"/>
        <w:spacing w:line="276" w:lineRule="auto" w:before="200"/>
        <w:ind w:left="901" w:right="1156"/>
        <w:jc w:val="both"/>
      </w:pPr>
      <w:r>
        <w:rPr/>
        <w:t>Servir a la ciudadanía desde la posición en el H. Ayuntamiento que ella misma nos </w:t>
      </w:r>
      <w:r>
        <w:rPr>
          <w:spacing w:val="-3"/>
        </w:rPr>
        <w:t>ha </w:t>
      </w:r>
      <w:r>
        <w:rPr/>
        <w:t>encomendado, y este servicio, reflejarlo en el logro de mejores condiciones de vida para los habitantes de</w:t>
      </w:r>
      <w:r>
        <w:rPr>
          <w:spacing w:val="-7"/>
        </w:rPr>
        <w:t> </w:t>
      </w:r>
      <w:r>
        <w:rPr/>
        <w:t>Magdalena</w:t>
      </w:r>
    </w:p>
    <w:p>
      <w:pPr>
        <w:pStyle w:val="BodyText"/>
        <w:spacing w:line="276" w:lineRule="auto" w:before="200"/>
        <w:ind w:left="901" w:right="1155"/>
        <w:jc w:val="both"/>
      </w:pPr>
      <w:r>
        <w:rPr/>
        <w:t>Siguiendo en cada una de las acciones y programas a emprender, los planteamientos de un desarrollo sostenido, sustentable y fundamentado en la buena gestión y  eficiencia administrativa, con una planeación altamente participativa, de tal forma que estas acciones de planeación faciliten y a su vez encaucen las iniciativas de toda la población, autoridades, sector público, sector privado y social, que deriven en decisiones más acertadas para el desarrollo integral del</w:t>
      </w:r>
      <w:r>
        <w:rPr>
          <w:spacing w:val="-5"/>
        </w:rPr>
        <w:t> </w:t>
      </w:r>
      <w:r>
        <w:rPr/>
        <w:t>municipio.</w:t>
      </w:r>
    </w:p>
    <w:p>
      <w:pPr>
        <w:pStyle w:val="BodyText"/>
        <w:spacing w:line="276" w:lineRule="auto" w:before="201"/>
        <w:ind w:left="901" w:right="1152"/>
        <w:jc w:val="both"/>
      </w:pPr>
      <w:r>
        <w:rPr/>
        <w:t>Trabajando para todos con la intención de alcanzar un municipio más equitativo que apoye con mayores recursos y esfuerzos las zonas y las personas más rezagadas; promueva la participación de la iniciativa privada en la creación empleos bien remunerados, fomente la oferta de enseñanza superior, que por ende eleve el nivel cultural y educativo, así como el bienestar de la ciudadanía; impulse la creación de centros recreativos y deportivos que apoyen el sano esparcimiento de la población joven y fomenten la convivencia; incentive el desarrollo en general de los habitantes del municipio, rescatando las tradiciones y sus acentos culturales; preserve el medio ambiente sano y rescate lo que se encuentre contaminado o en deterioro; Y finalmente, fomente la participación de toda la sociedad en la toma de decisiones.</w:t>
      </w:r>
    </w:p>
    <w:p>
      <w:pPr>
        <w:spacing w:after="0" w:line="276" w:lineRule="auto"/>
        <w:jc w:val="both"/>
        <w:sectPr>
          <w:pgSz w:w="12240" w:h="15840"/>
          <w:pgMar w:header="178" w:footer="1076" w:top="1120" w:bottom="1360" w:left="460" w:right="220"/>
        </w:sectPr>
      </w:pPr>
    </w:p>
    <w:p>
      <w:pPr>
        <w:pStyle w:val="BodyText"/>
        <w:rPr>
          <w:sz w:val="20"/>
        </w:rPr>
      </w:pPr>
    </w:p>
    <w:p>
      <w:pPr>
        <w:pStyle w:val="Heading1"/>
      </w:pPr>
      <w:bookmarkStart w:name="_bookmark4" w:id="5"/>
      <w:bookmarkEnd w:id="5"/>
      <w:r>
        <w:rPr/>
      </w:r>
      <w:r>
        <w:rPr>
          <w:color w:val="3D3D3D"/>
        </w:rPr>
        <w:t>ANTECEDENTES HISTÓRICOS</w:t>
      </w:r>
    </w:p>
    <w:p>
      <w:pPr>
        <w:spacing w:before="293"/>
        <w:ind w:left="901" w:right="0" w:firstLine="0"/>
        <w:jc w:val="left"/>
        <w:rPr>
          <w:rFonts w:ascii="Corbel" w:hAnsi="Corbel"/>
          <w:sz w:val="22"/>
        </w:rPr>
      </w:pPr>
      <w:r>
        <w:rPr>
          <w:rFonts w:ascii="Corbel" w:hAnsi="Corbel"/>
          <w:b/>
          <w:sz w:val="22"/>
        </w:rPr>
        <w:t>Denominación: </w:t>
      </w:r>
      <w:r>
        <w:rPr>
          <w:rFonts w:ascii="Corbel" w:hAnsi="Corbel"/>
          <w:sz w:val="22"/>
        </w:rPr>
        <w:t>Magdalena.</w:t>
      </w:r>
    </w:p>
    <w:p>
      <w:pPr>
        <w:pStyle w:val="BodyText"/>
        <w:spacing w:before="8"/>
        <w:rPr>
          <w:rFonts w:ascii="Corbel"/>
          <w:sz w:val="19"/>
        </w:rPr>
      </w:pPr>
    </w:p>
    <w:p>
      <w:pPr>
        <w:pStyle w:val="Heading4"/>
        <w:rPr>
          <w:rFonts w:ascii="Corbel" w:hAnsi="Corbel"/>
        </w:rPr>
      </w:pPr>
      <w:r>
        <w:rPr>
          <w:rFonts w:ascii="Corbel" w:hAnsi="Corbel"/>
        </w:rPr>
        <w:t>Descripción:</w:t>
      </w:r>
    </w:p>
    <w:p>
      <w:pPr>
        <w:pStyle w:val="BodyText"/>
        <w:spacing w:before="11"/>
        <w:rPr>
          <w:rFonts w:ascii="Corbel"/>
          <w:b/>
          <w:sz w:val="19"/>
        </w:rPr>
      </w:pPr>
    </w:p>
    <w:p>
      <w:pPr>
        <w:pStyle w:val="BodyText"/>
        <w:spacing w:line="276" w:lineRule="auto"/>
        <w:ind w:left="901" w:right="1156"/>
        <w:jc w:val="both"/>
      </w:pPr>
      <w:r>
        <w:rPr/>
        <w:t>Es un escudo de forma española, cortado y manchado de tres puntas. Primero de azur (azul) con cuatro flores de seis pétalos blancas y rosadas, con tallos y hojas de su color que brotan de las vertientes del encaje.</w:t>
      </w:r>
    </w:p>
    <w:p>
      <w:pPr>
        <w:pStyle w:val="BodyText"/>
        <w:spacing w:line="276" w:lineRule="auto" w:before="202"/>
        <w:ind w:left="901" w:right="1156"/>
        <w:jc w:val="both"/>
      </w:pPr>
      <w:r>
        <w:rPr/>
        <w:t>Segundo de sinople (verde) un chevron de plata acompañado en lo alto por dos roeles blancos y por lo bajo de otro ígneo. Y por timbre una corona murada, realzada de cuatro torres interpoladas de cuatro garitas de las cuales tres y dos, son vistas respectivamente, de oro mazonadas de sable y con saeteras en torres y</w:t>
      </w:r>
      <w:r>
        <w:rPr>
          <w:spacing w:val="-23"/>
        </w:rPr>
        <w:t> </w:t>
      </w:r>
      <w:r>
        <w:rPr/>
        <w:t>garitas.</w:t>
      </w:r>
    </w:p>
    <w:p>
      <w:pPr>
        <w:pStyle w:val="BodyText"/>
        <w:spacing w:line="278" w:lineRule="auto" w:before="200"/>
        <w:ind w:left="901" w:right="1155"/>
        <w:jc w:val="both"/>
        <w:rPr>
          <w:sz w:val="24"/>
        </w:rPr>
      </w:pPr>
      <w:r>
        <w:rPr/>
        <w:t>Por adorno exterior, una tarjeta moldurada en blanco con trascoles y follajes y dependencias en verdes tal como van aquí al centro pintadas y</w:t>
      </w:r>
      <w:r>
        <w:rPr>
          <w:spacing w:val="-17"/>
        </w:rPr>
        <w:t> </w:t>
      </w:r>
      <w:r>
        <w:rPr/>
        <w:t>representadas</w:t>
      </w:r>
      <w:r>
        <w:rPr>
          <w:sz w:val="24"/>
        </w:rPr>
        <w:t>.</w:t>
      </w:r>
    </w:p>
    <w:p>
      <w:pPr>
        <w:pStyle w:val="BodyText"/>
        <w:rPr>
          <w:sz w:val="28"/>
        </w:rPr>
      </w:pPr>
    </w:p>
    <w:p>
      <w:pPr>
        <w:pStyle w:val="BodyText"/>
        <w:spacing w:before="1"/>
        <w:rPr>
          <w:sz w:val="28"/>
        </w:rPr>
      </w:pPr>
    </w:p>
    <w:p>
      <w:pPr>
        <w:pStyle w:val="Heading4"/>
      </w:pPr>
      <w:r>
        <w:rPr/>
        <w:t>Significado.</w:t>
      </w:r>
    </w:p>
    <w:p>
      <w:pPr>
        <w:pStyle w:val="BodyText"/>
        <w:spacing w:before="6"/>
        <w:rPr>
          <w:b/>
          <w:sz w:val="19"/>
        </w:rPr>
      </w:pPr>
    </w:p>
    <w:p>
      <w:pPr>
        <w:pStyle w:val="BodyText"/>
        <w:spacing w:line="276" w:lineRule="auto"/>
        <w:ind w:left="901" w:right="1155"/>
        <w:jc w:val="both"/>
      </w:pPr>
      <w:r>
        <w:rPr/>
        <w:t>Por el encaje de sinople se simboliza la serranía llamada Monte Florido o Xochitepec, las flores son las que en época de lluvias cubren los cerros, el chevrón de plata simbolizan las vetas argentíferas que en este lugar se han explotado y los tres roeles son representación de las minas de ópalo que dan fama al municipio de la Magdalena, cuyos colores propios y significativos serán el azul y el verde para simbolizar los dos campos del escudo que son de azur (azul) y de sinople (verde). La corona murada corresponde a su rango de villa municipal</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Heading4"/>
      </w:pPr>
      <w:r>
        <w:rPr/>
        <w:t>Autor.</w:t>
      </w:r>
    </w:p>
    <w:p>
      <w:pPr>
        <w:pStyle w:val="BodyText"/>
        <w:spacing w:before="9"/>
        <w:rPr>
          <w:b/>
          <w:sz w:val="19"/>
        </w:rPr>
      </w:pPr>
    </w:p>
    <w:p>
      <w:pPr>
        <w:pStyle w:val="BodyText"/>
        <w:spacing w:line="276" w:lineRule="auto"/>
        <w:ind w:left="901" w:right="1154"/>
        <w:jc w:val="both"/>
      </w:pPr>
      <w:r>
        <w:rPr/>
        <w:t>Fue diseñado y formulado conforme a la historia, orígenes y geografía del lugar. Y expresado acorde y conforme a las reglas, leyes y arte de la ciencia heráldica y heroica por el Licenciado Gabriel de Jesús Camarena y Gutiérrez de Lariz.</w:t>
      </w:r>
    </w:p>
    <w:p>
      <w:pPr>
        <w:pStyle w:val="BodyText"/>
        <w:rPr>
          <w:sz w:val="26"/>
        </w:rPr>
      </w:pPr>
    </w:p>
    <w:p>
      <w:pPr>
        <w:pStyle w:val="BodyText"/>
        <w:spacing w:before="5"/>
        <w:rPr>
          <w:sz w:val="30"/>
        </w:rPr>
      </w:pPr>
    </w:p>
    <w:p>
      <w:pPr>
        <w:pStyle w:val="Heading4"/>
      </w:pPr>
      <w:r>
        <w:rPr/>
        <w:t>Fecha de aprobación.</w:t>
      </w:r>
    </w:p>
    <w:p>
      <w:pPr>
        <w:pStyle w:val="BodyText"/>
        <w:spacing w:before="8"/>
        <w:rPr>
          <w:b/>
          <w:sz w:val="19"/>
        </w:rPr>
      </w:pPr>
    </w:p>
    <w:p>
      <w:pPr>
        <w:pStyle w:val="BodyText"/>
        <w:spacing w:line="276" w:lineRule="auto"/>
        <w:ind w:left="901" w:right="1157"/>
        <w:jc w:val="both"/>
      </w:pPr>
      <w:r>
        <w:rPr/>
        <w:t>La aprobación oficial del escudo municipal se realizó en sesión de Cabildo celebrada el 10 de octubre de 1987 por el H. Ayuntamiento de Magdalena, Jalisco, 1985 – 1987, siendo presidente municipal José Rafael Ascencio Ceseña.</w:t>
      </w:r>
    </w:p>
    <w:p>
      <w:pPr>
        <w:pStyle w:val="BodyText"/>
        <w:rPr>
          <w:sz w:val="20"/>
        </w:rPr>
      </w:pPr>
    </w:p>
    <w:p>
      <w:pPr>
        <w:pStyle w:val="BodyText"/>
        <w:rPr>
          <w:sz w:val="20"/>
        </w:rPr>
      </w:pPr>
    </w:p>
    <w:p>
      <w:pPr>
        <w:pStyle w:val="BodyText"/>
        <w:spacing w:before="1"/>
        <w:rPr>
          <w:sz w:val="13"/>
        </w:rPr>
      </w:pPr>
      <w:r>
        <w:rPr/>
        <w:drawing>
          <wp:anchor distT="0" distB="0" distL="0" distR="0" allowOverlap="1" layoutInCell="1" locked="0" behindDoc="0" simplePos="0" relativeHeight="0">
            <wp:simplePos x="0" y="0"/>
            <wp:positionH relativeFrom="page">
              <wp:posOffset>2836164</wp:posOffset>
            </wp:positionH>
            <wp:positionV relativeFrom="paragraph">
              <wp:posOffset>126874</wp:posOffset>
            </wp:positionV>
            <wp:extent cx="2085630" cy="2190750"/>
            <wp:effectExtent l="0" t="0" r="0" b="0"/>
            <wp:wrapTopAndBottom/>
            <wp:docPr id="5" name="image5.jpeg"/>
            <wp:cNvGraphicFramePr>
              <a:graphicFrameLocks noChangeAspect="1"/>
            </wp:cNvGraphicFramePr>
            <a:graphic>
              <a:graphicData uri="http://schemas.openxmlformats.org/drawingml/2006/picture">
                <pic:pic>
                  <pic:nvPicPr>
                    <pic:cNvPr id="6" name="image5.jpeg"/>
                    <pic:cNvPicPr/>
                  </pic:nvPicPr>
                  <pic:blipFill>
                    <a:blip r:embed="rId8" cstate="print"/>
                    <a:stretch>
                      <a:fillRect/>
                    </a:stretch>
                  </pic:blipFill>
                  <pic:spPr>
                    <a:xfrm>
                      <a:off x="0" y="0"/>
                      <a:ext cx="2085630" cy="2190750"/>
                    </a:xfrm>
                    <a:prstGeom prst="rect">
                      <a:avLst/>
                    </a:prstGeom>
                  </pic:spPr>
                </pic:pic>
              </a:graphicData>
            </a:graphic>
          </wp:anchor>
        </w:drawing>
      </w:r>
    </w:p>
    <w:p>
      <w:pPr>
        <w:pStyle w:val="BodyText"/>
        <w:rPr>
          <w:sz w:val="26"/>
        </w:rPr>
      </w:pPr>
    </w:p>
    <w:p>
      <w:pPr>
        <w:pStyle w:val="BodyText"/>
        <w:spacing w:before="4"/>
        <w:rPr>
          <w:sz w:val="28"/>
        </w:rPr>
      </w:pPr>
    </w:p>
    <w:p>
      <w:pPr>
        <w:pStyle w:val="Heading4"/>
      </w:pPr>
      <w:r>
        <w:rPr/>
        <w:t>Toponimia:</w:t>
      </w:r>
    </w:p>
    <w:p>
      <w:pPr>
        <w:pStyle w:val="BodyText"/>
        <w:spacing w:before="9"/>
        <w:rPr>
          <w:b/>
          <w:sz w:val="19"/>
        </w:rPr>
      </w:pPr>
    </w:p>
    <w:p>
      <w:pPr>
        <w:pStyle w:val="BodyText"/>
        <w:spacing w:line="276" w:lineRule="auto"/>
        <w:ind w:left="901" w:right="1156"/>
        <w:jc w:val="both"/>
      </w:pPr>
      <w:r>
        <w:rPr/>
        <w:t>Poblado prehispánico, fue Tlatoanazgo independiente y se llamó Xochitepec, que significa lugar junto al cerro de las flores. Esto por el sitio en donde actualmente se encuentra, al pie de un cerro que cae hacia el norte y que en épocas pasadas se cubría de flores durante las lluvias.</w:t>
      </w:r>
    </w:p>
    <w:p>
      <w:pPr>
        <w:pStyle w:val="BodyText"/>
        <w:spacing w:line="278" w:lineRule="auto" w:before="200"/>
        <w:ind w:left="901" w:right="1154"/>
        <w:jc w:val="both"/>
      </w:pPr>
      <w:r>
        <w:rPr/>
        <w:t>Sus habitantes eran Tecuexes y su asiento principal lo tenían en dos islas dentro de la laguna, ahora desecada, de las cuales denominaban a la mayor Atitic.</w:t>
      </w:r>
    </w:p>
    <w:p>
      <w:pPr>
        <w:pStyle w:val="BodyText"/>
        <w:spacing w:line="276" w:lineRule="auto" w:before="195"/>
        <w:ind w:left="901" w:right="1155"/>
        <w:jc w:val="both"/>
      </w:pPr>
      <w:r>
        <w:rPr>
          <w:spacing w:val="-3"/>
        </w:rPr>
        <w:t>Al </w:t>
      </w:r>
      <w:r>
        <w:rPr/>
        <w:t>llegar los españoles, ya existía la población de Magdalena con el nombre </w:t>
      </w:r>
      <w:r>
        <w:rPr>
          <w:spacing w:val="-3"/>
        </w:rPr>
        <w:t>de </w:t>
      </w:r>
      <w:r>
        <w:rPr/>
        <w:t>Xochitepec, palabra derivada de Juchitepeco o Xochiteptque que se interpreta como monte florido. Pertenecía al señorío de Etzatlán y estaba gobernado por Goaxicar,  indio de talento y de importancia por su</w:t>
      </w:r>
      <w:r>
        <w:rPr>
          <w:spacing w:val="-16"/>
        </w:rPr>
        <w:t> </w:t>
      </w:r>
      <w:r>
        <w:rPr/>
        <w:t>valor.</w:t>
      </w:r>
    </w:p>
    <w:p>
      <w:pPr>
        <w:spacing w:after="0" w:line="276" w:lineRule="auto"/>
        <w:jc w:val="both"/>
        <w:sectPr>
          <w:pgSz w:w="12240" w:h="15840"/>
          <w:pgMar w:header="178" w:footer="1076" w:top="1120" w:bottom="1360" w:left="460" w:right="220"/>
        </w:sectPr>
      </w:pPr>
    </w:p>
    <w:p>
      <w:pPr>
        <w:pStyle w:val="BodyText"/>
        <w:rPr>
          <w:sz w:val="20"/>
        </w:rPr>
      </w:pPr>
    </w:p>
    <w:p>
      <w:pPr>
        <w:spacing w:before="257"/>
        <w:ind w:left="901" w:right="0" w:firstLine="0"/>
        <w:jc w:val="left"/>
        <w:rPr>
          <w:sz w:val="40"/>
        </w:rPr>
      </w:pPr>
      <w:r>
        <w:rPr>
          <w:color w:val="585858"/>
          <w:sz w:val="40"/>
        </w:rPr>
        <w:t>HISTORIA</w:t>
      </w:r>
    </w:p>
    <w:p>
      <w:pPr>
        <w:pStyle w:val="BodyText"/>
        <w:spacing w:before="3"/>
        <w:rPr>
          <w:sz w:val="64"/>
        </w:rPr>
      </w:pPr>
    </w:p>
    <w:p>
      <w:pPr>
        <w:pStyle w:val="BodyText"/>
        <w:spacing w:line="276" w:lineRule="auto"/>
        <w:ind w:left="901" w:right="1154"/>
        <w:jc w:val="both"/>
      </w:pPr>
      <w:r>
        <w:rPr/>
        <w:t>En 1524, Francisco Cortés de San Buenaventura conquistó esta región y al recibir la obediencia de Etzatlán, mando llamar al cacique Goxicar; éste, temeroso de que los peninsulares pasaran a su pueblo, prefirió ir a rendirles tributos, aunque de mala gana. Pero después comenzó a maquinar en contra de los conquistadores. Se sublevó en 1538 siendo sometido por los españoles. De nuevo Goaxicar, en 1541, tomó partido durante la Guerra del Mixtón aliándose a los indígenas de Tequila, Ameca y Ahualulco, entre otros</w:t>
      </w:r>
      <w:r>
        <w:rPr>
          <w:spacing w:val="-1"/>
        </w:rPr>
        <w:t> </w:t>
      </w:r>
      <w:r>
        <w:rPr/>
        <w:t>pueblos.</w:t>
      </w:r>
    </w:p>
    <w:p>
      <w:pPr>
        <w:pStyle w:val="BodyText"/>
        <w:spacing w:line="276" w:lineRule="auto" w:before="200"/>
        <w:ind w:left="901" w:right="1156"/>
        <w:jc w:val="both"/>
      </w:pPr>
      <w:r>
        <w:rPr/>
        <w:t>En 1530 llega a la conquista de esta región Cristóbal de Oñate enviado por Nuño de Guzmán, la belleza y fertilidad de la provincia, despertaron en él el deseo de agregarla a sus territorios y así se lo hizo saber a Juan de Escárcena, pero con entereza resistió a las ambiciones de Guzmán.</w:t>
      </w:r>
    </w:p>
    <w:p>
      <w:pPr>
        <w:pStyle w:val="BodyText"/>
        <w:spacing w:line="276" w:lineRule="auto" w:before="200"/>
        <w:ind w:left="901" w:right="1155"/>
        <w:jc w:val="both"/>
      </w:pPr>
      <w:r>
        <w:rPr/>
        <w:t>Los franciscanos evangelizaron la región; en 1534 llegaron los frailes a fundar el convento de la Purísima Concepción de Etzatlán y catequizar y bautizar a los aborígenes. Pidieron a Goaxicar que les ayudara y al concluirse la iglesia y convento </w:t>
      </w:r>
      <w:r>
        <w:rPr>
          <w:spacing w:val="-5"/>
        </w:rPr>
        <w:t>de </w:t>
      </w:r>
      <w:r>
        <w:rPr/>
        <w:t>Etzatlán retornaron los naturales a las dos poblaciones que se hallaban en igual número de islas de la laguna. A una la denominaron de Señor Santiago y a la más grande </w:t>
      </w:r>
      <w:r>
        <w:rPr>
          <w:spacing w:val="-2"/>
        </w:rPr>
        <w:t>San </w:t>
      </w:r>
      <w:r>
        <w:rPr/>
        <w:t>Juan Atlitic.</w:t>
      </w:r>
    </w:p>
    <w:p>
      <w:pPr>
        <w:pStyle w:val="BodyText"/>
        <w:spacing w:line="276" w:lineRule="auto" w:before="200"/>
        <w:ind w:left="901" w:right="1154"/>
        <w:jc w:val="both"/>
      </w:pPr>
      <w:r>
        <w:rPr/>
        <w:t>Precisamente adquirió esta población el nombre de Magdalena, de la hija de Goaxicar bautizada con el nombre de Magdalena.</w:t>
      </w:r>
    </w:p>
    <w:p>
      <w:pPr>
        <w:pStyle w:val="BodyText"/>
        <w:spacing w:line="276" w:lineRule="auto" w:before="201"/>
        <w:ind w:left="901" w:right="1155"/>
        <w:jc w:val="both"/>
      </w:pPr>
      <w:r>
        <w:rPr/>
        <w:t>Una tromba arrasó los poblados, viéndose obligados los sobrevivientes a abandonar las islas y poblar los sitios denominados Santa María del Mezquital, Mezquicuatlán y Juchitepec en honor del antiguo cacicazgo. Siendo alcalde mayor de Etzatlán Francisco Martínez de la Mancha y estando por ende al cuidado de Juchitepec; Fray Luis Navarro, construyó la iglesia y el convento dedicándolos a Santa María Magdalena y</w:t>
      </w:r>
      <w:r>
        <w:rPr>
          <w:spacing w:val="-2"/>
        </w:rPr>
        <w:t> </w:t>
      </w:r>
      <w:r>
        <w:rPr/>
        <w:t>Xuchitepec.</w:t>
      </w:r>
    </w:p>
    <w:p>
      <w:pPr>
        <w:pStyle w:val="BodyText"/>
        <w:spacing w:line="276" w:lineRule="auto" w:before="200"/>
        <w:ind w:left="901" w:right="1159"/>
        <w:jc w:val="both"/>
      </w:pPr>
      <w:r>
        <w:rPr/>
        <w:t>En 1825 tenía ayuntamiento y en 1838 la categoría de pueblo. Desde 1825 pertenecía al 5° cantón de Etzatlán y en 1872 pasó a formar parte del 12° cantón.</w:t>
      </w:r>
    </w:p>
    <w:p>
      <w:pPr>
        <w:pStyle w:val="BodyText"/>
        <w:spacing w:line="276" w:lineRule="auto" w:before="201"/>
        <w:ind w:left="901" w:right="1156"/>
        <w:jc w:val="both"/>
      </w:pPr>
      <w:r>
        <w:rPr/>
        <w:t>Se desconoce el decreto que creó este municipio, pero ya existía en 1837 como se desprende del decreto del 13 de marzo del mismo año. La División Territorial y Política del Estado de Jalisco, dispuesta en el decreto del 1o. de mayo de 1886, ya menciona a Magdalena como</w:t>
      </w:r>
      <w:r>
        <w:rPr>
          <w:spacing w:val="-4"/>
        </w:rPr>
        <w:t> </w:t>
      </w:r>
      <w:r>
        <w:rPr/>
        <w:t>municipalidad.</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5"/>
        </w:rPr>
      </w:pPr>
    </w:p>
    <w:p>
      <w:pPr>
        <w:pStyle w:val="Heading2"/>
        <w:spacing w:before="101"/>
        <w:rPr>
          <w:rFonts w:ascii="Century Gothic" w:hAnsi="Century Gothic"/>
        </w:rPr>
      </w:pPr>
      <w:r>
        <w:rPr>
          <w:rFonts w:ascii="Century Gothic" w:hAnsi="Century Gothic"/>
          <w:color w:val="585858"/>
        </w:rPr>
        <w:t>CRONOLOGÍA DE HECHOS HISTÓRICOS</w:t>
      </w:r>
    </w:p>
    <w:p>
      <w:pPr>
        <w:pStyle w:val="BodyText"/>
        <w:rPr>
          <w:b/>
          <w:sz w:val="16"/>
        </w:rPr>
      </w:pPr>
    </w:p>
    <w:tbl>
      <w:tblPr>
        <w:tblW w:w="0" w:type="auto"/>
        <w:jc w:val="left"/>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6"/>
        <w:gridCol w:w="8622"/>
      </w:tblGrid>
      <w:tr>
        <w:trPr>
          <w:trHeight w:val="735" w:hRule="atLeast"/>
        </w:trPr>
        <w:tc>
          <w:tcPr>
            <w:tcW w:w="756" w:type="dxa"/>
            <w:tcBorders>
              <w:bottom w:val="single" w:sz="6" w:space="0" w:color="000000"/>
            </w:tcBorders>
            <w:shd w:val="clear" w:color="auto" w:fill="D5E2BB"/>
          </w:tcPr>
          <w:p>
            <w:pPr>
              <w:pStyle w:val="TableParagraph"/>
              <w:rPr>
                <w:b/>
                <w:sz w:val="33"/>
              </w:rPr>
            </w:pPr>
          </w:p>
          <w:p>
            <w:pPr>
              <w:pStyle w:val="TableParagraph"/>
              <w:ind w:right="66"/>
              <w:jc w:val="right"/>
              <w:rPr>
                <w:sz w:val="21"/>
              </w:rPr>
            </w:pPr>
            <w:r>
              <w:rPr>
                <w:color w:val="4F6128"/>
                <w:sz w:val="21"/>
              </w:rPr>
              <w:t>1524</w:t>
            </w:r>
          </w:p>
        </w:tc>
        <w:tc>
          <w:tcPr>
            <w:tcW w:w="8622" w:type="dxa"/>
            <w:tcBorders>
              <w:bottom w:val="single" w:sz="6" w:space="0" w:color="000000"/>
            </w:tcBorders>
          </w:tcPr>
          <w:p>
            <w:pPr>
              <w:pStyle w:val="TableParagraph"/>
              <w:spacing w:before="173"/>
              <w:ind w:left="81" w:right="1082"/>
              <w:rPr>
                <w:sz w:val="20"/>
              </w:rPr>
            </w:pPr>
            <w:r>
              <w:rPr>
                <w:sz w:val="20"/>
              </w:rPr>
              <w:t>FRANCISCO CORTÉS DE SAN BUENAVENTURA CONQUISTA EL CACICAZGO DE XOCHITEPEC</w:t>
            </w:r>
          </w:p>
        </w:tc>
      </w:tr>
      <w:tr>
        <w:trPr>
          <w:trHeight w:val="736" w:hRule="atLeast"/>
        </w:trPr>
        <w:tc>
          <w:tcPr>
            <w:tcW w:w="756" w:type="dxa"/>
            <w:tcBorders>
              <w:top w:val="single" w:sz="6" w:space="0" w:color="000000"/>
              <w:bottom w:val="single" w:sz="6" w:space="0" w:color="000000"/>
            </w:tcBorders>
            <w:shd w:val="clear" w:color="auto" w:fill="D7E3BB"/>
          </w:tcPr>
          <w:p>
            <w:pPr>
              <w:pStyle w:val="TableParagraph"/>
              <w:spacing w:before="11"/>
              <w:rPr>
                <w:b/>
                <w:sz w:val="32"/>
              </w:rPr>
            </w:pPr>
          </w:p>
          <w:p>
            <w:pPr>
              <w:pStyle w:val="TableParagraph"/>
              <w:ind w:right="66"/>
              <w:jc w:val="right"/>
              <w:rPr>
                <w:sz w:val="21"/>
              </w:rPr>
            </w:pPr>
            <w:r>
              <w:rPr>
                <w:color w:val="4F6128"/>
                <w:sz w:val="21"/>
              </w:rPr>
              <w:t>1604</w:t>
            </w:r>
          </w:p>
        </w:tc>
        <w:tc>
          <w:tcPr>
            <w:tcW w:w="8622" w:type="dxa"/>
            <w:tcBorders>
              <w:top w:val="single" w:sz="6" w:space="0" w:color="000000"/>
              <w:bottom w:val="single" w:sz="6" w:space="0" w:color="000000"/>
            </w:tcBorders>
          </w:tcPr>
          <w:p>
            <w:pPr>
              <w:pStyle w:val="TableParagraph"/>
              <w:spacing w:before="171"/>
              <w:ind w:left="81" w:right="1498"/>
              <w:rPr>
                <w:sz w:val="20"/>
              </w:rPr>
            </w:pPr>
            <w:r>
              <w:rPr>
                <w:sz w:val="20"/>
              </w:rPr>
              <w:t>FUNDACION DEL CONVENIO DE SANTA MARIA DE MAGDALENA POR LOS FRANCISCANOS</w:t>
            </w:r>
          </w:p>
        </w:tc>
      </w:tr>
      <w:tr>
        <w:trPr>
          <w:trHeight w:val="456" w:hRule="atLeast"/>
        </w:trPr>
        <w:tc>
          <w:tcPr>
            <w:tcW w:w="756" w:type="dxa"/>
            <w:tcBorders>
              <w:top w:val="single" w:sz="6" w:space="0" w:color="000000"/>
              <w:bottom w:val="single" w:sz="6" w:space="0" w:color="000000"/>
            </w:tcBorders>
            <w:shd w:val="clear" w:color="auto" w:fill="D7E3BB"/>
          </w:tcPr>
          <w:p>
            <w:pPr>
              <w:pStyle w:val="TableParagraph"/>
              <w:spacing w:before="123"/>
              <w:ind w:right="66"/>
              <w:jc w:val="right"/>
              <w:rPr>
                <w:sz w:val="21"/>
              </w:rPr>
            </w:pPr>
            <w:r>
              <w:rPr>
                <w:color w:val="4F6128"/>
                <w:sz w:val="21"/>
              </w:rPr>
              <w:t>1825</w:t>
            </w:r>
          </w:p>
        </w:tc>
        <w:tc>
          <w:tcPr>
            <w:tcW w:w="8622" w:type="dxa"/>
            <w:tcBorders>
              <w:top w:val="single" w:sz="6" w:space="0" w:color="000000"/>
              <w:bottom w:val="single" w:sz="6" w:space="0" w:color="000000"/>
            </w:tcBorders>
          </w:tcPr>
          <w:p>
            <w:pPr>
              <w:pStyle w:val="TableParagraph"/>
              <w:spacing w:before="135"/>
              <w:ind w:left="81"/>
              <w:rPr>
                <w:sz w:val="20"/>
              </w:rPr>
            </w:pPr>
            <w:r>
              <w:rPr>
                <w:sz w:val="20"/>
              </w:rPr>
              <w:t>MAGDALENA TENIA AYUNTAMIENTO</w:t>
            </w:r>
          </w:p>
        </w:tc>
      </w:tr>
      <w:tr>
        <w:trPr>
          <w:trHeight w:val="455" w:hRule="atLeast"/>
        </w:trPr>
        <w:tc>
          <w:tcPr>
            <w:tcW w:w="756" w:type="dxa"/>
            <w:tcBorders>
              <w:top w:val="single" w:sz="6" w:space="0" w:color="000000"/>
              <w:bottom w:val="single" w:sz="6" w:space="0" w:color="000000"/>
            </w:tcBorders>
            <w:shd w:val="clear" w:color="auto" w:fill="D7E3BB"/>
          </w:tcPr>
          <w:p>
            <w:pPr>
              <w:pStyle w:val="TableParagraph"/>
              <w:spacing w:before="123"/>
              <w:ind w:right="66"/>
              <w:jc w:val="right"/>
              <w:rPr>
                <w:sz w:val="21"/>
              </w:rPr>
            </w:pPr>
            <w:r>
              <w:rPr>
                <w:color w:val="4F6128"/>
                <w:sz w:val="21"/>
              </w:rPr>
              <w:t>1837</w:t>
            </w:r>
          </w:p>
        </w:tc>
        <w:tc>
          <w:tcPr>
            <w:tcW w:w="8622" w:type="dxa"/>
            <w:tcBorders>
              <w:top w:val="single" w:sz="6" w:space="0" w:color="000000"/>
              <w:bottom w:val="single" w:sz="6" w:space="0" w:color="000000"/>
            </w:tcBorders>
          </w:tcPr>
          <w:p>
            <w:pPr>
              <w:pStyle w:val="TableParagraph"/>
              <w:spacing w:before="135"/>
              <w:ind w:left="81"/>
              <w:rPr>
                <w:sz w:val="20"/>
              </w:rPr>
            </w:pPr>
            <w:r>
              <w:rPr>
                <w:sz w:val="20"/>
              </w:rPr>
              <w:t>LA POBLACION DE MAGDALENA YA OSTENTABA LA CATEGORIA DE MUNICIPIO</w:t>
            </w:r>
          </w:p>
        </w:tc>
      </w:tr>
      <w:tr>
        <w:trPr>
          <w:trHeight w:val="452" w:hRule="atLeast"/>
        </w:trPr>
        <w:tc>
          <w:tcPr>
            <w:tcW w:w="756" w:type="dxa"/>
            <w:tcBorders>
              <w:top w:val="single" w:sz="6" w:space="0" w:color="000000"/>
              <w:bottom w:val="single" w:sz="6" w:space="0" w:color="000000"/>
            </w:tcBorders>
            <w:shd w:val="clear" w:color="auto" w:fill="D7E3BB"/>
          </w:tcPr>
          <w:p>
            <w:pPr>
              <w:pStyle w:val="TableParagraph"/>
              <w:spacing w:before="123"/>
              <w:ind w:right="66"/>
              <w:jc w:val="right"/>
              <w:rPr>
                <w:sz w:val="21"/>
              </w:rPr>
            </w:pPr>
            <w:r>
              <w:rPr>
                <w:color w:val="4F6128"/>
                <w:sz w:val="21"/>
              </w:rPr>
              <w:t>1872</w:t>
            </w:r>
          </w:p>
        </w:tc>
        <w:tc>
          <w:tcPr>
            <w:tcW w:w="8622" w:type="dxa"/>
            <w:tcBorders>
              <w:top w:val="single" w:sz="6" w:space="0" w:color="000000"/>
              <w:bottom w:val="single" w:sz="6" w:space="0" w:color="000000"/>
            </w:tcBorders>
          </w:tcPr>
          <w:p>
            <w:pPr>
              <w:pStyle w:val="TableParagraph"/>
              <w:spacing w:before="135"/>
              <w:ind w:left="81"/>
              <w:rPr>
                <w:sz w:val="20"/>
              </w:rPr>
            </w:pPr>
            <w:r>
              <w:rPr>
                <w:sz w:val="20"/>
              </w:rPr>
              <w:t>EL MUNICIPIO PASA A PERTENECER AL 12 CANTON DE TEQUILA</w:t>
            </w:r>
          </w:p>
        </w:tc>
      </w:tr>
      <w:tr>
        <w:trPr>
          <w:trHeight w:val="736" w:hRule="atLeast"/>
        </w:trPr>
        <w:tc>
          <w:tcPr>
            <w:tcW w:w="756" w:type="dxa"/>
            <w:tcBorders>
              <w:top w:val="single" w:sz="6" w:space="0" w:color="000000"/>
              <w:bottom w:val="single" w:sz="6" w:space="0" w:color="000000"/>
            </w:tcBorders>
            <w:shd w:val="clear" w:color="auto" w:fill="D7E3BB"/>
          </w:tcPr>
          <w:p>
            <w:pPr>
              <w:pStyle w:val="TableParagraph"/>
              <w:spacing w:before="11"/>
              <w:rPr>
                <w:b/>
                <w:sz w:val="32"/>
              </w:rPr>
            </w:pPr>
          </w:p>
          <w:p>
            <w:pPr>
              <w:pStyle w:val="TableParagraph"/>
              <w:ind w:right="66"/>
              <w:jc w:val="right"/>
              <w:rPr>
                <w:sz w:val="21"/>
              </w:rPr>
            </w:pPr>
            <w:r>
              <w:rPr>
                <w:color w:val="4F6128"/>
                <w:sz w:val="21"/>
              </w:rPr>
              <w:t>1911</w:t>
            </w:r>
          </w:p>
        </w:tc>
        <w:tc>
          <w:tcPr>
            <w:tcW w:w="8622" w:type="dxa"/>
            <w:tcBorders>
              <w:top w:val="single" w:sz="6" w:space="0" w:color="000000"/>
              <w:bottom w:val="single" w:sz="6" w:space="0" w:color="000000"/>
            </w:tcBorders>
          </w:tcPr>
          <w:p>
            <w:pPr>
              <w:pStyle w:val="TableParagraph"/>
              <w:spacing w:before="171"/>
              <w:ind w:left="81" w:right="164"/>
              <w:rPr>
                <w:sz w:val="20"/>
              </w:rPr>
            </w:pPr>
            <w:r>
              <w:rPr>
                <w:sz w:val="20"/>
              </w:rPr>
              <w:t>EL 12 DE MAYO, DON LEOPOLDO LEAL SE PRONUNCIO EN CONTRA DEL GOBIERNO DEL GENERAL PORFIRIO DIAZ</w:t>
            </w:r>
          </w:p>
        </w:tc>
      </w:tr>
      <w:tr>
        <w:trPr>
          <w:trHeight w:val="733" w:hRule="atLeast"/>
        </w:trPr>
        <w:tc>
          <w:tcPr>
            <w:tcW w:w="756" w:type="dxa"/>
            <w:tcBorders>
              <w:top w:val="single" w:sz="6" w:space="0" w:color="000000"/>
              <w:bottom w:val="single" w:sz="6" w:space="0" w:color="000000"/>
            </w:tcBorders>
            <w:shd w:val="clear" w:color="auto" w:fill="D7E3BB"/>
          </w:tcPr>
          <w:p>
            <w:pPr>
              <w:pStyle w:val="TableParagraph"/>
              <w:spacing w:before="11"/>
              <w:rPr>
                <w:b/>
                <w:sz w:val="32"/>
              </w:rPr>
            </w:pPr>
          </w:p>
          <w:p>
            <w:pPr>
              <w:pStyle w:val="TableParagraph"/>
              <w:ind w:right="66"/>
              <w:jc w:val="right"/>
              <w:rPr>
                <w:sz w:val="21"/>
              </w:rPr>
            </w:pPr>
            <w:r>
              <w:rPr>
                <w:color w:val="4F6128"/>
                <w:sz w:val="21"/>
              </w:rPr>
              <w:t>1913</w:t>
            </w:r>
          </w:p>
        </w:tc>
        <w:tc>
          <w:tcPr>
            <w:tcW w:w="8622" w:type="dxa"/>
            <w:tcBorders>
              <w:top w:val="single" w:sz="6" w:space="0" w:color="000000"/>
              <w:bottom w:val="single" w:sz="6" w:space="0" w:color="000000"/>
            </w:tcBorders>
          </w:tcPr>
          <w:p>
            <w:pPr>
              <w:pStyle w:val="TableParagraph"/>
              <w:spacing w:before="171"/>
              <w:ind w:left="81" w:right="329"/>
              <w:rPr>
                <w:sz w:val="20"/>
              </w:rPr>
            </w:pPr>
            <w:r>
              <w:rPr>
                <w:sz w:val="20"/>
              </w:rPr>
              <w:t>ENTRADA DEL REVOLUCIONARIO JULIAN MEDIA A MAGDALENA, QUIEN LLEGO A ESTE LUGAR EN BUSCA DE VOLUNTARIOS Y RECURSOS ECONOMICOS</w:t>
            </w:r>
          </w:p>
        </w:tc>
      </w:tr>
      <w:tr>
        <w:trPr>
          <w:trHeight w:val="736" w:hRule="atLeast"/>
        </w:trPr>
        <w:tc>
          <w:tcPr>
            <w:tcW w:w="756" w:type="dxa"/>
            <w:tcBorders>
              <w:top w:val="single" w:sz="6" w:space="0" w:color="000000"/>
              <w:bottom w:val="single" w:sz="6" w:space="0" w:color="000000"/>
            </w:tcBorders>
            <w:shd w:val="clear" w:color="auto" w:fill="D7E3BB"/>
          </w:tcPr>
          <w:p>
            <w:pPr>
              <w:pStyle w:val="TableParagraph"/>
              <w:spacing w:before="11"/>
              <w:rPr>
                <w:b/>
                <w:sz w:val="32"/>
              </w:rPr>
            </w:pPr>
          </w:p>
          <w:p>
            <w:pPr>
              <w:pStyle w:val="TableParagraph"/>
              <w:ind w:right="66"/>
              <w:jc w:val="right"/>
              <w:rPr>
                <w:sz w:val="21"/>
              </w:rPr>
            </w:pPr>
            <w:r>
              <w:rPr>
                <w:color w:val="4F6128"/>
                <w:sz w:val="21"/>
              </w:rPr>
              <w:t>1918</w:t>
            </w:r>
          </w:p>
        </w:tc>
        <w:tc>
          <w:tcPr>
            <w:tcW w:w="8622" w:type="dxa"/>
            <w:tcBorders>
              <w:top w:val="single" w:sz="6" w:space="0" w:color="000000"/>
              <w:bottom w:val="single" w:sz="6" w:space="0" w:color="000000"/>
            </w:tcBorders>
          </w:tcPr>
          <w:p>
            <w:pPr>
              <w:pStyle w:val="TableParagraph"/>
              <w:spacing w:before="171"/>
              <w:ind w:left="81"/>
              <w:rPr>
                <w:sz w:val="20"/>
              </w:rPr>
            </w:pPr>
            <w:r>
              <w:rPr>
                <w:sz w:val="20"/>
              </w:rPr>
              <w:t>LA LLAMADA INFLUENZA ESPAÑOLA HIZO VERDADEROS ESTRAGOS EN MAGDALENA, AL IGUAL QUE EN TODO EL PAIS</w:t>
            </w:r>
          </w:p>
        </w:tc>
      </w:tr>
      <w:tr>
        <w:trPr>
          <w:trHeight w:val="1615" w:hRule="atLeast"/>
        </w:trPr>
        <w:tc>
          <w:tcPr>
            <w:tcW w:w="756" w:type="dxa"/>
            <w:tcBorders>
              <w:top w:val="single" w:sz="6" w:space="0" w:color="000000"/>
              <w:bottom w:val="single" w:sz="6" w:space="0" w:color="000000"/>
            </w:tcBorders>
            <w:shd w:val="clear" w:color="auto" w:fill="D7E3BB"/>
          </w:tcPr>
          <w:p>
            <w:pPr>
              <w:pStyle w:val="TableParagraph"/>
              <w:rPr>
                <w:b/>
                <w:sz w:val="26"/>
              </w:rPr>
            </w:pPr>
          </w:p>
          <w:p>
            <w:pPr>
              <w:pStyle w:val="TableParagraph"/>
              <w:rPr>
                <w:b/>
                <w:sz w:val="26"/>
              </w:rPr>
            </w:pPr>
          </w:p>
          <w:p>
            <w:pPr>
              <w:pStyle w:val="TableParagraph"/>
              <w:rPr>
                <w:b/>
                <w:sz w:val="26"/>
              </w:rPr>
            </w:pPr>
          </w:p>
          <w:p>
            <w:pPr>
              <w:pStyle w:val="TableParagraph"/>
              <w:spacing w:before="10"/>
              <w:rPr>
                <w:b/>
                <w:sz w:val="26"/>
              </w:rPr>
            </w:pPr>
          </w:p>
          <w:p>
            <w:pPr>
              <w:pStyle w:val="TableParagraph"/>
              <w:ind w:right="66"/>
              <w:jc w:val="right"/>
              <w:rPr>
                <w:sz w:val="21"/>
              </w:rPr>
            </w:pPr>
            <w:r>
              <w:rPr>
                <w:color w:val="4F6128"/>
                <w:sz w:val="21"/>
              </w:rPr>
              <w:t>1923</w:t>
            </w:r>
          </w:p>
        </w:tc>
        <w:tc>
          <w:tcPr>
            <w:tcW w:w="8622" w:type="dxa"/>
            <w:tcBorders>
              <w:top w:val="single" w:sz="6" w:space="0" w:color="000000"/>
              <w:bottom w:val="single" w:sz="6" w:space="0" w:color="000000"/>
            </w:tcBorders>
          </w:tcPr>
          <w:p>
            <w:pPr>
              <w:pStyle w:val="TableParagraph"/>
              <w:rPr>
                <w:b/>
                <w:sz w:val="24"/>
              </w:rPr>
            </w:pPr>
          </w:p>
          <w:p>
            <w:pPr>
              <w:pStyle w:val="TableParagraph"/>
              <w:spacing w:before="9"/>
              <w:rPr>
                <w:b/>
                <w:sz w:val="21"/>
              </w:rPr>
            </w:pPr>
          </w:p>
          <w:p>
            <w:pPr>
              <w:pStyle w:val="TableParagraph"/>
              <w:ind w:left="81" w:right="78"/>
              <w:rPr>
                <w:sz w:val="20"/>
              </w:rPr>
            </w:pPr>
            <w:r>
              <w:rPr>
                <w:sz w:val="20"/>
              </w:rPr>
              <w:t>EL GENERAL ALVARO OBREGON, SIENDO PRESIDENTE DE LA REPUBLICA, HIZO UNA VISITA A LA ENTOCES HACIENDA DE LA QUEMADA PARA INAUGURAR EL ENTRONQUE DE LA VIA FERROCARRIL SUB-PACIFICO, QUE VENIA DE NOGALES, CON LA DE GUADALAJARA- LA QUEMADA</w:t>
            </w:r>
          </w:p>
        </w:tc>
      </w:tr>
      <w:tr>
        <w:trPr>
          <w:trHeight w:val="455" w:hRule="atLeast"/>
        </w:trPr>
        <w:tc>
          <w:tcPr>
            <w:tcW w:w="756" w:type="dxa"/>
            <w:tcBorders>
              <w:top w:val="single" w:sz="6" w:space="0" w:color="000000"/>
              <w:bottom w:val="single" w:sz="6" w:space="0" w:color="000000"/>
            </w:tcBorders>
            <w:shd w:val="clear" w:color="auto" w:fill="D7E3BB"/>
          </w:tcPr>
          <w:p>
            <w:pPr>
              <w:pStyle w:val="TableParagraph"/>
              <w:spacing w:before="123"/>
              <w:ind w:right="66"/>
              <w:jc w:val="right"/>
              <w:rPr>
                <w:sz w:val="21"/>
              </w:rPr>
            </w:pPr>
            <w:r>
              <w:rPr>
                <w:color w:val="4F6128"/>
                <w:sz w:val="21"/>
              </w:rPr>
              <w:t>1924</w:t>
            </w:r>
          </w:p>
        </w:tc>
        <w:tc>
          <w:tcPr>
            <w:tcW w:w="8622" w:type="dxa"/>
            <w:tcBorders>
              <w:top w:val="single" w:sz="6" w:space="0" w:color="000000"/>
              <w:bottom w:val="single" w:sz="6" w:space="0" w:color="000000"/>
            </w:tcBorders>
          </w:tcPr>
          <w:p>
            <w:pPr>
              <w:pStyle w:val="TableParagraph"/>
              <w:spacing w:before="135"/>
              <w:ind w:left="81"/>
              <w:rPr>
                <w:sz w:val="20"/>
              </w:rPr>
            </w:pPr>
            <w:r>
              <w:rPr>
                <w:sz w:val="20"/>
              </w:rPr>
              <w:t>EL 2 DE ABRIL, SE FUNDO EL EJIDO DE MAGDALENA</w:t>
            </w:r>
          </w:p>
        </w:tc>
      </w:tr>
      <w:tr>
        <w:trPr>
          <w:trHeight w:val="1295" w:hRule="atLeast"/>
        </w:trPr>
        <w:tc>
          <w:tcPr>
            <w:tcW w:w="756" w:type="dxa"/>
            <w:tcBorders>
              <w:top w:val="single" w:sz="6" w:space="0" w:color="000000"/>
              <w:bottom w:val="single" w:sz="6" w:space="0" w:color="000000"/>
            </w:tcBorders>
            <w:shd w:val="clear" w:color="auto" w:fill="D7E3BB"/>
          </w:tcPr>
          <w:p>
            <w:pPr>
              <w:pStyle w:val="TableParagraph"/>
              <w:rPr>
                <w:b/>
                <w:sz w:val="26"/>
              </w:rPr>
            </w:pPr>
          </w:p>
          <w:p>
            <w:pPr>
              <w:pStyle w:val="TableParagraph"/>
              <w:rPr>
                <w:b/>
                <w:sz w:val="26"/>
              </w:rPr>
            </w:pPr>
          </w:p>
          <w:p>
            <w:pPr>
              <w:pStyle w:val="TableParagraph"/>
              <w:spacing w:before="6"/>
              <w:rPr>
                <w:b/>
                <w:sz w:val="26"/>
              </w:rPr>
            </w:pPr>
          </w:p>
          <w:p>
            <w:pPr>
              <w:pStyle w:val="TableParagraph"/>
              <w:spacing w:before="1"/>
              <w:ind w:right="66"/>
              <w:jc w:val="right"/>
              <w:rPr>
                <w:sz w:val="21"/>
              </w:rPr>
            </w:pPr>
            <w:r>
              <w:rPr>
                <w:color w:val="4F6128"/>
                <w:sz w:val="21"/>
              </w:rPr>
              <w:t>1929</w:t>
            </w:r>
          </w:p>
        </w:tc>
        <w:tc>
          <w:tcPr>
            <w:tcW w:w="8622" w:type="dxa"/>
            <w:tcBorders>
              <w:top w:val="single" w:sz="6" w:space="0" w:color="000000"/>
              <w:bottom w:val="single" w:sz="6" w:space="0" w:color="000000"/>
            </w:tcBorders>
          </w:tcPr>
          <w:p>
            <w:pPr>
              <w:pStyle w:val="TableParagraph"/>
              <w:rPr>
                <w:b/>
                <w:sz w:val="24"/>
              </w:rPr>
            </w:pPr>
          </w:p>
          <w:p>
            <w:pPr>
              <w:pStyle w:val="TableParagraph"/>
              <w:spacing w:before="192"/>
              <w:ind w:left="81" w:right="110"/>
              <w:jc w:val="both"/>
              <w:rPr>
                <w:sz w:val="20"/>
              </w:rPr>
            </w:pPr>
            <w:r>
              <w:rPr>
                <w:sz w:val="20"/>
              </w:rPr>
              <w:t>EL 10 DE FEBRERO, EN LA FALDA DEL CERRO LLAMADO "EL TRAPICHE", FUE ACRIBILLADO POR LOS CRISTEROS UN GRUPO DE HOMBRES ARMADOS COMANDADOS POR EL Tte. DE INFANTERIA MAURICIANO ROBERTO JAIME COLUNGA</w:t>
            </w:r>
          </w:p>
        </w:tc>
      </w:tr>
      <w:tr>
        <w:trPr>
          <w:trHeight w:val="455" w:hRule="atLeast"/>
        </w:trPr>
        <w:tc>
          <w:tcPr>
            <w:tcW w:w="756" w:type="dxa"/>
            <w:tcBorders>
              <w:top w:val="single" w:sz="6" w:space="0" w:color="000000"/>
              <w:bottom w:val="single" w:sz="6" w:space="0" w:color="000000"/>
            </w:tcBorders>
            <w:shd w:val="clear" w:color="auto" w:fill="D7E3BB"/>
          </w:tcPr>
          <w:p>
            <w:pPr>
              <w:pStyle w:val="TableParagraph"/>
              <w:spacing w:before="124"/>
              <w:ind w:right="66"/>
              <w:jc w:val="right"/>
              <w:rPr>
                <w:sz w:val="21"/>
              </w:rPr>
            </w:pPr>
            <w:r>
              <w:rPr>
                <w:color w:val="4F6128"/>
                <w:sz w:val="21"/>
              </w:rPr>
              <w:t>1939</w:t>
            </w:r>
          </w:p>
        </w:tc>
        <w:tc>
          <w:tcPr>
            <w:tcW w:w="8622" w:type="dxa"/>
            <w:tcBorders>
              <w:top w:val="single" w:sz="6" w:space="0" w:color="000000"/>
              <w:bottom w:val="single" w:sz="6" w:space="0" w:color="000000"/>
            </w:tcBorders>
          </w:tcPr>
          <w:p>
            <w:pPr>
              <w:pStyle w:val="TableParagraph"/>
              <w:spacing w:before="136"/>
              <w:ind w:left="81"/>
              <w:rPr>
                <w:sz w:val="20"/>
              </w:rPr>
            </w:pPr>
            <w:r>
              <w:rPr>
                <w:sz w:val="20"/>
              </w:rPr>
              <w:t>EL 4 DE FEBRERO, POR DECRETO SE REFORMAN LOS LIMITES DEL MUNICIPIO</w:t>
            </w:r>
          </w:p>
        </w:tc>
      </w:tr>
      <w:tr>
        <w:trPr>
          <w:trHeight w:val="1014" w:hRule="atLeast"/>
        </w:trPr>
        <w:tc>
          <w:tcPr>
            <w:tcW w:w="756" w:type="dxa"/>
            <w:tcBorders>
              <w:top w:val="single" w:sz="6" w:space="0" w:color="000000"/>
              <w:bottom w:val="single" w:sz="6" w:space="0" w:color="000000"/>
            </w:tcBorders>
            <w:shd w:val="clear" w:color="auto" w:fill="D7E3BB"/>
          </w:tcPr>
          <w:p>
            <w:pPr>
              <w:pStyle w:val="TableParagraph"/>
              <w:rPr>
                <w:b/>
                <w:sz w:val="26"/>
              </w:rPr>
            </w:pPr>
          </w:p>
          <w:p>
            <w:pPr>
              <w:pStyle w:val="TableParagraph"/>
              <w:spacing w:before="8"/>
              <w:rPr>
                <w:b/>
                <w:sz w:val="29"/>
              </w:rPr>
            </w:pPr>
          </w:p>
          <w:p>
            <w:pPr>
              <w:pStyle w:val="TableParagraph"/>
              <w:ind w:right="66"/>
              <w:jc w:val="right"/>
              <w:rPr>
                <w:sz w:val="21"/>
              </w:rPr>
            </w:pPr>
            <w:r>
              <w:rPr>
                <w:color w:val="4F6128"/>
                <w:sz w:val="21"/>
              </w:rPr>
              <w:t>1944</w:t>
            </w:r>
          </w:p>
        </w:tc>
        <w:tc>
          <w:tcPr>
            <w:tcW w:w="8622" w:type="dxa"/>
            <w:tcBorders>
              <w:top w:val="single" w:sz="6" w:space="0" w:color="000000"/>
              <w:bottom w:val="single" w:sz="6" w:space="0" w:color="000000"/>
            </w:tcBorders>
          </w:tcPr>
          <w:p>
            <w:pPr>
              <w:pStyle w:val="TableParagraph"/>
              <w:spacing w:before="205"/>
              <w:ind w:left="81" w:right="164"/>
              <w:rPr>
                <w:sz w:val="20"/>
              </w:rPr>
            </w:pPr>
            <w:r>
              <w:rPr>
                <w:sz w:val="20"/>
              </w:rPr>
              <w:t>EL 27 DE JULIO, EL PRESIDENTE DE LA REPUBLICA GRAL. MANUEL AVILA CAMACHO LLEVO A CABO LA UNICA VISITA QUE UN PRIMER MANDATARIO HAYA HECHO A MAGDALENA EN TODA SU HISTORIA</w:t>
            </w:r>
          </w:p>
        </w:tc>
      </w:tr>
      <w:tr>
        <w:trPr>
          <w:trHeight w:val="733" w:hRule="atLeast"/>
        </w:trPr>
        <w:tc>
          <w:tcPr>
            <w:tcW w:w="756" w:type="dxa"/>
            <w:tcBorders>
              <w:top w:val="single" w:sz="6" w:space="0" w:color="000000"/>
              <w:bottom w:val="single" w:sz="6" w:space="0" w:color="000000"/>
            </w:tcBorders>
            <w:shd w:val="clear" w:color="auto" w:fill="D7E3BB"/>
          </w:tcPr>
          <w:p>
            <w:pPr>
              <w:pStyle w:val="TableParagraph"/>
              <w:spacing w:before="11"/>
              <w:rPr>
                <w:b/>
                <w:sz w:val="32"/>
              </w:rPr>
            </w:pPr>
          </w:p>
          <w:p>
            <w:pPr>
              <w:pStyle w:val="TableParagraph"/>
              <w:ind w:right="66"/>
              <w:jc w:val="right"/>
              <w:rPr>
                <w:sz w:val="21"/>
              </w:rPr>
            </w:pPr>
            <w:r>
              <w:rPr>
                <w:color w:val="4F6128"/>
                <w:sz w:val="21"/>
              </w:rPr>
              <w:t>1958</w:t>
            </w:r>
          </w:p>
        </w:tc>
        <w:tc>
          <w:tcPr>
            <w:tcW w:w="8622" w:type="dxa"/>
            <w:tcBorders>
              <w:top w:val="single" w:sz="6" w:space="0" w:color="000000"/>
              <w:bottom w:val="single" w:sz="6" w:space="0" w:color="000000"/>
            </w:tcBorders>
          </w:tcPr>
          <w:p>
            <w:pPr>
              <w:pStyle w:val="TableParagraph"/>
              <w:spacing w:before="171"/>
              <w:ind w:left="81" w:right="485"/>
              <w:rPr>
                <w:sz w:val="20"/>
              </w:rPr>
            </w:pPr>
            <w:r>
              <w:rPr>
                <w:sz w:val="20"/>
              </w:rPr>
              <w:t>EL 18 DE NOVIEMBRE, SON REFORMADOS LOS LIMITES DEL MUNICIPIO POR DECRETO NUMERO 7292</w:t>
            </w:r>
          </w:p>
        </w:tc>
      </w:tr>
    </w:tbl>
    <w:p>
      <w:pPr>
        <w:spacing w:after="0"/>
        <w:rPr>
          <w:sz w:val="20"/>
        </w:rPr>
        <w:sectPr>
          <w:pgSz w:w="12240" w:h="15840"/>
          <w:pgMar w:header="178" w:footer="1076" w:top="1120" w:bottom="1360" w:left="460" w:right="220"/>
        </w:sectPr>
      </w:pPr>
    </w:p>
    <w:p>
      <w:pPr>
        <w:pStyle w:val="BodyText"/>
        <w:rPr>
          <w:b/>
          <w:sz w:val="20"/>
        </w:rPr>
      </w:pPr>
    </w:p>
    <w:p>
      <w:pPr>
        <w:spacing w:before="258"/>
        <w:ind w:left="901" w:right="0" w:firstLine="0"/>
        <w:jc w:val="left"/>
        <w:rPr>
          <w:sz w:val="48"/>
        </w:rPr>
      </w:pPr>
      <w:bookmarkStart w:name="_bookmark5" w:id="6"/>
      <w:bookmarkEnd w:id="6"/>
      <w:r>
        <w:rPr/>
      </w:r>
      <w:r>
        <w:rPr>
          <w:color w:val="585858"/>
          <w:sz w:val="48"/>
        </w:rPr>
        <w:t>1. CONSULTA CIUDADANA</w:t>
      </w:r>
    </w:p>
    <w:p>
      <w:pPr>
        <w:pStyle w:val="BodyText"/>
        <w:spacing w:line="276" w:lineRule="auto" w:before="295"/>
        <w:ind w:left="901" w:right="1152"/>
        <w:jc w:val="both"/>
      </w:pPr>
      <w:r>
        <w:rPr/>
        <w:t>Para la actualización del este Plan Municipal de Desarrollo Y Gobernanza, se emprendió un proceso de consulta ciudadana con el fin de conocer la opinión de los habitantes del municipio en torno a sus problemáticas más sensibles y mayores preocupaciones en relación a su vida cotidiana y a su</w:t>
      </w:r>
      <w:r>
        <w:rPr>
          <w:spacing w:val="-10"/>
        </w:rPr>
        <w:t> </w:t>
      </w:r>
      <w:r>
        <w:rPr/>
        <w:t>entorno.</w:t>
      </w:r>
    </w:p>
    <w:p>
      <w:pPr>
        <w:pStyle w:val="BodyText"/>
        <w:spacing w:before="5"/>
        <w:rPr>
          <w:sz w:val="25"/>
        </w:rPr>
      </w:pPr>
    </w:p>
    <w:p>
      <w:pPr>
        <w:pStyle w:val="BodyText"/>
        <w:spacing w:line="276" w:lineRule="auto"/>
        <w:ind w:left="901" w:right="1155"/>
        <w:jc w:val="both"/>
      </w:pPr>
      <w:r>
        <w:rPr/>
        <w:t>La consulta se realizó a través de la aplicación de 200 cuestionarios a habitantes en las diferentes localidades del municipio. Dichas consultas fueron aplicadas entre el 7 y 12 de mayo del año 2019 y fueron levantadas directamente en viviendas tomando como informantes preferentemente a personas mayores de</w:t>
      </w:r>
      <w:r>
        <w:rPr>
          <w:spacing w:val="-5"/>
        </w:rPr>
        <w:t> </w:t>
      </w:r>
      <w:r>
        <w:rPr/>
        <w:t>edad.</w:t>
      </w:r>
    </w:p>
    <w:p>
      <w:pPr>
        <w:pStyle w:val="BodyText"/>
        <w:spacing w:before="4"/>
        <w:rPr>
          <w:sz w:val="25"/>
        </w:rPr>
      </w:pPr>
    </w:p>
    <w:p>
      <w:pPr>
        <w:pStyle w:val="BodyText"/>
        <w:ind w:left="901"/>
      </w:pPr>
      <w:r>
        <w:rPr/>
        <w:t>Participaron</w:t>
      </w:r>
      <w:r>
        <w:rPr>
          <w:spacing w:val="12"/>
        </w:rPr>
        <w:t> </w:t>
      </w:r>
      <w:r>
        <w:rPr/>
        <w:t>un</w:t>
      </w:r>
      <w:r>
        <w:rPr>
          <w:spacing w:val="12"/>
        </w:rPr>
        <w:t> </w:t>
      </w:r>
      <w:r>
        <w:rPr/>
        <w:t>total</w:t>
      </w:r>
      <w:r>
        <w:rPr>
          <w:spacing w:val="13"/>
        </w:rPr>
        <w:t> </w:t>
      </w:r>
      <w:r>
        <w:rPr/>
        <w:t>de</w:t>
      </w:r>
      <w:r>
        <w:rPr>
          <w:spacing w:val="13"/>
        </w:rPr>
        <w:t> </w:t>
      </w:r>
      <w:r>
        <w:rPr/>
        <w:t>200</w:t>
      </w:r>
      <w:r>
        <w:rPr>
          <w:spacing w:val="13"/>
        </w:rPr>
        <w:t> </w:t>
      </w:r>
      <w:r>
        <w:rPr/>
        <w:t>ciudadanos</w:t>
      </w:r>
      <w:r>
        <w:rPr>
          <w:spacing w:val="12"/>
        </w:rPr>
        <w:t> </w:t>
      </w:r>
      <w:r>
        <w:rPr/>
        <w:t>del</w:t>
      </w:r>
      <w:r>
        <w:rPr>
          <w:spacing w:val="13"/>
        </w:rPr>
        <w:t> </w:t>
      </w:r>
      <w:r>
        <w:rPr/>
        <w:t>municipio</w:t>
      </w:r>
      <w:r>
        <w:rPr>
          <w:spacing w:val="12"/>
        </w:rPr>
        <w:t> </w:t>
      </w:r>
      <w:r>
        <w:rPr/>
        <w:t>de</w:t>
      </w:r>
      <w:r>
        <w:rPr>
          <w:spacing w:val="13"/>
        </w:rPr>
        <w:t> </w:t>
      </w:r>
      <w:r>
        <w:rPr/>
        <w:t>Magdalena,</w:t>
      </w:r>
      <w:r>
        <w:rPr>
          <w:spacing w:val="12"/>
        </w:rPr>
        <w:t> </w:t>
      </w:r>
      <w:r>
        <w:rPr/>
        <w:t>de</w:t>
      </w:r>
      <w:r>
        <w:rPr>
          <w:spacing w:val="13"/>
        </w:rPr>
        <w:t> </w:t>
      </w:r>
      <w:r>
        <w:rPr/>
        <w:t>los</w:t>
      </w:r>
      <w:r>
        <w:rPr>
          <w:spacing w:val="12"/>
        </w:rPr>
        <w:t> </w:t>
      </w:r>
      <w:r>
        <w:rPr/>
        <w:t>cuales</w:t>
      </w:r>
      <w:r>
        <w:rPr>
          <w:spacing w:val="14"/>
        </w:rPr>
        <w:t> </w:t>
      </w:r>
      <w:r>
        <w:rPr>
          <w:spacing w:val="-3"/>
        </w:rPr>
        <w:t>56</w:t>
      </w:r>
    </w:p>
    <w:p>
      <w:pPr>
        <w:pStyle w:val="BodyText"/>
        <w:spacing w:line="276" w:lineRule="auto" w:before="40"/>
        <w:ind w:left="901" w:right="1145"/>
      </w:pPr>
      <w:r>
        <w:rPr/>
        <w:t>% fueron mujeres y 44 % hombres; entre los siguientes rangos de edad: 2 menores de </w:t>
      </w:r>
      <w:r>
        <w:rPr>
          <w:spacing w:val="-3"/>
        </w:rPr>
        <w:t>18 </w:t>
      </w:r>
      <w:r>
        <w:rPr/>
        <w:t>años, 19 personas de 18 a 25 años, 23 de 26 a 30 años, 24 de 31 a 25 años, 29 de 36 a</w:t>
      </w:r>
      <w:r>
        <w:rPr>
          <w:spacing w:val="42"/>
        </w:rPr>
        <w:t> </w:t>
      </w:r>
      <w:r>
        <w:rPr/>
        <w:t>40</w:t>
      </w:r>
    </w:p>
    <w:p>
      <w:pPr>
        <w:pStyle w:val="BodyText"/>
        <w:spacing w:before="1"/>
        <w:ind w:left="901"/>
      </w:pPr>
      <w:r>
        <w:rPr/>
        <w:t>años, 64 de 41 a 55 años y 39 de 56 a más años.</w:t>
      </w:r>
    </w:p>
    <w:p>
      <w:pPr>
        <w:pStyle w:val="BodyText"/>
        <w:spacing w:before="6"/>
        <w:rPr>
          <w:sz w:val="28"/>
        </w:rPr>
      </w:pPr>
    </w:p>
    <w:p>
      <w:pPr>
        <w:pStyle w:val="BodyText"/>
        <w:spacing w:line="276" w:lineRule="auto"/>
        <w:ind w:left="901" w:right="1155"/>
        <w:jc w:val="both"/>
      </w:pPr>
      <w:r>
        <w:rPr/>
        <w:t>De los consultados el 47% son empleados, el 22.25% son amas de casa, el 14.5% son trabajadores independientes, 4% jubilados o pensionados, 3.5% son patrones o empresarios, 3.5% están desempleados, 3.25% son estudiantes, 1% respondió otro y  </w:t>
      </w:r>
      <w:r>
        <w:rPr>
          <w:spacing w:val="-3"/>
        </w:rPr>
        <w:t>1% </w:t>
      </w:r>
      <w:r>
        <w:rPr/>
        <w:t>no</w:t>
      </w:r>
      <w:r>
        <w:rPr>
          <w:spacing w:val="-2"/>
        </w:rPr>
        <w:t> </w:t>
      </w:r>
      <w:r>
        <w:rPr/>
        <w:t>contestó.</w:t>
      </w:r>
    </w:p>
    <w:p>
      <w:pPr>
        <w:pStyle w:val="BodyText"/>
        <w:spacing w:before="4"/>
        <w:rPr>
          <w:sz w:val="25"/>
        </w:rPr>
      </w:pPr>
    </w:p>
    <w:p>
      <w:pPr>
        <w:pStyle w:val="BodyText"/>
        <w:spacing w:line="276" w:lineRule="auto"/>
        <w:ind w:left="901" w:right="1155"/>
        <w:jc w:val="both"/>
      </w:pPr>
      <w:r>
        <w:rPr/>
        <w:t>En cuanto al estado civil de los entrevistados, el 52% son personas casadas y 26.5% solteros, el porcentaje restantes son personas en unión libre, viudos, separados y divorciados.</w:t>
      </w:r>
    </w:p>
    <w:p>
      <w:pPr>
        <w:pStyle w:val="BodyText"/>
        <w:rPr>
          <w:sz w:val="26"/>
        </w:rPr>
      </w:pPr>
    </w:p>
    <w:p>
      <w:pPr>
        <w:pStyle w:val="BodyText"/>
        <w:spacing w:before="10"/>
        <w:rPr>
          <w:sz w:val="24"/>
        </w:rPr>
      </w:pPr>
    </w:p>
    <w:p>
      <w:pPr>
        <w:pStyle w:val="Heading2"/>
        <w:spacing w:before="1"/>
        <w:rPr>
          <w:rFonts w:ascii="Century Gothic" w:hAnsi="Century Gothic"/>
        </w:rPr>
      </w:pPr>
      <w:r>
        <w:rPr>
          <w:rFonts w:ascii="Century Gothic" w:hAnsi="Century Gothic"/>
        </w:rPr>
        <w:t>CAMBIOS EN LA SITUACIÓN DE LOS HABITANTES EN LOS ÚLTIMOS 9 AÑOS.</w:t>
      </w:r>
    </w:p>
    <w:p>
      <w:pPr>
        <w:pStyle w:val="BodyText"/>
        <w:spacing w:before="8"/>
        <w:rPr>
          <w:b/>
          <w:sz w:val="28"/>
        </w:rPr>
      </w:pPr>
    </w:p>
    <w:p>
      <w:pPr>
        <w:pStyle w:val="BodyText"/>
        <w:spacing w:line="276" w:lineRule="auto"/>
        <w:ind w:left="901" w:right="1145"/>
      </w:pPr>
      <w:r>
        <w:rPr/>
        <w:t>En una primera pregunta sobre la valoración que hacen los habitantes del municipio del contexto, se preguntó cómo sienten que ha cambiado su situación en los últimos 9 años.</w:t>
      </w:r>
    </w:p>
    <w:p>
      <w:pPr>
        <w:pStyle w:val="BodyText"/>
        <w:spacing w:before="5"/>
        <w:rPr>
          <w:sz w:val="25"/>
        </w:rPr>
      </w:pPr>
    </w:p>
    <w:p>
      <w:pPr>
        <w:pStyle w:val="BodyText"/>
        <w:spacing w:line="276" w:lineRule="auto"/>
        <w:ind w:left="901" w:right="1154"/>
        <w:jc w:val="both"/>
      </w:pPr>
      <w:r>
        <w:rPr/>
        <w:t>En relación a su situación económica, el 41% de los ciudadanos sienten que ha mejorado, el 34.5% respondió que sigue igual de bien, 14% respondió que sigue igual de mal y 10.5% respondió que ha empeorado.</w:t>
      </w:r>
    </w:p>
    <w:p>
      <w:pPr>
        <w:pStyle w:val="BodyText"/>
        <w:spacing w:before="4"/>
        <w:rPr>
          <w:sz w:val="25"/>
        </w:rPr>
      </w:pPr>
    </w:p>
    <w:p>
      <w:pPr>
        <w:pStyle w:val="BodyText"/>
        <w:spacing w:line="276" w:lineRule="auto"/>
        <w:ind w:left="901" w:right="1145"/>
      </w:pPr>
      <w:r>
        <w:rPr/>
        <w:t>En cuanto a la seguridad pública: el 32% de los ciudadanos consultados respondieron que ésta ha mejorado en los últimos años, el 32.5% respondió que sigue igual de bien,</w:t>
      </w:r>
    </w:p>
    <w:p>
      <w:pPr>
        <w:pStyle w:val="BodyText"/>
        <w:spacing w:line="268" w:lineRule="exact"/>
        <w:ind w:left="901"/>
      </w:pPr>
      <w:r>
        <w:rPr/>
        <w:t>27.5 % respondió que sigue igual de mal y 8 % respondió que ha empeorado.</w:t>
      </w:r>
    </w:p>
    <w:p>
      <w:pPr>
        <w:spacing w:after="0" w:line="268" w:lineRule="exact"/>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6"/>
        <w:jc w:val="both"/>
      </w:pPr>
      <w:r>
        <w:rPr/>
        <w:t>En relación al empleo, el 43% de los ciudadanos consultados respondieron que ha mejorado, 26.5% respondió que sigue igual de bien, 26% respondió que sigue igual de mal y 4.5% respondió que ha empeorado.</w:t>
      </w:r>
    </w:p>
    <w:p>
      <w:pPr>
        <w:pStyle w:val="BodyText"/>
        <w:spacing w:before="4"/>
        <w:rPr>
          <w:sz w:val="25"/>
        </w:rPr>
      </w:pPr>
    </w:p>
    <w:p>
      <w:pPr>
        <w:pStyle w:val="BodyText"/>
        <w:spacing w:line="276" w:lineRule="auto"/>
        <w:ind w:left="901" w:right="1156"/>
        <w:jc w:val="both"/>
      </w:pPr>
      <w:r>
        <w:rPr/>
        <w:t>El 59.5% de los ciudadanos consultados respondieron que Los servicios públicos municipales (agua, drenaje, alumbrado público, recolección de basura, transporte…): han mejorado, 34.5% respondió que siguen igual de bien, 5% respondió que sigue igual de mal y 1% respondió que han empeorado.</w:t>
      </w:r>
    </w:p>
    <w:p>
      <w:pPr>
        <w:pStyle w:val="BodyText"/>
        <w:spacing w:before="3"/>
        <w:rPr>
          <w:sz w:val="25"/>
        </w:rPr>
      </w:pPr>
    </w:p>
    <w:p>
      <w:pPr>
        <w:pStyle w:val="BodyText"/>
        <w:spacing w:line="276" w:lineRule="auto"/>
        <w:ind w:left="901" w:right="1152"/>
        <w:jc w:val="both"/>
      </w:pPr>
      <w:r>
        <w:rPr/>
        <w:t>En relación al entorno urbano (el estado actual de espacios públicos del municipio, calles, parques y jardines, etc.): 79.5% de los ciudadanos consultados respondieron que ha mejorado, 16.5% respondió que sigue igual de bien, 3.5% respondió que sigue igual de mal y 0.5% no sabe o no</w:t>
      </w:r>
      <w:r>
        <w:rPr>
          <w:spacing w:val="-13"/>
        </w:rPr>
        <w:t> </w:t>
      </w:r>
      <w:r>
        <w:rPr/>
        <w:t>conoce.</w:t>
      </w:r>
    </w:p>
    <w:p>
      <w:pPr>
        <w:pStyle w:val="BodyText"/>
        <w:spacing w:before="6"/>
        <w:rPr>
          <w:sz w:val="25"/>
        </w:rPr>
      </w:pPr>
    </w:p>
    <w:p>
      <w:pPr>
        <w:pStyle w:val="BodyText"/>
        <w:spacing w:line="276" w:lineRule="auto"/>
        <w:ind w:left="901" w:right="1155"/>
        <w:jc w:val="both"/>
      </w:pPr>
      <w:r>
        <w:rPr/>
        <w:t>Y finalmente, la valoración de los habitantes sobre la convivencia con sus vecinos, frente a lo cual, el 23.5% de los ciudadanos consultados respondieron que ha mejorado, 65.5% respondió que sigue igual de bien, 8.5% respondió que sigue igual de mal, 2% respondió que ha empeorado y 0.5% no sabe o no</w:t>
      </w:r>
      <w:r>
        <w:rPr>
          <w:spacing w:val="-20"/>
        </w:rPr>
        <w:t> </w:t>
      </w:r>
      <w:r>
        <w:rPr/>
        <w:t>conoce.</w:t>
      </w:r>
    </w:p>
    <w:p>
      <w:pPr>
        <w:pStyle w:val="BodyText"/>
        <w:spacing w:before="5"/>
        <w:rPr>
          <w:sz w:val="25"/>
        </w:rPr>
      </w:pPr>
    </w:p>
    <w:p>
      <w:pPr>
        <w:spacing w:before="0"/>
        <w:ind w:left="901" w:right="0" w:firstLine="0"/>
        <w:jc w:val="both"/>
        <w:rPr>
          <w:b/>
          <w:sz w:val="28"/>
        </w:rPr>
      </w:pPr>
      <w:r>
        <w:rPr>
          <w:b/>
          <w:sz w:val="28"/>
        </w:rPr>
        <w:t>PROBLEMAS MÁS URGENTES DE RESOLVER</w:t>
      </w:r>
    </w:p>
    <w:p>
      <w:pPr>
        <w:pStyle w:val="BodyText"/>
        <w:spacing w:before="2"/>
        <w:rPr>
          <w:b/>
          <w:sz w:val="29"/>
        </w:rPr>
      </w:pPr>
    </w:p>
    <w:p>
      <w:pPr>
        <w:pStyle w:val="BodyText"/>
        <w:spacing w:line="278" w:lineRule="auto" w:before="1"/>
        <w:ind w:left="901" w:right="1161"/>
        <w:jc w:val="both"/>
      </w:pPr>
      <w:r>
        <w:rPr/>
        <w:t>En relación al país, así contestaron los ciudadanos ante la pregunta de cuál es el problema más urgente a resolver:</w:t>
      </w:r>
    </w:p>
    <w:p>
      <w:pPr>
        <w:pStyle w:val="BodyText"/>
        <w:spacing w:before="11"/>
        <w:rPr>
          <w:sz w:val="24"/>
        </w:rPr>
      </w:pPr>
    </w:p>
    <w:p>
      <w:pPr>
        <w:pStyle w:val="BodyText"/>
        <w:ind w:left="901"/>
      </w:pPr>
      <w:r>
        <w:rPr/>
        <w:t>52%</w:t>
      </w:r>
      <w:r>
        <w:rPr>
          <w:spacing w:val="-5"/>
        </w:rPr>
        <w:t> </w:t>
      </w:r>
      <w:r>
        <w:rPr/>
        <w:t>inseguridad.</w:t>
      </w:r>
    </w:p>
    <w:p>
      <w:pPr>
        <w:pStyle w:val="BodyText"/>
        <w:spacing w:before="40"/>
        <w:ind w:left="901"/>
      </w:pPr>
      <w:r>
        <w:rPr/>
        <w:t>16%</w:t>
      </w:r>
      <w:r>
        <w:rPr>
          <w:spacing w:val="-2"/>
        </w:rPr>
        <w:t> </w:t>
      </w:r>
      <w:r>
        <w:rPr/>
        <w:t>desempleo,</w:t>
      </w:r>
    </w:p>
    <w:p>
      <w:pPr>
        <w:pStyle w:val="BodyText"/>
        <w:spacing w:before="42"/>
        <w:ind w:left="901"/>
      </w:pPr>
      <w:r>
        <w:rPr/>
        <w:t>7% mala economía,</w:t>
      </w:r>
    </w:p>
    <w:p>
      <w:pPr>
        <w:pStyle w:val="BodyText"/>
        <w:spacing w:before="40"/>
        <w:ind w:left="901"/>
      </w:pPr>
      <w:r>
        <w:rPr/>
        <w:t>6 % corrupción,</w:t>
      </w:r>
    </w:p>
    <w:p>
      <w:pPr>
        <w:pStyle w:val="BodyText"/>
        <w:spacing w:before="40"/>
        <w:ind w:left="901"/>
      </w:pPr>
      <w:r>
        <w:rPr/>
        <w:t>3% violencia,</w:t>
      </w:r>
    </w:p>
    <w:p>
      <w:pPr>
        <w:pStyle w:val="BodyText"/>
        <w:spacing w:before="40"/>
        <w:ind w:left="901"/>
      </w:pPr>
      <w:r>
        <w:rPr/>
        <w:t>1% feminicidio,</w:t>
      </w:r>
    </w:p>
    <w:p>
      <w:pPr>
        <w:pStyle w:val="BodyText"/>
        <w:spacing w:before="42"/>
        <w:ind w:left="901"/>
      </w:pPr>
      <w:r>
        <w:rPr/>
        <w:t>1.5% drogadicción,</w:t>
      </w:r>
    </w:p>
    <w:p>
      <w:pPr>
        <w:pStyle w:val="BodyText"/>
        <w:spacing w:before="40"/>
        <w:ind w:left="901"/>
      </w:pPr>
      <w:r>
        <w:rPr/>
        <w:t>0.5% deserción escolar,</w:t>
      </w:r>
    </w:p>
    <w:p>
      <w:pPr>
        <w:pStyle w:val="BodyText"/>
        <w:spacing w:before="40"/>
        <w:ind w:left="901"/>
      </w:pPr>
      <w:r>
        <w:rPr/>
        <w:t>1% pobreza,</w:t>
      </w:r>
    </w:p>
    <w:p>
      <w:pPr>
        <w:pStyle w:val="BodyText"/>
        <w:spacing w:line="278" w:lineRule="auto" w:before="40"/>
        <w:ind w:left="901" w:right="4038"/>
      </w:pPr>
      <w:r>
        <w:rPr/>
        <w:t>2.1% la delincuencia, secuestros, asaltos y crimen organizado, 1% alto precio de la gasolina,</w:t>
      </w:r>
    </w:p>
    <w:p>
      <w:pPr>
        <w:pStyle w:val="BodyText"/>
        <w:spacing w:line="266" w:lineRule="exact"/>
        <w:ind w:left="901"/>
      </w:pPr>
      <w:r>
        <w:rPr/>
        <w:t>0.5% falta de educación,</w:t>
      </w:r>
    </w:p>
    <w:p>
      <w:pPr>
        <w:pStyle w:val="BodyText"/>
        <w:spacing w:line="276" w:lineRule="auto" w:before="40"/>
        <w:ind w:left="901" w:right="4986"/>
      </w:pPr>
      <w:r>
        <w:rPr/>
        <w:t>0.5% respondió la falta de acceso a la salud pública, 1.5% bajos salarios,</w:t>
      </w:r>
    </w:p>
    <w:p>
      <w:pPr>
        <w:pStyle w:val="BodyText"/>
        <w:spacing w:before="1"/>
        <w:ind w:left="901"/>
      </w:pPr>
      <w:r>
        <w:rPr/>
        <w:t>0.5% migración,</w:t>
      </w:r>
    </w:p>
    <w:p>
      <w:pPr>
        <w:pStyle w:val="BodyText"/>
        <w:spacing w:before="40"/>
        <w:ind w:left="901"/>
      </w:pPr>
      <w:r>
        <w:rPr/>
        <w:t>0.5% falta de apoyos a la niñez,</w:t>
      </w:r>
    </w:p>
    <w:p>
      <w:pPr>
        <w:spacing w:after="0"/>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7082"/>
      </w:pPr>
      <w:r>
        <w:rPr/>
        <w:t>0.5% falta de inversión extranjera, 2.5% no contesto.</w:t>
      </w:r>
    </w:p>
    <w:p>
      <w:pPr>
        <w:pStyle w:val="BodyText"/>
        <w:spacing w:before="4"/>
        <w:rPr>
          <w:sz w:val="25"/>
        </w:rPr>
      </w:pPr>
    </w:p>
    <w:p>
      <w:pPr>
        <w:pStyle w:val="BodyText"/>
        <w:spacing w:line="276" w:lineRule="auto"/>
        <w:ind w:left="901" w:right="1145"/>
      </w:pPr>
      <w:r>
        <w:rPr/>
        <w:t>En el Estado de Jalisco, los ciudadanos valoraron los siguientes problemas como los más urgentes:</w:t>
      </w:r>
    </w:p>
    <w:p>
      <w:pPr>
        <w:pStyle w:val="BodyText"/>
        <w:spacing w:line="269" w:lineRule="exact"/>
        <w:ind w:left="901"/>
      </w:pPr>
      <w:r>
        <w:rPr/>
        <w:t>47.5% Inseguridad,</w:t>
      </w:r>
    </w:p>
    <w:p>
      <w:pPr>
        <w:pStyle w:val="BodyText"/>
        <w:spacing w:before="43"/>
        <w:ind w:left="901"/>
      </w:pPr>
      <w:r>
        <w:rPr/>
        <w:t>17% Desempleo,</w:t>
      </w:r>
    </w:p>
    <w:p>
      <w:pPr>
        <w:pStyle w:val="BodyText"/>
        <w:spacing w:before="40"/>
        <w:ind w:left="901"/>
      </w:pPr>
      <w:r>
        <w:rPr/>
        <w:t>5% Mala economía,</w:t>
      </w:r>
    </w:p>
    <w:p>
      <w:pPr>
        <w:pStyle w:val="BodyText"/>
        <w:spacing w:before="39"/>
        <w:ind w:left="901"/>
      </w:pPr>
      <w:r>
        <w:rPr/>
        <w:t>4%, Corrupción,</w:t>
      </w:r>
    </w:p>
    <w:p>
      <w:pPr>
        <w:pStyle w:val="BodyText"/>
        <w:spacing w:before="40"/>
        <w:ind w:left="901"/>
      </w:pPr>
      <w:r>
        <w:rPr/>
        <w:t>2% Bajos salarios,</w:t>
      </w:r>
    </w:p>
    <w:p>
      <w:pPr>
        <w:pStyle w:val="BodyText"/>
        <w:spacing w:line="276" w:lineRule="auto" w:before="43"/>
        <w:ind w:left="901" w:right="6051"/>
      </w:pPr>
      <w:r>
        <w:rPr/>
        <w:t>2% falta de acceso a los servicios de salud, 7.5% delincuencia, secuestros y asaltos,</w:t>
      </w:r>
    </w:p>
    <w:p>
      <w:pPr>
        <w:pStyle w:val="BodyText"/>
        <w:spacing w:line="269" w:lineRule="exact"/>
        <w:ind w:left="901"/>
      </w:pPr>
      <w:r>
        <w:rPr/>
        <w:t>1% la drogadicción,</w:t>
      </w:r>
    </w:p>
    <w:p>
      <w:pPr>
        <w:pStyle w:val="BodyText"/>
        <w:spacing w:line="276" w:lineRule="auto" w:before="39"/>
        <w:ind w:left="901" w:right="7820"/>
      </w:pPr>
      <w:r>
        <w:rPr/>
        <w:t>1%, la falta de educación, 1.5% la falta de apoyos, 1% feminicidios,</w:t>
      </w:r>
    </w:p>
    <w:p>
      <w:pPr>
        <w:pStyle w:val="BodyText"/>
        <w:spacing w:before="1"/>
        <w:ind w:left="901"/>
      </w:pPr>
      <w:r>
        <w:rPr/>
        <w:t>0.5% el robo de infantes,</w:t>
      </w:r>
    </w:p>
    <w:p>
      <w:pPr>
        <w:pStyle w:val="BodyText"/>
        <w:spacing w:line="276" w:lineRule="auto" w:before="40"/>
        <w:ind w:left="901" w:right="6835"/>
      </w:pPr>
      <w:r>
        <w:rPr/>
        <w:t>0.5% la falta de servicios públicos, 2% violencia,</w:t>
      </w:r>
    </w:p>
    <w:p>
      <w:pPr>
        <w:pStyle w:val="BodyText"/>
        <w:spacing w:line="276" w:lineRule="auto" w:before="1"/>
        <w:ind w:left="901" w:right="6083"/>
      </w:pPr>
      <w:r>
        <w:rPr/>
        <w:t>0.5% falta de apoyos para terrenos y casa, 0.5% contaminación,</w:t>
      </w:r>
    </w:p>
    <w:p>
      <w:pPr>
        <w:pStyle w:val="BodyText"/>
        <w:spacing w:line="276" w:lineRule="auto"/>
        <w:ind w:left="901" w:right="6666"/>
      </w:pPr>
      <w:r>
        <w:rPr/>
        <w:t>0.5% falta de apoyos para el campo, 0.5% falta de transporte,</w:t>
      </w:r>
    </w:p>
    <w:p>
      <w:pPr>
        <w:pStyle w:val="BodyText"/>
        <w:spacing w:before="1"/>
        <w:ind w:left="901"/>
      </w:pPr>
      <w:r>
        <w:rPr/>
        <w:t>0.5% bajo desarrollo económico,</w:t>
      </w:r>
    </w:p>
    <w:p>
      <w:pPr>
        <w:pStyle w:val="BodyText"/>
        <w:spacing w:line="276" w:lineRule="auto" w:before="39"/>
        <w:ind w:left="901" w:right="5574"/>
      </w:pPr>
      <w:r>
        <w:rPr/>
        <w:t>0.5% desigualdad de atención a los municipios, 0.5% falta de apoyo al deporte,</w:t>
      </w:r>
    </w:p>
    <w:p>
      <w:pPr>
        <w:pStyle w:val="BodyText"/>
        <w:spacing w:line="276" w:lineRule="auto"/>
        <w:ind w:left="901" w:right="6042"/>
      </w:pPr>
      <w:r>
        <w:rPr/>
        <w:t>0.5% la falta de apoyos para guarderías, 0.5% malas vías de comunicación terrestre, 2.5% no contesto.</w:t>
      </w:r>
    </w:p>
    <w:p>
      <w:pPr>
        <w:pStyle w:val="BodyText"/>
        <w:rPr>
          <w:sz w:val="26"/>
        </w:rPr>
      </w:pPr>
    </w:p>
    <w:p>
      <w:pPr>
        <w:pStyle w:val="BodyText"/>
        <w:spacing w:before="8"/>
        <w:rPr>
          <w:sz w:val="24"/>
        </w:rPr>
      </w:pPr>
    </w:p>
    <w:p>
      <w:pPr>
        <w:pStyle w:val="BodyText"/>
        <w:ind w:left="901"/>
      </w:pPr>
      <w:r>
        <w:rPr/>
        <w:t>En relación al Municipio de Magdalena:</w:t>
      </w:r>
    </w:p>
    <w:p>
      <w:pPr>
        <w:pStyle w:val="BodyText"/>
        <w:spacing w:line="276" w:lineRule="auto" w:before="40"/>
        <w:ind w:left="901" w:right="1145"/>
      </w:pPr>
      <w:r>
        <w:rPr/>
        <w:t>El 17.5% de los ciudadanos consultados respondieron que el problema más urgente de resolver en el Municipio de Magdalena es la inseguridad.</w:t>
      </w:r>
    </w:p>
    <w:p>
      <w:pPr>
        <w:pStyle w:val="BodyText"/>
        <w:spacing w:line="278" w:lineRule="auto"/>
        <w:ind w:left="901" w:right="7117"/>
      </w:pPr>
      <w:r>
        <w:rPr/>
        <w:t>El 38.5% respondió el desempleo, 4.5% mala economía,</w:t>
      </w:r>
    </w:p>
    <w:p>
      <w:pPr>
        <w:pStyle w:val="BodyText"/>
        <w:spacing w:line="266" w:lineRule="exact"/>
        <w:ind w:left="901"/>
      </w:pPr>
      <w:r>
        <w:rPr/>
        <w:t>3.5% violencia familiar,</w:t>
      </w:r>
    </w:p>
    <w:p>
      <w:pPr>
        <w:pStyle w:val="BodyText"/>
        <w:spacing w:before="40"/>
        <w:ind w:left="901"/>
      </w:pPr>
      <w:r>
        <w:rPr/>
        <w:t>3.5% respondió ningún problema,</w:t>
      </w:r>
    </w:p>
    <w:p>
      <w:pPr>
        <w:pStyle w:val="BodyText"/>
        <w:spacing w:before="39"/>
        <w:ind w:left="901"/>
      </w:pPr>
      <w:r>
        <w:rPr/>
        <w:t>3.75% mencionaron alguna deficiencia en servicios</w:t>
      </w:r>
    </w:p>
    <w:p>
      <w:pPr>
        <w:pStyle w:val="BodyText"/>
        <w:spacing w:line="276" w:lineRule="auto" w:before="43"/>
        <w:ind w:left="901" w:right="4301"/>
      </w:pPr>
      <w:r>
        <w:rPr/>
        <w:t>3% falta de acceso a los servicios de salud y de un hospital, 2% contaminación y basura en las calles,</w:t>
      </w:r>
    </w:p>
    <w:p>
      <w:pPr>
        <w:spacing w:after="0" w:line="276" w:lineRule="auto"/>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6045"/>
      </w:pPr>
      <w:r>
        <w:rPr/>
        <w:t>2% delincuencia y robo a casa habitación, 1.5% calles en mal estado,</w:t>
      </w:r>
    </w:p>
    <w:p>
      <w:pPr>
        <w:pStyle w:val="BodyText"/>
        <w:spacing w:before="1"/>
        <w:ind w:left="901"/>
      </w:pPr>
      <w:r>
        <w:rPr/>
        <w:t>1% drogadicción,</w:t>
      </w:r>
    </w:p>
    <w:p>
      <w:pPr>
        <w:pStyle w:val="BodyText"/>
        <w:spacing w:line="276" w:lineRule="auto" w:before="40"/>
        <w:ind w:left="901" w:right="8232"/>
      </w:pPr>
      <w:r>
        <w:rPr/>
        <w:t>1% falta de transporte, 1.5% bajos salarios,</w:t>
      </w:r>
    </w:p>
    <w:p>
      <w:pPr>
        <w:pStyle w:val="BodyText"/>
        <w:spacing w:line="269" w:lineRule="exact"/>
        <w:ind w:left="901"/>
      </w:pPr>
      <w:r>
        <w:rPr/>
        <w:t>1.5% falta de promoción de empleo,</w:t>
      </w:r>
    </w:p>
    <w:p>
      <w:pPr>
        <w:pStyle w:val="BodyText"/>
        <w:spacing w:line="276" w:lineRule="auto" w:before="43"/>
        <w:ind w:left="901" w:right="1145"/>
      </w:pPr>
      <w:r>
        <w:rPr/>
        <w:t>1.75% respondió falta de espacios para recreación, áreas verdes, falta de apoyos a los deportistas y a guarderías,</w:t>
      </w:r>
    </w:p>
    <w:p>
      <w:pPr>
        <w:pStyle w:val="BodyText"/>
        <w:spacing w:line="269" w:lineRule="exact"/>
        <w:ind w:left="901"/>
      </w:pPr>
      <w:r>
        <w:rPr/>
        <w:t>1% bajo turismo,</w:t>
      </w:r>
    </w:p>
    <w:p>
      <w:pPr>
        <w:pStyle w:val="BodyText"/>
        <w:spacing w:before="39"/>
        <w:ind w:left="901"/>
      </w:pPr>
      <w:r>
        <w:rPr/>
        <w:t>1% falta de educación,</w:t>
      </w:r>
    </w:p>
    <w:p>
      <w:pPr>
        <w:pStyle w:val="BodyText"/>
        <w:spacing w:line="276" w:lineRule="auto" w:before="43"/>
        <w:ind w:left="901" w:right="2999"/>
      </w:pPr>
      <w:r>
        <w:rPr/>
        <w:t>1% falta normatividad para el uso de la moto y falta de educación vial, 0.5% corrupción,</w:t>
      </w:r>
    </w:p>
    <w:p>
      <w:pPr>
        <w:pStyle w:val="BodyText"/>
        <w:spacing w:line="269" w:lineRule="exact"/>
        <w:ind w:left="901"/>
      </w:pPr>
      <w:r>
        <w:rPr/>
        <w:t>0.5% rezago en las delegaciones,</w:t>
      </w:r>
    </w:p>
    <w:p>
      <w:pPr>
        <w:pStyle w:val="BodyText"/>
        <w:spacing w:line="278" w:lineRule="auto" w:before="40"/>
        <w:ind w:left="901" w:right="6173"/>
      </w:pPr>
      <w:r>
        <w:rPr/>
        <w:t>0.5% falta de apoyo para los campesinos, 0.5% falta de estacionamiento,</w:t>
      </w:r>
    </w:p>
    <w:p>
      <w:pPr>
        <w:pStyle w:val="BodyText"/>
        <w:spacing w:line="276" w:lineRule="auto"/>
        <w:ind w:left="901" w:right="5554"/>
      </w:pPr>
      <w:r>
        <w:rPr/>
        <w:t>0.5% falta de becas para escuelas secundarias, 0.5% falta de inversión de empresas,</w:t>
      </w:r>
    </w:p>
    <w:p>
      <w:pPr>
        <w:pStyle w:val="BodyText"/>
        <w:spacing w:line="276" w:lineRule="auto"/>
        <w:ind w:left="901" w:right="1145"/>
      </w:pPr>
      <w:r>
        <w:rPr/>
        <w:t>0.5% falta de aplicación del reglamento en tiendas de venta de bebidas alcohólicas y de control de consumo en la vía pública,</w:t>
      </w:r>
    </w:p>
    <w:p>
      <w:pPr>
        <w:pStyle w:val="BodyText"/>
        <w:ind w:left="901"/>
      </w:pPr>
      <w:r>
        <w:rPr/>
        <w:t>4.5% no contesto.</w:t>
      </w:r>
    </w:p>
    <w:p>
      <w:pPr>
        <w:pStyle w:val="BodyText"/>
        <w:spacing w:before="1"/>
        <w:rPr>
          <w:sz w:val="28"/>
        </w:rPr>
      </w:pPr>
    </w:p>
    <w:p>
      <w:pPr>
        <w:pStyle w:val="BodyText"/>
        <w:spacing w:line="276" w:lineRule="auto" w:before="1"/>
        <w:ind w:left="901" w:right="1145"/>
      </w:pPr>
      <w:r>
        <w:rPr/>
        <w:t>Respecto a la pregunta: hoy en día ¿Cuáles son los dos temas que más le preocupan a usted en su vida cotidiana?</w:t>
      </w:r>
    </w:p>
    <w:p>
      <w:pPr>
        <w:pStyle w:val="BodyText"/>
        <w:spacing w:before="4"/>
        <w:rPr>
          <w:sz w:val="25"/>
        </w:rPr>
      </w:pPr>
    </w:p>
    <w:p>
      <w:pPr>
        <w:pStyle w:val="BodyText"/>
        <w:spacing w:line="276" w:lineRule="auto"/>
        <w:ind w:left="901" w:right="1153"/>
        <w:jc w:val="both"/>
      </w:pPr>
      <w:r>
        <w:rPr/>
        <w:t>Los resultados a la primera opción que respondieron del tema que más le preocupa en su vida cotidiana a los ciudadanos consultados en el municipio de Magdalena fueron: el 20.5% respondió mi sueldo no me alcanza, 13% respondió venta y consumo de drogas, 11.5% respondió no poder comprar una vivienda, 7.5% respondió que entren a robar mi casa, 6% respondió miembros de mi familia no tienen trabajo, 5% respondió desaparición de personas, 5% respondió la falta o deficiencia de un servicio público en mi colonia, 4.5% respondió no tengo trabajo, 4.5% respondió el aseo de las calles o áreas públicas del municipio, 4% respondió mala calidad de los servicios de salud, 3.5% respondió conflicto con mis vecinos, 3% respondió no tengo prestaciones laborales, </w:t>
      </w:r>
      <w:r>
        <w:rPr>
          <w:spacing w:val="-3"/>
        </w:rPr>
        <w:t>3% </w:t>
      </w:r>
      <w:r>
        <w:rPr/>
        <w:t>respondió que me asaltan en las calles, 2% respondió violencia intrafamiliar, </w:t>
      </w:r>
      <w:r>
        <w:rPr>
          <w:spacing w:val="-3"/>
        </w:rPr>
        <w:t>2%</w:t>
      </w:r>
      <w:r>
        <w:rPr>
          <w:spacing w:val="54"/>
        </w:rPr>
        <w:t> </w:t>
      </w:r>
      <w:r>
        <w:rPr/>
        <w:t>respondió no tener seguro de servicios médicos (IMSS) para mí y mi familia, 1.5% respondió violencia en las escuelas, 2.5% respondió otros y 1% no</w:t>
      </w:r>
      <w:r>
        <w:rPr>
          <w:spacing w:val="-22"/>
        </w:rPr>
        <w:t> </w:t>
      </w:r>
      <w:r>
        <w:rPr/>
        <w:t>contesto.</w:t>
      </w:r>
    </w:p>
    <w:p>
      <w:pPr>
        <w:pStyle w:val="BodyText"/>
        <w:spacing w:before="4"/>
        <w:rPr>
          <w:sz w:val="25"/>
        </w:rPr>
      </w:pPr>
    </w:p>
    <w:p>
      <w:pPr>
        <w:pStyle w:val="BodyText"/>
        <w:spacing w:line="276" w:lineRule="auto"/>
        <w:ind w:left="901" w:right="1155"/>
        <w:jc w:val="both"/>
      </w:pPr>
      <w:r>
        <w:rPr/>
        <w:t>Como segunda preocupación importante, los resultados de las respuestas de los ciudadanos consultados fueron: 23% respondió venta y consumo de drogas, 18% respondió mala calidad de los servicios de salud, 9% respondió mi sueldo no me alcanza, 7.5% respondió no tener seguro de servicios médicos (IMSS) para mí y</w:t>
      </w:r>
      <w:r>
        <w:rPr>
          <w:spacing w:val="10"/>
        </w:rPr>
        <w:t> </w:t>
      </w:r>
      <w:r>
        <w:rPr>
          <w:spacing w:val="-4"/>
        </w:rPr>
        <w:t>mi</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familia, 7% respondió miembros de mi familia no tienen trabajo, 6% respondió que entren a robar a mi casa, 5% respondió desaparición de personas, 3.5% respondió que me asalten en la calle, 3.5% respondió no tengo trabajo, 3% respondió la falta o deficiencia de un servicio público en mi colonia, 3% respondió no poder comprar una vivienda, 2.5% respondió no tengo prestaciones laborales, 1.5% respondió el aseo de la calles o áreas públicas del municipio, 1.5% respondió violencia en las escuelas, 2.5% respondió otros y 2% no contesto.</w:t>
      </w:r>
    </w:p>
    <w:p>
      <w:pPr>
        <w:pStyle w:val="BodyText"/>
        <w:spacing w:before="4"/>
        <w:rPr>
          <w:sz w:val="25"/>
        </w:rPr>
      </w:pPr>
    </w:p>
    <w:p>
      <w:pPr>
        <w:pStyle w:val="BodyText"/>
        <w:spacing w:line="276" w:lineRule="auto"/>
        <w:ind w:left="901" w:right="1155"/>
        <w:jc w:val="both"/>
      </w:pPr>
      <w:r>
        <w:rPr/>
        <w:t>En la última pregunta del apartado número I, respecto a: en estos momentos ¿cuál(es) miembros de su hogar le preocupan más? Los resultados fueron los siguientes: 36% respondió los adolescentes y jóvenes, 32% respondió los niños y niñas, 15% respondió que todos, 9.5% respondió personas adultas mayores, 3% respondió mujeres, 1.5% respondió personas con discapacidad, y el 2% respondió ninguno.</w:t>
      </w:r>
    </w:p>
    <w:p>
      <w:pPr>
        <w:pStyle w:val="BodyText"/>
        <w:spacing w:before="5"/>
        <w:rPr>
          <w:sz w:val="25"/>
        </w:rPr>
      </w:pPr>
    </w:p>
    <w:p>
      <w:pPr>
        <w:pStyle w:val="BodyText"/>
        <w:spacing w:line="276" w:lineRule="auto"/>
        <w:ind w:left="901" w:right="1155"/>
        <w:jc w:val="both"/>
      </w:pPr>
      <w:r>
        <w:rPr/>
        <w:t>En el apartado número II correspondiente a la problemática municipal, se plantearon las siguientes preguntas en la consulta ciudadana, presentado los siguientes</w:t>
      </w:r>
      <w:r>
        <w:rPr>
          <w:spacing w:val="-28"/>
        </w:rPr>
        <w:t> </w:t>
      </w:r>
      <w:r>
        <w:rPr/>
        <w:t>resultados:</w:t>
      </w:r>
    </w:p>
    <w:p>
      <w:pPr>
        <w:pStyle w:val="BodyText"/>
        <w:spacing w:before="2"/>
        <w:rPr>
          <w:sz w:val="25"/>
        </w:rPr>
      </w:pPr>
    </w:p>
    <w:p>
      <w:pPr>
        <w:pStyle w:val="BodyText"/>
        <w:spacing w:line="276" w:lineRule="auto"/>
        <w:ind w:left="901" w:right="1156"/>
        <w:jc w:val="both"/>
      </w:pPr>
      <w:r>
        <w:rPr/>
        <w:t>¿Del 1 al 10 cómo califica la vida comunitaria en su municipio?, el 45% de los ciudadanos consultados le dan una calificación de 8 a su vida comunitaria, mientras que el 23.5 % respondió que la califica con el número 9, 10.5% respondió que la califica con 10, 10.5% respondió que la califica con 7, 5.5% respondió que la califica con el número 5, 4% respondió que la califica con 6 y 1% respondió que la califica con el número 4.</w:t>
      </w:r>
    </w:p>
    <w:p>
      <w:pPr>
        <w:pStyle w:val="BodyText"/>
        <w:spacing w:before="5"/>
        <w:rPr>
          <w:sz w:val="25"/>
        </w:rPr>
      </w:pPr>
    </w:p>
    <w:p>
      <w:pPr>
        <w:pStyle w:val="BodyText"/>
        <w:spacing w:line="276" w:lineRule="auto"/>
        <w:ind w:left="901" w:right="1155"/>
        <w:jc w:val="both"/>
      </w:pPr>
      <w:r>
        <w:rPr/>
        <w:t>¿Del 1 al 10 cómo califica el bienestar de sus familias en el municipio?, el 35% respondió que califica el bienestar de sus familias en el municipio con el número 8, 29.5% respondió que lo califica con 7, 15% respondió que lo califica con 9, 7.5% respondió que lo califica con 6, 6.5% respondió que lo califica con 10, 4.5% respondió que lo califica con 5, 1% respondió que lo califica con 4, 0.5% respondió que lo califica con 3 y 0.5% no contesto.</w:t>
      </w:r>
    </w:p>
    <w:p>
      <w:pPr>
        <w:pStyle w:val="BodyText"/>
        <w:spacing w:before="2"/>
        <w:rPr>
          <w:sz w:val="25"/>
        </w:rPr>
      </w:pPr>
    </w:p>
    <w:p>
      <w:pPr>
        <w:pStyle w:val="BodyText"/>
        <w:spacing w:line="276" w:lineRule="auto"/>
        <w:ind w:left="901" w:right="1154"/>
        <w:jc w:val="both"/>
      </w:pPr>
      <w:r>
        <w:rPr/>
        <w:t>¿Del 1 al 10 cómo califica la actividad económica en su municipio?, el 31.5% respondió que califica la actividad económica en su municipio con el número 7, 30% respondió que la califica con 8, 13.5% respondió que la califica con 9, 10.5% respondió que la califica con 6, 7% respondió que la califica con 5, 4% respondió que la califica con 10, 2% respondió que la califica con 4, 1% respondió que la califica con 3 y 0.5% respondió que la califica con 2.</w:t>
      </w:r>
    </w:p>
    <w:p>
      <w:pPr>
        <w:pStyle w:val="BodyText"/>
        <w:spacing w:before="5"/>
        <w:rPr>
          <w:sz w:val="25"/>
        </w:rPr>
      </w:pPr>
    </w:p>
    <w:p>
      <w:pPr>
        <w:pStyle w:val="BodyText"/>
        <w:spacing w:line="276" w:lineRule="auto"/>
        <w:ind w:left="901" w:right="1155"/>
        <w:jc w:val="both"/>
      </w:pPr>
      <w:r>
        <w:rPr/>
        <w:t>¿Del 1 al 10 cómo califica el cuidado que le dan al medio ambiente?, el 24,5% respondió que califica el cuidado que le dan al medio ambiente con el número 8, 18.5% respondió que lo califica con 7, 17.5% respondió que lo califica con 9, 14% respondió que lo califica con 6, 9.5% respondió que lo califica con 5, 6.5% respondió que lo</w:t>
      </w:r>
      <w:r>
        <w:rPr>
          <w:spacing w:val="-4"/>
        </w:rPr>
        <w:t> </w:t>
      </w:r>
      <w:r>
        <w:rPr/>
        <w:t>califica</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6"/>
        <w:jc w:val="both"/>
      </w:pPr>
      <w:r>
        <w:rPr/>
        <w:t>con 10, 3.5% respondió que lo califica 4, 3% respondió que lo califica con 3, 1.5% respondió que lo califica con 2, 0.5% respondió que lo califica con 1 y 1% respondió que lo califica con 0.</w:t>
      </w:r>
    </w:p>
    <w:p>
      <w:pPr>
        <w:pStyle w:val="BodyText"/>
        <w:spacing w:before="4"/>
        <w:rPr>
          <w:sz w:val="25"/>
        </w:rPr>
      </w:pPr>
    </w:p>
    <w:p>
      <w:pPr>
        <w:pStyle w:val="ListParagraph"/>
        <w:numPr>
          <w:ilvl w:val="0"/>
          <w:numId w:val="9"/>
        </w:numPr>
        <w:tabs>
          <w:tab w:pos="1262" w:val="left" w:leader="none"/>
        </w:tabs>
        <w:spacing w:line="240" w:lineRule="auto" w:before="0" w:after="0"/>
        <w:ind w:left="1261" w:right="0" w:hanging="361"/>
        <w:jc w:val="left"/>
        <w:rPr>
          <w:sz w:val="22"/>
        </w:rPr>
      </w:pPr>
      <w:r>
        <w:rPr>
          <w:sz w:val="22"/>
        </w:rPr>
        <w:t>¿Del 1 al 10 cómo califica los siguientes servicios en su</w:t>
      </w:r>
      <w:r>
        <w:rPr>
          <w:spacing w:val="-13"/>
          <w:sz w:val="22"/>
        </w:rPr>
        <w:t> </w:t>
      </w:r>
      <w:r>
        <w:rPr>
          <w:sz w:val="22"/>
        </w:rPr>
        <w:t>municipio?:</w:t>
      </w:r>
    </w:p>
    <w:p>
      <w:pPr>
        <w:pStyle w:val="BodyText"/>
        <w:spacing w:before="7"/>
        <w:rPr>
          <w:sz w:val="28"/>
        </w:rPr>
      </w:pPr>
    </w:p>
    <w:p>
      <w:pPr>
        <w:pStyle w:val="ListParagraph"/>
        <w:numPr>
          <w:ilvl w:val="0"/>
          <w:numId w:val="10"/>
        </w:numPr>
        <w:tabs>
          <w:tab w:pos="1123" w:val="left" w:leader="none"/>
        </w:tabs>
        <w:spacing w:line="273" w:lineRule="auto" w:before="0" w:after="0"/>
        <w:ind w:left="1122" w:right="1156" w:hanging="221"/>
        <w:jc w:val="left"/>
        <w:rPr>
          <w:sz w:val="22"/>
        </w:rPr>
      </w:pPr>
      <w:r>
        <w:rPr>
          <w:sz w:val="22"/>
        </w:rPr>
        <w:t>Agua: En su mayoría, es un servicio bien calificado, puesto que más de la mitad de los consultados lo valora de manera positiva. El 48.5 % de los ciudadanos califica </w:t>
      </w:r>
      <w:r>
        <w:rPr>
          <w:spacing w:val="-5"/>
          <w:sz w:val="22"/>
        </w:rPr>
        <w:t>el </w:t>
      </w:r>
      <w:r>
        <w:rPr>
          <w:sz w:val="22"/>
        </w:rPr>
        <w:t>servicio de agua con 10, el 25% lo califica con 9, el 14.5% respondió que la califica  con 8, y porcentajes menores le asignan una calificación por debajo de 7. Calificación promedio:</w:t>
      </w:r>
      <w:r>
        <w:rPr>
          <w:spacing w:val="-6"/>
          <w:sz w:val="22"/>
        </w:rPr>
        <w:t> </w:t>
      </w:r>
      <w:r>
        <w:rPr>
          <w:sz w:val="22"/>
        </w:rPr>
        <w:t>9.0</w:t>
      </w:r>
    </w:p>
    <w:p>
      <w:pPr>
        <w:pStyle w:val="BodyText"/>
        <w:spacing w:before="4"/>
        <w:rPr>
          <w:sz w:val="25"/>
        </w:rPr>
      </w:pPr>
    </w:p>
    <w:p>
      <w:pPr>
        <w:pStyle w:val="ListParagraph"/>
        <w:numPr>
          <w:ilvl w:val="0"/>
          <w:numId w:val="10"/>
        </w:numPr>
        <w:tabs>
          <w:tab w:pos="1123" w:val="left" w:leader="none"/>
        </w:tabs>
        <w:spacing w:line="271" w:lineRule="auto" w:before="0" w:after="0"/>
        <w:ind w:left="1122" w:right="1155" w:hanging="221"/>
        <w:jc w:val="left"/>
        <w:rPr>
          <w:sz w:val="22"/>
        </w:rPr>
      </w:pPr>
      <w:r>
        <w:rPr>
          <w:sz w:val="22"/>
        </w:rPr>
        <w:t>Alumbrado: Los ciudadanos consultados califican como adecuado el servicio; el 91% lo calificó por arriba de 8, mientras que el restante le dio una calificación entre 7 y 2. Calificación promedio:</w:t>
      </w:r>
      <w:r>
        <w:rPr>
          <w:spacing w:val="-6"/>
          <w:sz w:val="22"/>
        </w:rPr>
        <w:t> </w:t>
      </w:r>
      <w:r>
        <w:rPr>
          <w:sz w:val="22"/>
        </w:rPr>
        <w:t>9.0</w:t>
      </w:r>
    </w:p>
    <w:p>
      <w:pPr>
        <w:pStyle w:val="BodyText"/>
        <w:spacing w:before="5"/>
        <w:rPr>
          <w:sz w:val="25"/>
        </w:rPr>
      </w:pPr>
    </w:p>
    <w:p>
      <w:pPr>
        <w:pStyle w:val="ListParagraph"/>
        <w:numPr>
          <w:ilvl w:val="0"/>
          <w:numId w:val="10"/>
        </w:numPr>
        <w:tabs>
          <w:tab w:pos="1123" w:val="left" w:leader="none"/>
        </w:tabs>
        <w:spacing w:line="273" w:lineRule="auto" w:before="0" w:after="0"/>
        <w:ind w:left="1122" w:right="1155" w:hanging="221"/>
        <w:jc w:val="both"/>
        <w:rPr>
          <w:sz w:val="22"/>
        </w:rPr>
      </w:pPr>
      <w:r>
        <w:rPr>
          <w:sz w:val="22"/>
        </w:rPr>
        <w:t>Recolección de basura: el 40.5% de los ciudadanos consultados respondió que califica el servicio de recolección de basura con 10, el 29.5% respondió que lo califica con 9, el 16% respondió que lo califica con 8, 7.5% respondió que lo califica 7, 2.5% respondió que lo califica con 6, 2.5% respondió que lo califica con 2.5%, 0.5% respondió que lo califica con 4 y 1% respondió que lo califica con</w:t>
      </w:r>
      <w:r>
        <w:rPr>
          <w:spacing w:val="-24"/>
          <w:sz w:val="22"/>
        </w:rPr>
        <w:t> </w:t>
      </w:r>
      <w:r>
        <w:rPr>
          <w:spacing w:val="-3"/>
          <w:sz w:val="22"/>
        </w:rPr>
        <w:t>0.</w:t>
      </w:r>
    </w:p>
    <w:p>
      <w:pPr>
        <w:pStyle w:val="BodyText"/>
        <w:spacing w:before="2"/>
        <w:ind w:left="1122"/>
        <w:jc w:val="both"/>
      </w:pPr>
      <w:r>
        <w:rPr/>
        <w:t>Calificación promedio: 8.8</w:t>
      </w:r>
    </w:p>
    <w:p>
      <w:pPr>
        <w:pStyle w:val="BodyText"/>
        <w:spacing w:before="5"/>
        <w:rPr>
          <w:sz w:val="28"/>
        </w:rPr>
      </w:pPr>
    </w:p>
    <w:p>
      <w:pPr>
        <w:pStyle w:val="ListParagraph"/>
        <w:numPr>
          <w:ilvl w:val="0"/>
          <w:numId w:val="10"/>
        </w:numPr>
        <w:tabs>
          <w:tab w:pos="1123" w:val="left" w:leader="none"/>
        </w:tabs>
        <w:spacing w:line="271" w:lineRule="auto" w:before="0" w:after="0"/>
        <w:ind w:left="1122" w:right="1156" w:hanging="221"/>
        <w:jc w:val="both"/>
        <w:rPr>
          <w:sz w:val="22"/>
        </w:rPr>
      </w:pPr>
      <w:r>
        <w:rPr>
          <w:sz w:val="22"/>
        </w:rPr>
        <w:t>Mantenimiento de vialidades: Tan solo un 17.5% le dio la mejor calificación a este servicio, pues en su mayoría lo califican entre 8 y 9 (el 49%) y 36.7% le asigna una calificación de 7 o</w:t>
      </w:r>
      <w:r>
        <w:rPr>
          <w:spacing w:val="-7"/>
          <w:sz w:val="22"/>
        </w:rPr>
        <w:t> </w:t>
      </w:r>
      <w:r>
        <w:rPr>
          <w:sz w:val="22"/>
        </w:rPr>
        <w:t>menos.</w:t>
      </w:r>
    </w:p>
    <w:p>
      <w:pPr>
        <w:pStyle w:val="BodyText"/>
        <w:spacing w:before="6"/>
        <w:ind w:left="1122"/>
        <w:jc w:val="both"/>
      </w:pPr>
      <w:r>
        <w:rPr/>
        <w:t>Calificación promedio: 7.7</w:t>
      </w:r>
    </w:p>
    <w:p>
      <w:pPr>
        <w:pStyle w:val="BodyText"/>
        <w:spacing w:before="5"/>
        <w:rPr>
          <w:sz w:val="28"/>
        </w:rPr>
      </w:pPr>
    </w:p>
    <w:p>
      <w:pPr>
        <w:pStyle w:val="ListParagraph"/>
        <w:numPr>
          <w:ilvl w:val="0"/>
          <w:numId w:val="10"/>
        </w:numPr>
        <w:tabs>
          <w:tab w:pos="1123" w:val="left" w:leader="none"/>
        </w:tabs>
        <w:spacing w:line="271" w:lineRule="auto" w:before="0" w:after="0"/>
        <w:ind w:left="1122" w:right="1155" w:hanging="221"/>
        <w:jc w:val="both"/>
        <w:rPr>
          <w:sz w:val="22"/>
        </w:rPr>
      </w:pPr>
      <w:r>
        <w:rPr>
          <w:sz w:val="22"/>
        </w:rPr>
        <w:t>Limpieza de áreas públicas: Más de la mitad de los consultados (el 77%) califica este servicio entre 8 y 10; el 13.5% lo califica con 7, el 4% lo califica con 6 y los demás (5.5%) lo</w:t>
      </w:r>
      <w:r>
        <w:rPr>
          <w:spacing w:val="-3"/>
          <w:sz w:val="22"/>
        </w:rPr>
        <w:t> </w:t>
      </w:r>
      <w:r>
        <w:rPr>
          <w:sz w:val="22"/>
        </w:rPr>
        <w:t>reprueban.</w:t>
      </w:r>
    </w:p>
    <w:p>
      <w:pPr>
        <w:pStyle w:val="BodyText"/>
        <w:spacing w:before="3"/>
        <w:ind w:left="1122"/>
        <w:jc w:val="both"/>
      </w:pPr>
      <w:r>
        <w:rPr/>
        <w:t>Calificación promedio: 8.4</w:t>
      </w:r>
    </w:p>
    <w:p>
      <w:pPr>
        <w:pStyle w:val="BodyText"/>
        <w:spacing w:before="8"/>
        <w:rPr>
          <w:sz w:val="28"/>
        </w:rPr>
      </w:pPr>
    </w:p>
    <w:p>
      <w:pPr>
        <w:pStyle w:val="ListParagraph"/>
        <w:numPr>
          <w:ilvl w:val="0"/>
          <w:numId w:val="10"/>
        </w:numPr>
        <w:tabs>
          <w:tab w:pos="1123" w:val="left" w:leader="none"/>
        </w:tabs>
        <w:spacing w:line="273" w:lineRule="auto" w:before="0" w:after="0"/>
        <w:ind w:left="1122" w:right="1156" w:hanging="221"/>
        <w:jc w:val="both"/>
        <w:rPr>
          <w:sz w:val="22"/>
        </w:rPr>
      </w:pPr>
      <w:r>
        <w:rPr>
          <w:sz w:val="22"/>
        </w:rPr>
        <w:t>Mantenimiento del Panteón: Este es uno de los servicios evaluados de manera </w:t>
      </w:r>
      <w:r>
        <w:rPr>
          <w:spacing w:val="-3"/>
          <w:sz w:val="22"/>
        </w:rPr>
        <w:t>más </w:t>
      </w:r>
      <w:r>
        <w:rPr>
          <w:sz w:val="22"/>
        </w:rPr>
        <w:t>deficiente por parte de los ciudadanos, puesto que poco más del 30% lo califica entre 9 y 10; el 29% de los ciudadanos consultados respondió que califica el servicio </w:t>
      </w:r>
      <w:r>
        <w:rPr>
          <w:spacing w:val="-3"/>
          <w:sz w:val="22"/>
        </w:rPr>
        <w:t>de </w:t>
      </w:r>
      <w:r>
        <w:rPr>
          <w:sz w:val="22"/>
        </w:rPr>
        <w:t>mantenimiento del panteón con el número 8, y el porcentaje restante le asigna una calificación de 7 o</w:t>
      </w:r>
      <w:r>
        <w:rPr>
          <w:spacing w:val="-7"/>
          <w:sz w:val="22"/>
        </w:rPr>
        <w:t> </w:t>
      </w:r>
      <w:r>
        <w:rPr>
          <w:sz w:val="22"/>
        </w:rPr>
        <w:t>menor.</w:t>
      </w:r>
    </w:p>
    <w:p>
      <w:pPr>
        <w:pStyle w:val="BodyText"/>
        <w:spacing w:before="1"/>
        <w:ind w:left="1122"/>
        <w:jc w:val="both"/>
      </w:pPr>
      <w:r>
        <w:rPr/>
        <w:t>Calificación promedio: 7.8</w:t>
      </w:r>
    </w:p>
    <w:p>
      <w:pPr>
        <w:spacing w:after="0"/>
        <w:jc w:val="both"/>
        <w:sectPr>
          <w:pgSz w:w="12240" w:h="15840"/>
          <w:pgMar w:header="178" w:footer="1076" w:top="1120" w:bottom="1360" w:left="460" w:right="220"/>
        </w:sectPr>
      </w:pPr>
    </w:p>
    <w:p>
      <w:pPr>
        <w:pStyle w:val="BodyText"/>
        <w:rPr>
          <w:sz w:val="20"/>
        </w:rPr>
      </w:pPr>
    </w:p>
    <w:p>
      <w:pPr>
        <w:pStyle w:val="BodyText"/>
        <w:spacing w:before="2"/>
        <w:rPr>
          <w:sz w:val="21"/>
        </w:rPr>
      </w:pPr>
    </w:p>
    <w:p>
      <w:pPr>
        <w:pStyle w:val="ListParagraph"/>
        <w:numPr>
          <w:ilvl w:val="0"/>
          <w:numId w:val="10"/>
        </w:numPr>
        <w:tabs>
          <w:tab w:pos="1123" w:val="left" w:leader="none"/>
        </w:tabs>
        <w:spacing w:line="271" w:lineRule="auto" w:before="0" w:after="0"/>
        <w:ind w:left="1122" w:right="1155" w:hanging="221"/>
        <w:jc w:val="both"/>
        <w:rPr>
          <w:sz w:val="22"/>
        </w:rPr>
      </w:pPr>
      <w:r>
        <w:rPr>
          <w:sz w:val="22"/>
        </w:rPr>
        <w:t>Parques y jardines: el 34.5% de los ciudadanos consultados respondió que califica </w:t>
      </w:r>
      <w:r>
        <w:rPr>
          <w:spacing w:val="-5"/>
          <w:sz w:val="22"/>
        </w:rPr>
        <w:t>el </w:t>
      </w:r>
      <w:r>
        <w:rPr>
          <w:sz w:val="22"/>
        </w:rPr>
        <w:t>servicio de parques y jardines con el número 10; 28.5% respondió que lo califica con </w:t>
      </w:r>
      <w:r>
        <w:rPr>
          <w:spacing w:val="-3"/>
          <w:sz w:val="22"/>
        </w:rPr>
        <w:t>9; </w:t>
      </w:r>
      <w:r>
        <w:rPr>
          <w:sz w:val="22"/>
        </w:rPr>
        <w:t>24.5% respondió que lo califica con 8; 8% respondió que lo califica 7; 3% respondió que lo califica 6 y 1.5% respondió que lo califica con</w:t>
      </w:r>
      <w:r>
        <w:rPr>
          <w:spacing w:val="-19"/>
          <w:sz w:val="22"/>
        </w:rPr>
        <w:t> </w:t>
      </w:r>
      <w:r>
        <w:rPr>
          <w:sz w:val="22"/>
        </w:rPr>
        <w:t>5.</w:t>
      </w:r>
    </w:p>
    <w:p>
      <w:pPr>
        <w:pStyle w:val="BodyText"/>
        <w:spacing w:before="10"/>
        <w:ind w:left="1122"/>
        <w:jc w:val="both"/>
      </w:pPr>
      <w:r>
        <w:rPr/>
        <w:t>Calificación promedio: 8.8</w:t>
      </w:r>
    </w:p>
    <w:p>
      <w:pPr>
        <w:pStyle w:val="BodyText"/>
        <w:spacing w:before="5"/>
        <w:rPr>
          <w:sz w:val="28"/>
        </w:rPr>
      </w:pPr>
    </w:p>
    <w:p>
      <w:pPr>
        <w:pStyle w:val="ListParagraph"/>
        <w:numPr>
          <w:ilvl w:val="0"/>
          <w:numId w:val="10"/>
        </w:numPr>
        <w:tabs>
          <w:tab w:pos="1123" w:val="left" w:leader="none"/>
        </w:tabs>
        <w:spacing w:line="273" w:lineRule="auto" w:before="0" w:after="0"/>
        <w:ind w:left="1122" w:right="1155" w:hanging="221"/>
        <w:jc w:val="both"/>
        <w:rPr>
          <w:sz w:val="22"/>
        </w:rPr>
      </w:pPr>
      <w:r>
        <w:rPr>
          <w:sz w:val="22"/>
        </w:rPr>
        <w:t>Talleres de Cultura: el 29.5% de los ciudadanos consultados respondió que califica </w:t>
      </w:r>
      <w:r>
        <w:rPr>
          <w:spacing w:val="-5"/>
          <w:sz w:val="22"/>
        </w:rPr>
        <w:t>el </w:t>
      </w:r>
      <w:r>
        <w:rPr>
          <w:sz w:val="22"/>
        </w:rPr>
        <w:t>servicio de talles de cultura con el número 10, 29.5% respondió que lo califica con </w:t>
      </w:r>
      <w:r>
        <w:rPr>
          <w:spacing w:val="-3"/>
          <w:sz w:val="22"/>
        </w:rPr>
        <w:t>9, </w:t>
      </w:r>
      <w:r>
        <w:rPr>
          <w:sz w:val="22"/>
        </w:rPr>
        <w:t>27% respondió que lo califica con 8, 6% respondió que lo califica con 7, 1.5% respondió que lo califica con 6, 2% respondió que lo califica con 5, 0.5% respondió que lo califica con 3, 0.5% respondió que lo califica con 2, 1.5% respondió que lo califica con 1, 0.5% respondió que lo califica con 0 y 1.5% no</w:t>
      </w:r>
      <w:r>
        <w:rPr>
          <w:spacing w:val="-29"/>
          <w:sz w:val="22"/>
        </w:rPr>
        <w:t> </w:t>
      </w:r>
      <w:r>
        <w:rPr>
          <w:sz w:val="22"/>
        </w:rPr>
        <w:t>contesto.</w:t>
      </w:r>
    </w:p>
    <w:p>
      <w:pPr>
        <w:pStyle w:val="BodyText"/>
        <w:spacing w:before="5"/>
        <w:ind w:left="1122"/>
        <w:jc w:val="both"/>
      </w:pPr>
      <w:r>
        <w:rPr/>
        <w:t>Calificación promedio: 8.5</w:t>
      </w:r>
    </w:p>
    <w:p>
      <w:pPr>
        <w:pStyle w:val="BodyText"/>
        <w:spacing w:before="7"/>
        <w:rPr>
          <w:sz w:val="28"/>
        </w:rPr>
      </w:pPr>
    </w:p>
    <w:p>
      <w:pPr>
        <w:pStyle w:val="ListParagraph"/>
        <w:numPr>
          <w:ilvl w:val="0"/>
          <w:numId w:val="10"/>
        </w:numPr>
        <w:tabs>
          <w:tab w:pos="1123" w:val="left" w:leader="none"/>
        </w:tabs>
        <w:spacing w:line="273" w:lineRule="auto" w:before="0" w:after="0"/>
        <w:ind w:left="1122" w:right="1155" w:hanging="221"/>
        <w:jc w:val="both"/>
        <w:rPr>
          <w:sz w:val="22"/>
        </w:rPr>
      </w:pPr>
      <w:r>
        <w:rPr>
          <w:sz w:val="22"/>
        </w:rPr>
        <w:t>Atención de accidentes: el 30% de los ciudadanos consultados respondió que califica el servicio de atención de accidentes con el número 9, 28% respondió que lo califica con 8, 18% respondió que lo califica con 10, 15% respondió que lo califica con 7, 5% respondió que lo califica con 6, 2% respondió que lo califica con 5, 0.5% respondió que lo califica con 3, 0.5% respondió que lo califica 2, 0.5% respondió que lo califica con 1 y 0.5% no</w:t>
      </w:r>
      <w:r>
        <w:rPr>
          <w:spacing w:val="-9"/>
          <w:sz w:val="22"/>
        </w:rPr>
        <w:t> </w:t>
      </w:r>
      <w:r>
        <w:rPr>
          <w:sz w:val="22"/>
        </w:rPr>
        <w:t>contesto.</w:t>
      </w:r>
    </w:p>
    <w:p>
      <w:pPr>
        <w:pStyle w:val="BodyText"/>
        <w:spacing w:before="3"/>
        <w:ind w:left="1122"/>
        <w:jc w:val="both"/>
      </w:pPr>
      <w:r>
        <w:rPr/>
        <w:t>Calificación promedio: 8.2</w:t>
      </w:r>
    </w:p>
    <w:p>
      <w:pPr>
        <w:pStyle w:val="BodyText"/>
        <w:spacing w:before="6"/>
        <w:rPr>
          <w:sz w:val="28"/>
        </w:rPr>
      </w:pPr>
    </w:p>
    <w:p>
      <w:pPr>
        <w:pStyle w:val="ListParagraph"/>
        <w:numPr>
          <w:ilvl w:val="0"/>
          <w:numId w:val="10"/>
        </w:numPr>
        <w:tabs>
          <w:tab w:pos="1123" w:val="left" w:leader="none"/>
        </w:tabs>
        <w:spacing w:line="273" w:lineRule="auto" w:before="0" w:after="0"/>
        <w:ind w:left="1122" w:right="1155" w:hanging="221"/>
        <w:jc w:val="both"/>
        <w:rPr>
          <w:sz w:val="22"/>
        </w:rPr>
      </w:pPr>
      <w:r>
        <w:rPr>
          <w:sz w:val="22"/>
        </w:rPr>
        <w:t>Seguridad pública: el 31% de los ciudadanos consultados respondió que califica el servicio de seguridad pública con el número 8, 22% respondió que lo califica con </w:t>
      </w:r>
      <w:r>
        <w:rPr>
          <w:spacing w:val="-3"/>
          <w:sz w:val="22"/>
        </w:rPr>
        <w:t>7, </w:t>
      </w:r>
      <w:r>
        <w:rPr>
          <w:sz w:val="22"/>
        </w:rPr>
        <w:t>17% respondió que lo califica 9, 12% respondió que lo califica con 10, 7.5% respondió que lo califica con 5, 5.5% respondió que lo califica con 6, 1% respondió que lo califica con 4, 1.5% respondió que la califica con 3, 1% respondió que la califica con 1, 0.5% respondió que la califica con 0 y 1% no</w:t>
      </w:r>
      <w:r>
        <w:rPr>
          <w:spacing w:val="-16"/>
          <w:sz w:val="22"/>
        </w:rPr>
        <w:t> </w:t>
      </w:r>
      <w:r>
        <w:rPr>
          <w:sz w:val="22"/>
        </w:rPr>
        <w:t>contesto.</w:t>
      </w:r>
    </w:p>
    <w:p>
      <w:pPr>
        <w:pStyle w:val="BodyText"/>
        <w:spacing w:before="3"/>
        <w:ind w:left="1122"/>
        <w:jc w:val="both"/>
      </w:pPr>
      <w:r>
        <w:rPr/>
        <w:t>Calificación promedio: 7.6</w:t>
      </w:r>
    </w:p>
    <w:p>
      <w:pPr>
        <w:pStyle w:val="BodyText"/>
        <w:spacing w:before="8"/>
        <w:rPr>
          <w:sz w:val="28"/>
        </w:rPr>
      </w:pPr>
    </w:p>
    <w:p>
      <w:pPr>
        <w:pStyle w:val="ListParagraph"/>
        <w:numPr>
          <w:ilvl w:val="0"/>
          <w:numId w:val="10"/>
        </w:numPr>
        <w:tabs>
          <w:tab w:pos="1123" w:val="left" w:leader="none"/>
        </w:tabs>
        <w:spacing w:line="273" w:lineRule="auto" w:before="0" w:after="0"/>
        <w:ind w:left="1122" w:right="1154" w:hanging="221"/>
        <w:jc w:val="both"/>
        <w:rPr>
          <w:sz w:val="22"/>
        </w:rPr>
      </w:pPr>
      <w:r>
        <w:rPr>
          <w:sz w:val="22"/>
        </w:rPr>
        <w:t>Permisos y Licencias: el 29% de los ciudadanos consultados respondió que califica el servicio de permisos y licencias con el número 8, 21% respondió que lo califica con 7, 16.5% respondió que lo califica con 9, 11.5% respondió que lo califica con 10, 9% respondió que lo califica con 5, 6.5% respondió que lo califica con 6, 2% respondió que lo califica con 4, 1.5% respondió que lo califica con 3, 0.5% respondió que lo califica con 1, 1% respondió que lo califica con 0 y 1.5% no</w:t>
      </w:r>
      <w:r>
        <w:rPr>
          <w:spacing w:val="-24"/>
          <w:sz w:val="22"/>
        </w:rPr>
        <w:t> </w:t>
      </w:r>
      <w:r>
        <w:rPr>
          <w:sz w:val="22"/>
        </w:rPr>
        <w:t>contesto.</w:t>
      </w:r>
    </w:p>
    <w:p>
      <w:pPr>
        <w:pStyle w:val="BodyText"/>
        <w:spacing w:before="4"/>
        <w:ind w:left="1122"/>
        <w:jc w:val="both"/>
      </w:pPr>
      <w:r>
        <w:rPr/>
        <w:t>Calificación promedio: 7.5</w:t>
      </w:r>
    </w:p>
    <w:p>
      <w:pPr>
        <w:pStyle w:val="BodyText"/>
        <w:spacing w:before="5"/>
        <w:rPr>
          <w:sz w:val="28"/>
        </w:rPr>
      </w:pPr>
    </w:p>
    <w:p>
      <w:pPr>
        <w:pStyle w:val="ListParagraph"/>
        <w:numPr>
          <w:ilvl w:val="0"/>
          <w:numId w:val="10"/>
        </w:numPr>
        <w:tabs>
          <w:tab w:pos="1123" w:val="left" w:leader="none"/>
        </w:tabs>
        <w:spacing w:line="266" w:lineRule="auto" w:before="0" w:after="0"/>
        <w:ind w:left="1122" w:right="1154" w:hanging="221"/>
        <w:jc w:val="both"/>
        <w:rPr>
          <w:sz w:val="22"/>
        </w:rPr>
      </w:pPr>
      <w:r>
        <w:rPr>
          <w:sz w:val="22"/>
        </w:rPr>
        <w:t>Inspección a comercios: el 26.5% de los ciudadanos respondió que califica el servicio de</w:t>
      </w:r>
      <w:r>
        <w:rPr>
          <w:spacing w:val="27"/>
          <w:sz w:val="22"/>
        </w:rPr>
        <w:t> </w:t>
      </w:r>
      <w:r>
        <w:rPr>
          <w:sz w:val="22"/>
        </w:rPr>
        <w:t>inspección</w:t>
      </w:r>
      <w:r>
        <w:rPr>
          <w:spacing w:val="27"/>
          <w:sz w:val="22"/>
        </w:rPr>
        <w:t> </w:t>
      </w:r>
      <w:r>
        <w:rPr>
          <w:sz w:val="22"/>
        </w:rPr>
        <w:t>a</w:t>
      </w:r>
      <w:r>
        <w:rPr>
          <w:spacing w:val="28"/>
          <w:sz w:val="22"/>
        </w:rPr>
        <w:t> </w:t>
      </w:r>
      <w:r>
        <w:rPr>
          <w:sz w:val="22"/>
        </w:rPr>
        <w:t>comercios</w:t>
      </w:r>
      <w:r>
        <w:rPr>
          <w:spacing w:val="29"/>
          <w:sz w:val="22"/>
        </w:rPr>
        <w:t> </w:t>
      </w:r>
      <w:r>
        <w:rPr>
          <w:sz w:val="22"/>
        </w:rPr>
        <w:t>con</w:t>
      </w:r>
      <w:r>
        <w:rPr>
          <w:spacing w:val="27"/>
          <w:sz w:val="22"/>
        </w:rPr>
        <w:t> </w:t>
      </w:r>
      <w:r>
        <w:rPr>
          <w:sz w:val="22"/>
        </w:rPr>
        <w:t>el</w:t>
      </w:r>
      <w:r>
        <w:rPr>
          <w:spacing w:val="29"/>
          <w:sz w:val="22"/>
        </w:rPr>
        <w:t> </w:t>
      </w:r>
      <w:r>
        <w:rPr>
          <w:sz w:val="22"/>
        </w:rPr>
        <w:t>número</w:t>
      </w:r>
      <w:r>
        <w:rPr>
          <w:spacing w:val="27"/>
          <w:sz w:val="22"/>
        </w:rPr>
        <w:t> </w:t>
      </w:r>
      <w:r>
        <w:rPr>
          <w:sz w:val="22"/>
        </w:rPr>
        <w:t>8,</w:t>
      </w:r>
      <w:r>
        <w:rPr>
          <w:spacing w:val="27"/>
          <w:sz w:val="22"/>
        </w:rPr>
        <w:t> </w:t>
      </w:r>
      <w:r>
        <w:rPr>
          <w:sz w:val="22"/>
        </w:rPr>
        <w:t>23.5%</w:t>
      </w:r>
      <w:r>
        <w:rPr>
          <w:spacing w:val="29"/>
          <w:sz w:val="22"/>
        </w:rPr>
        <w:t> </w:t>
      </w:r>
      <w:r>
        <w:rPr>
          <w:sz w:val="22"/>
        </w:rPr>
        <w:t>respondió</w:t>
      </w:r>
      <w:r>
        <w:rPr>
          <w:spacing w:val="28"/>
          <w:sz w:val="22"/>
        </w:rPr>
        <w:t> </w:t>
      </w:r>
      <w:r>
        <w:rPr>
          <w:sz w:val="22"/>
        </w:rPr>
        <w:t>que</w:t>
      </w:r>
      <w:r>
        <w:rPr>
          <w:spacing w:val="28"/>
          <w:sz w:val="22"/>
        </w:rPr>
        <w:t> </w:t>
      </w:r>
      <w:r>
        <w:rPr>
          <w:sz w:val="22"/>
        </w:rPr>
        <w:t>lo</w:t>
      </w:r>
      <w:r>
        <w:rPr>
          <w:spacing w:val="27"/>
          <w:sz w:val="22"/>
        </w:rPr>
        <w:t> </w:t>
      </w:r>
      <w:r>
        <w:rPr>
          <w:sz w:val="22"/>
        </w:rPr>
        <w:t>califica</w:t>
      </w:r>
      <w:r>
        <w:rPr>
          <w:spacing w:val="28"/>
          <w:sz w:val="22"/>
        </w:rPr>
        <w:t> </w:t>
      </w:r>
      <w:r>
        <w:rPr>
          <w:sz w:val="22"/>
        </w:rPr>
        <w:t>con</w:t>
      </w:r>
      <w:r>
        <w:rPr>
          <w:spacing w:val="27"/>
          <w:sz w:val="22"/>
        </w:rPr>
        <w:t> </w:t>
      </w:r>
      <w:r>
        <w:rPr>
          <w:sz w:val="22"/>
        </w:rPr>
        <w:t>7,</w:t>
      </w:r>
    </w:p>
    <w:p>
      <w:pPr>
        <w:spacing w:after="0" w:line="266" w:lineRule="auto"/>
        <w:jc w:val="both"/>
        <w:rPr>
          <w:sz w:val="22"/>
        </w:rPr>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1122" w:right="1156"/>
        <w:jc w:val="both"/>
      </w:pPr>
      <w:r>
        <w:rPr/>
        <w:t>15.5% respondió que lo califica con 9, 9.5% respondió que lo califica con 10, 10% respondió que lo califica con 5, 5.5% respondió que lo califica con 6, 3% respondió que lo califica con 3, 2% respondió que lo califica con 4, 2% respondió que la califica con 1, 1% respondió que lo califica con 0 y 1.5% no</w:t>
      </w:r>
      <w:r>
        <w:rPr>
          <w:spacing w:val="-21"/>
        </w:rPr>
        <w:t> </w:t>
      </w:r>
      <w:r>
        <w:rPr/>
        <w:t>contesto.</w:t>
      </w:r>
    </w:p>
    <w:p>
      <w:pPr>
        <w:pStyle w:val="BodyText"/>
        <w:ind w:left="1122"/>
        <w:jc w:val="both"/>
      </w:pPr>
      <w:r>
        <w:rPr/>
        <w:t>Calificación promedio: 7.2</w:t>
      </w:r>
    </w:p>
    <w:p>
      <w:pPr>
        <w:pStyle w:val="BodyText"/>
        <w:spacing w:before="7"/>
        <w:rPr>
          <w:sz w:val="28"/>
        </w:rPr>
      </w:pPr>
    </w:p>
    <w:p>
      <w:pPr>
        <w:pStyle w:val="ListParagraph"/>
        <w:numPr>
          <w:ilvl w:val="0"/>
          <w:numId w:val="10"/>
        </w:numPr>
        <w:tabs>
          <w:tab w:pos="1123" w:val="left" w:leader="none"/>
        </w:tabs>
        <w:spacing w:line="273" w:lineRule="auto" w:before="1" w:after="0"/>
        <w:ind w:left="1122" w:right="1154" w:hanging="221"/>
        <w:jc w:val="both"/>
        <w:rPr>
          <w:sz w:val="22"/>
        </w:rPr>
      </w:pPr>
      <w:r>
        <w:rPr>
          <w:sz w:val="22"/>
        </w:rPr>
        <w:t>Sanidad Animal: el 27.5% de los ciudadanos respondió que califica el servicio </w:t>
      </w:r>
      <w:r>
        <w:rPr>
          <w:spacing w:val="-3"/>
          <w:sz w:val="22"/>
        </w:rPr>
        <w:t>de </w:t>
      </w:r>
      <w:r>
        <w:rPr>
          <w:sz w:val="22"/>
        </w:rPr>
        <w:t>sanidad animal con el número 8, 20.5% respondió que lo califica con 7, 12.5% respondió que lo califica con 6, 11.5% respondió que lo califica con 9, 11% respondió que lo califica con 10, 7.5% respondió que lo califica con 5, 3.5% respondió que lo califica con 4, 2.5% respondió que lo califica con 3, 1% respondió que lo califica con 2, 0.5% respondió que lo califica con 1, 1% respondió que lo califica con 0 y 1% no contesto.</w:t>
      </w:r>
    </w:p>
    <w:p>
      <w:pPr>
        <w:pStyle w:val="BodyText"/>
        <w:spacing w:before="6"/>
        <w:ind w:left="1081"/>
        <w:jc w:val="both"/>
      </w:pPr>
      <w:r>
        <w:rPr/>
        <w:t>Calificación promedio: 7.1</w:t>
      </w:r>
    </w:p>
    <w:p>
      <w:pPr>
        <w:pStyle w:val="BodyText"/>
        <w:spacing w:before="5"/>
        <w:rPr>
          <w:sz w:val="28"/>
        </w:rPr>
      </w:pPr>
    </w:p>
    <w:p>
      <w:pPr>
        <w:pStyle w:val="ListParagraph"/>
        <w:numPr>
          <w:ilvl w:val="0"/>
          <w:numId w:val="10"/>
        </w:numPr>
        <w:tabs>
          <w:tab w:pos="1123" w:val="left" w:leader="none"/>
        </w:tabs>
        <w:spacing w:line="273" w:lineRule="auto" w:before="0" w:after="0"/>
        <w:ind w:left="1122" w:right="1154" w:hanging="221"/>
        <w:jc w:val="both"/>
        <w:rPr>
          <w:sz w:val="22"/>
        </w:rPr>
      </w:pPr>
      <w:r>
        <w:rPr>
          <w:sz w:val="22"/>
        </w:rPr>
        <w:t>Atención de incendios: el 30% de los ciudadanos consultados respondió que califica el servicio de atención de incendios con el número 9, 60% respondió que lo califica con 8, 22.% respondió que lo califica con 7, 20.5% respondió que lo califica con 10, 3.5% respondió que lo califica con 6, 3% respondió que lo califica con 5, 1.5% respondió que lo califica con 4, 1% respondió que lo califica con 3, 0.5% respondió que lo califica con 2, 0.5% respondió que lo califica con 1, 0.5% respondió que lo califica con 0 y 4.5% no</w:t>
      </w:r>
      <w:r>
        <w:rPr>
          <w:spacing w:val="-11"/>
          <w:sz w:val="22"/>
        </w:rPr>
        <w:t> </w:t>
      </w:r>
      <w:r>
        <w:rPr>
          <w:sz w:val="22"/>
        </w:rPr>
        <w:t>contesto.</w:t>
      </w:r>
    </w:p>
    <w:p>
      <w:pPr>
        <w:pStyle w:val="BodyText"/>
        <w:spacing w:before="8"/>
        <w:ind w:left="1122"/>
        <w:jc w:val="both"/>
      </w:pPr>
      <w:r>
        <w:rPr/>
        <w:t>Calificación promedio: 8.2</w:t>
      </w:r>
    </w:p>
    <w:p>
      <w:pPr>
        <w:pStyle w:val="BodyText"/>
        <w:spacing w:before="5"/>
        <w:rPr>
          <w:sz w:val="28"/>
        </w:rPr>
      </w:pPr>
    </w:p>
    <w:p>
      <w:pPr>
        <w:pStyle w:val="ListParagraph"/>
        <w:numPr>
          <w:ilvl w:val="0"/>
          <w:numId w:val="10"/>
        </w:numPr>
        <w:tabs>
          <w:tab w:pos="1123" w:val="left" w:leader="none"/>
        </w:tabs>
        <w:spacing w:line="273" w:lineRule="auto" w:before="0" w:after="0"/>
        <w:ind w:left="1122" w:right="1154" w:hanging="221"/>
        <w:jc w:val="left"/>
        <w:rPr>
          <w:sz w:val="22"/>
        </w:rPr>
      </w:pPr>
      <w:r>
        <w:rPr>
          <w:sz w:val="22"/>
        </w:rPr>
        <w:t>Actividades de recreación y Deporte: el 33.5% de los ciudadanos consultados respondió que calificó el servicio de actividades de recreación y deporte con </w:t>
      </w:r>
      <w:r>
        <w:rPr>
          <w:spacing w:val="-5"/>
          <w:sz w:val="22"/>
        </w:rPr>
        <w:t>el </w:t>
      </w:r>
      <w:r>
        <w:rPr>
          <w:sz w:val="22"/>
        </w:rPr>
        <w:t>número 10, 27.5% respondió que lo califica con 9, 22% respondió que lo califica con 8, 7.5% respondió que lo califica con 7, 1.5% respondió que lo califica con 6, 2.5% respondió que lo califica con 5, 1.5% respondió que lo califica con 4, 1.5% respondió que lo califica con 3, 0.5% respondió que lo califica con 2 y 2% no contesto. Calificación promedio:</w:t>
      </w:r>
      <w:r>
        <w:rPr>
          <w:spacing w:val="-6"/>
          <w:sz w:val="22"/>
        </w:rPr>
        <w:t> </w:t>
      </w:r>
      <w:r>
        <w:rPr>
          <w:sz w:val="22"/>
        </w:rPr>
        <w:t>8.6</w:t>
      </w:r>
    </w:p>
    <w:p>
      <w:pPr>
        <w:pStyle w:val="BodyText"/>
        <w:spacing w:before="11"/>
        <w:rPr>
          <w:sz w:val="25"/>
        </w:rPr>
      </w:pPr>
    </w:p>
    <w:p>
      <w:pPr>
        <w:pStyle w:val="ListParagraph"/>
        <w:numPr>
          <w:ilvl w:val="0"/>
          <w:numId w:val="9"/>
        </w:numPr>
        <w:tabs>
          <w:tab w:pos="1262" w:val="left" w:leader="none"/>
        </w:tabs>
        <w:spacing w:line="276" w:lineRule="auto" w:before="0" w:after="0"/>
        <w:ind w:left="1261" w:right="1156" w:hanging="360"/>
        <w:jc w:val="both"/>
        <w:rPr>
          <w:sz w:val="22"/>
        </w:rPr>
      </w:pPr>
      <w:r>
        <w:rPr>
          <w:sz w:val="22"/>
        </w:rPr>
        <w:t>¿A su consideración cuál cree que debería ser el tema principal al que se destinen mayores recursos el</w:t>
      </w:r>
      <w:r>
        <w:rPr>
          <w:spacing w:val="-3"/>
          <w:sz w:val="22"/>
        </w:rPr>
        <w:t> </w:t>
      </w:r>
      <w:r>
        <w:rPr>
          <w:sz w:val="22"/>
        </w:rPr>
        <w:t>municipio?,</w:t>
      </w:r>
    </w:p>
    <w:p>
      <w:pPr>
        <w:pStyle w:val="BodyText"/>
        <w:spacing w:line="276" w:lineRule="auto"/>
        <w:ind w:left="1261" w:right="1155"/>
        <w:jc w:val="both"/>
      </w:pPr>
      <w:r>
        <w:rPr/>
        <w:t>El 55% de los consultados prefiere que se destinen mayores recursos al desarrollo económico, en segundo lugar a medio ambiente y en tercer lugar al desarrollo social; mientras que el 11% respondió que se le destinen mayores recursos a mejorar el gobierno y la administración pública, 2% de los ciudadanos consultados respondió otros y 1% no contesto.</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ListParagraph"/>
        <w:numPr>
          <w:ilvl w:val="0"/>
          <w:numId w:val="9"/>
        </w:numPr>
        <w:tabs>
          <w:tab w:pos="1262" w:val="left" w:leader="none"/>
        </w:tabs>
        <w:spacing w:line="240" w:lineRule="auto" w:before="0" w:after="0"/>
        <w:ind w:left="1261" w:right="0" w:hanging="361"/>
        <w:jc w:val="both"/>
        <w:rPr>
          <w:sz w:val="22"/>
        </w:rPr>
      </w:pPr>
      <w:r>
        <w:rPr>
          <w:sz w:val="22"/>
        </w:rPr>
        <w:t>¿Piensa usted que Magdalena es un buen lugar para</w:t>
      </w:r>
      <w:r>
        <w:rPr>
          <w:spacing w:val="-11"/>
          <w:sz w:val="22"/>
        </w:rPr>
        <w:t> </w:t>
      </w:r>
      <w:r>
        <w:rPr>
          <w:sz w:val="22"/>
        </w:rPr>
        <w:t>vivir?</w:t>
      </w:r>
    </w:p>
    <w:p>
      <w:pPr>
        <w:pStyle w:val="BodyText"/>
        <w:spacing w:line="276" w:lineRule="auto" w:before="40"/>
        <w:ind w:left="1261" w:right="1156"/>
        <w:jc w:val="both"/>
      </w:pPr>
      <w:r>
        <w:rPr/>
        <w:t>En su mayoría, los habitantes del municipio están satisfechos con el lugar donde viven. El 96.5% de los ciudadanos consultados respondió que sí piensa que Magdalena es un buen lugar para vivir, 2.5% de los ciudadanos consultados respondió que no piensa que Magdalena es un buen lugar para vivir, y el 1% </w:t>
      </w:r>
      <w:r>
        <w:rPr>
          <w:spacing w:val="-3"/>
        </w:rPr>
        <w:t>no</w:t>
      </w:r>
      <w:r>
        <w:rPr>
          <w:spacing w:val="54"/>
        </w:rPr>
        <w:t> </w:t>
      </w:r>
      <w:r>
        <w:rPr/>
        <w:t>contesto.</w:t>
      </w:r>
    </w:p>
    <w:p>
      <w:pPr>
        <w:pStyle w:val="BodyText"/>
        <w:spacing w:before="5"/>
        <w:rPr>
          <w:sz w:val="25"/>
        </w:rPr>
      </w:pPr>
    </w:p>
    <w:p>
      <w:pPr>
        <w:pStyle w:val="ListParagraph"/>
        <w:numPr>
          <w:ilvl w:val="0"/>
          <w:numId w:val="9"/>
        </w:numPr>
        <w:tabs>
          <w:tab w:pos="1262" w:val="left" w:leader="none"/>
        </w:tabs>
        <w:spacing w:line="276" w:lineRule="auto" w:before="0" w:after="0"/>
        <w:ind w:left="1261" w:right="1158" w:hanging="360"/>
        <w:jc w:val="both"/>
        <w:rPr>
          <w:sz w:val="22"/>
        </w:rPr>
      </w:pPr>
      <w:r>
        <w:rPr>
          <w:sz w:val="22"/>
        </w:rPr>
        <w:t>¿Qué cree usted que se puede mejorar para vivir mejor en el municipio </w:t>
      </w:r>
      <w:r>
        <w:rPr>
          <w:spacing w:val="-3"/>
          <w:sz w:val="22"/>
        </w:rPr>
        <w:t>de </w:t>
      </w:r>
      <w:r>
        <w:rPr>
          <w:sz w:val="22"/>
        </w:rPr>
        <w:t>Magdalena?, los ciudadanos consultados respondieron que para vivir mejor en el municipio de Magdalena se puede mejorar lo</w:t>
      </w:r>
      <w:r>
        <w:rPr>
          <w:spacing w:val="-9"/>
          <w:sz w:val="22"/>
        </w:rPr>
        <w:t> </w:t>
      </w:r>
      <w:r>
        <w:rPr>
          <w:sz w:val="22"/>
        </w:rPr>
        <w:t>siguiente:</w:t>
      </w:r>
    </w:p>
    <w:p>
      <w:pPr>
        <w:pStyle w:val="BodyText"/>
        <w:spacing w:before="4"/>
        <w:rPr>
          <w:sz w:val="25"/>
        </w:rPr>
      </w:pPr>
    </w:p>
    <w:p>
      <w:pPr>
        <w:pStyle w:val="BodyText"/>
        <w:spacing w:line="276" w:lineRule="auto"/>
        <w:ind w:left="1261" w:right="6835"/>
      </w:pPr>
      <w:r>
        <w:rPr/>
        <w:t>Empleos bien remunerados 24%, Fuentes de empleo 16.5%, Seguridad 9.5%</w:t>
      </w:r>
    </w:p>
    <w:p>
      <w:pPr>
        <w:pStyle w:val="BodyText"/>
        <w:spacing w:before="1"/>
        <w:ind w:left="1261"/>
      </w:pPr>
      <w:r>
        <w:rPr/>
        <w:t>Mejora de los servicios públicos municipales 5%</w:t>
      </w:r>
    </w:p>
    <w:p>
      <w:pPr>
        <w:pStyle w:val="BodyText"/>
        <w:spacing w:line="276" w:lineRule="auto" w:before="40"/>
        <w:ind w:left="1261" w:right="2477"/>
      </w:pPr>
      <w:r>
        <w:rPr/>
        <w:t>Activar el desarrollo económico y mejorar la economía de las familias 3% Atracción y promoción del turística 3%</w:t>
      </w:r>
    </w:p>
    <w:p>
      <w:pPr>
        <w:pStyle w:val="BodyText"/>
        <w:spacing w:before="1"/>
        <w:rPr>
          <w:sz w:val="25"/>
        </w:rPr>
      </w:pPr>
    </w:p>
    <w:p>
      <w:pPr>
        <w:pStyle w:val="BodyText"/>
        <w:spacing w:line="276" w:lineRule="auto" w:before="1"/>
        <w:ind w:left="1261" w:right="1155"/>
        <w:jc w:val="both"/>
      </w:pPr>
      <w:r>
        <w:rPr/>
        <w:t>Entre otras menciones, estuvieron: rehabilitación de espacios públicos, más espacios deportivos y de esparcimiento, más apoyos para estudiantes, para abuelas que cuidan nietos, para escuelas, para amas de casa y para el campo, mejores sueldos, seguridad en las escuelas, seguridad de las mujeres, actividades deportivas y para jóvenes, mejoras en los servicios de salud, educación, limpieza de caminos, entre otros.</w:t>
      </w:r>
    </w:p>
    <w:p>
      <w:pPr>
        <w:spacing w:after="0" w:line="276" w:lineRule="auto"/>
        <w:jc w:val="both"/>
        <w:sectPr>
          <w:pgSz w:w="12240" w:h="15840"/>
          <w:pgMar w:header="178" w:footer="1076" w:top="1120" w:bottom="1360" w:left="460" w:right="220"/>
        </w:sectPr>
      </w:pPr>
    </w:p>
    <w:p>
      <w:pPr>
        <w:pStyle w:val="BodyText"/>
        <w:rPr>
          <w:sz w:val="20"/>
        </w:rPr>
      </w:pPr>
    </w:p>
    <w:p>
      <w:pPr>
        <w:pStyle w:val="Heading1"/>
        <w:tabs>
          <w:tab w:pos="1563" w:val="left" w:leader="none"/>
        </w:tabs>
        <w:ind w:left="1011"/>
      </w:pPr>
      <w:bookmarkStart w:name="_TOC_250000" w:id="7"/>
      <w:r>
        <w:rPr>
          <w:color w:val="3D3D3D"/>
        </w:rPr>
        <w:t>2.</w:t>
        <w:tab/>
        <w:t>DESARROLLO SOSTENIBLE DEL</w:t>
      </w:r>
      <w:r>
        <w:rPr>
          <w:color w:val="3D3D3D"/>
          <w:spacing w:val="-3"/>
        </w:rPr>
        <w:t> </w:t>
      </w:r>
      <w:bookmarkEnd w:id="7"/>
      <w:r>
        <w:rPr>
          <w:color w:val="3D3D3D"/>
        </w:rPr>
        <w:t>TERRITORIO</w:t>
      </w:r>
    </w:p>
    <w:p>
      <w:pPr>
        <w:pStyle w:val="BodyText"/>
        <w:rPr>
          <w:sz w:val="39"/>
        </w:rPr>
      </w:pPr>
    </w:p>
    <w:p>
      <w:pPr>
        <w:pStyle w:val="ListParagraph"/>
        <w:numPr>
          <w:ilvl w:val="1"/>
          <w:numId w:val="11"/>
        </w:numPr>
        <w:tabs>
          <w:tab w:pos="1271" w:val="left" w:leader="none"/>
        </w:tabs>
        <w:spacing w:line="240" w:lineRule="auto" w:before="0" w:after="0"/>
        <w:ind w:left="1270" w:right="0" w:hanging="370"/>
        <w:jc w:val="left"/>
        <w:rPr>
          <w:sz w:val="26"/>
        </w:rPr>
      </w:pPr>
      <w:bookmarkStart w:name="_bookmark6" w:id="8"/>
      <w:bookmarkEnd w:id="8"/>
      <w:r>
        <w:rPr/>
      </w:r>
      <w:bookmarkStart w:name="_bookmark6" w:id="9"/>
      <w:bookmarkEnd w:id="9"/>
      <w:r>
        <w:rPr>
          <w:smallCaps w:val="0"/>
          <w:color w:val="365F91"/>
          <w:sz w:val="26"/>
        </w:rPr>
        <w:t>COMPO</w:t>
      </w:r>
      <w:r>
        <w:rPr>
          <w:smallCaps w:val="0"/>
          <w:color w:val="365F91"/>
          <w:sz w:val="26"/>
        </w:rPr>
        <w:t>NENTE DE</w:t>
      </w:r>
      <w:r>
        <w:rPr>
          <w:smallCaps w:val="0"/>
          <w:color w:val="365F91"/>
          <w:spacing w:val="2"/>
          <w:sz w:val="26"/>
        </w:rPr>
        <w:t> </w:t>
      </w:r>
      <w:r>
        <w:rPr>
          <w:smallCaps w:val="0"/>
          <w:color w:val="365F91"/>
          <w:sz w:val="26"/>
        </w:rPr>
        <w:t>DIAGNÓSTICO</w:t>
      </w:r>
    </w:p>
    <w:p>
      <w:pPr>
        <w:pStyle w:val="BodyText"/>
        <w:rPr>
          <w:sz w:val="24"/>
        </w:rPr>
      </w:pPr>
    </w:p>
    <w:p>
      <w:pPr>
        <w:pStyle w:val="BodyText"/>
        <w:spacing w:before="1"/>
        <w:ind w:left="901"/>
        <w:jc w:val="both"/>
      </w:pPr>
      <w:r>
        <w:rPr/>
        <w:t>Ubicación del municipio</w:t>
      </w:r>
    </w:p>
    <w:p>
      <w:pPr>
        <w:pStyle w:val="BodyText"/>
        <w:spacing w:before="6"/>
        <w:rPr>
          <w:sz w:val="19"/>
        </w:rPr>
      </w:pPr>
    </w:p>
    <w:p>
      <w:pPr>
        <w:pStyle w:val="BodyText"/>
        <w:spacing w:line="276" w:lineRule="auto"/>
        <w:ind w:left="901" w:right="1155"/>
        <w:jc w:val="both"/>
      </w:pPr>
      <w:r>
        <w:rPr/>
        <w:t>El municipio de Magdalena Jalisco se encuentra localizado al noroeste del Estado </w:t>
      </w:r>
      <w:r>
        <w:rPr>
          <w:spacing w:val="-5"/>
        </w:rPr>
        <w:t>de </w:t>
      </w:r>
      <w:r>
        <w:rPr/>
        <w:t>Jalisco, forma parte de la Región Valles; el municipio de Magdalena colinda al norte con el municipio de Hostotipaquillo; al sur con San Juanito de Escobedo y Etzatlán; </w:t>
      </w:r>
      <w:r>
        <w:rPr>
          <w:spacing w:val="-3"/>
        </w:rPr>
        <w:t>al </w:t>
      </w:r>
      <w:r>
        <w:rPr/>
        <w:t>oriente con el municipio de Tequila y al poniente con el Estado de Nayarit. Cuenta con una extensión territorial de 441.36 km2 que representan el 0.39% de la superficie total del Estado de</w:t>
      </w:r>
      <w:r>
        <w:rPr>
          <w:spacing w:val="-3"/>
        </w:rPr>
        <w:t> </w:t>
      </w:r>
      <w:r>
        <w:rPr/>
        <w:t>Jalisco.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p>
    <w:p>
      <w:pPr>
        <w:spacing w:before="102"/>
        <w:ind w:left="1592" w:right="1835" w:firstLine="1819"/>
        <w:jc w:val="left"/>
        <w:rPr>
          <w:sz w:val="15"/>
        </w:rPr>
      </w:pPr>
      <w:r>
        <w:rPr/>
        <w:pict>
          <v:group style="position:absolute;margin-left:115.436386pt;margin-top:-313.618805pt;width:410.5pt;height:320.5pt;mso-position-horizontal-relative:page;mso-position-vertical-relative:paragraph;z-index:251668480" coordorigin="2309,-6272" coordsize="8210,6410">
            <v:shape style="position:absolute;left:2308;top:-6254;width:8210;height:6391" type="#_x0000_t75" stroked="false">
              <v:imagedata r:id="rId9" o:title=""/>
            </v:shape>
            <v:shape style="position:absolute;left:2680;top:-5882;width:7440;height:5621" type="#_x0000_t75" stroked="false">
              <v:imagedata r:id="rId10" o:title=""/>
            </v:shape>
            <v:shape style="position:absolute;left:2680;top:-5882;width:7440;height:5621" coordorigin="2681,-5881" coordsize="7440,5621" path="m3618,-5881l3541,-5878,3466,-5869,3393,-5854,3322,-5833,3253,-5808,3187,-5777,3124,-5741,3064,-5700,3008,-5656,2955,-5607,2906,-5554,2862,-5498,2821,-5438,2785,-5375,2754,-5309,2729,-5240,2708,-5169,2693,-5096,2684,-5021,2681,-4944,2681,-260,9184,-260,9261,-263,9336,-273,9409,-288,9480,-308,9549,-334,9614,-365,9677,-401,9737,-441,9794,-486,9846,-535,9895,-587,9940,-644,9980,-704,10016,-767,10047,-832,10073,-901,10094,-972,10109,-1045,10118,-1120,10121,-1197,10121,-5881,3618,-5881xe" filled="false" stroked="true" strokeweight="6.96pt" strokecolor="#ffffff">
              <v:path arrowok="t"/>
              <v:stroke dashstyle="solid"/>
            </v:shape>
            <v:shape style="position:absolute;left:2422;top:-6273;width:7396;height:221" type="#_x0000_t202" filled="false" stroked="false">
              <v:textbox inset="0,0,0,0">
                <w:txbxContent>
                  <w:p>
                    <w:pPr>
                      <w:spacing w:before="0"/>
                      <w:ind w:left="0" w:right="0" w:firstLine="0"/>
                      <w:jc w:val="left"/>
                      <w:rPr>
                        <w:sz w:val="18"/>
                      </w:rPr>
                    </w:pPr>
                    <w:r>
                      <w:rPr>
                        <w:sz w:val="18"/>
                      </w:rPr>
                      <w:t>FIGURA 1. MAPA DE LÍMETES TERRITORIALES DEL MUNICIPIO DE MAGDALENA, JALISCO</w:t>
                    </w:r>
                  </w:p>
                </w:txbxContent>
              </v:textbox>
              <w10:wrap type="none"/>
            </v:shape>
            <v:shape style="position:absolute;left:4683;top:-4173;width:1110;height:140" type="#_x0000_t202" filled="false" stroked="false">
              <v:textbox inset="0,0,0,0">
                <w:txbxContent>
                  <w:p>
                    <w:pPr>
                      <w:spacing w:line="139" w:lineRule="exact" w:before="0"/>
                      <w:ind w:left="0" w:right="0" w:firstLine="0"/>
                      <w:jc w:val="left"/>
                      <w:rPr>
                        <w:rFonts w:ascii="Calibri"/>
                        <w:sz w:val="14"/>
                      </w:rPr>
                    </w:pPr>
                    <w:r>
                      <w:rPr>
                        <w:rFonts w:ascii="Calibri"/>
                        <w:sz w:val="14"/>
                      </w:rPr>
                      <w:t>HOSTOTIPAQUILLO</w:t>
                    </w:r>
                  </w:p>
                </w:txbxContent>
              </v:textbox>
              <w10:wrap type="none"/>
            </v:shape>
            <v:shape style="position:absolute;left:7691;top:-3693;width:514;height:140" type="#_x0000_t202" filled="false" stroked="false">
              <v:textbox inset="0,0,0,0">
                <w:txbxContent>
                  <w:p>
                    <w:pPr>
                      <w:spacing w:line="139" w:lineRule="exact" w:before="0"/>
                      <w:ind w:left="0" w:right="0" w:firstLine="0"/>
                      <w:jc w:val="left"/>
                      <w:rPr>
                        <w:rFonts w:ascii="Calibri"/>
                        <w:sz w:val="14"/>
                      </w:rPr>
                    </w:pPr>
                    <w:r>
                      <w:rPr>
                        <w:rFonts w:ascii="Calibri"/>
                        <w:sz w:val="14"/>
                      </w:rPr>
                      <w:t>TEQUILA</w:t>
                    </w:r>
                  </w:p>
                </w:txbxContent>
              </v:textbox>
              <w10:wrap type="none"/>
            </v:shape>
            <v:shape style="position:absolute;left:5389;top:-2949;width:793;height:140" type="#_x0000_t202" filled="false" stroked="false">
              <v:textbox inset="0,0,0,0">
                <w:txbxContent>
                  <w:p>
                    <w:pPr>
                      <w:spacing w:line="139" w:lineRule="exact" w:before="0"/>
                      <w:ind w:left="0" w:right="0" w:firstLine="0"/>
                      <w:jc w:val="left"/>
                      <w:rPr>
                        <w:rFonts w:ascii="Calibri"/>
                        <w:b/>
                        <w:sz w:val="14"/>
                      </w:rPr>
                    </w:pPr>
                    <w:r>
                      <w:rPr>
                        <w:rFonts w:ascii="Calibri"/>
                        <w:b/>
                        <w:sz w:val="14"/>
                      </w:rPr>
                      <w:t>MAGDALENA</w:t>
                    </w:r>
                  </w:p>
                </w:txbxContent>
              </v:textbox>
              <w10:wrap type="none"/>
            </v:shape>
            <v:shape style="position:absolute;left:3737;top:-2262;width:795;height:140" type="#_x0000_t202" filled="false" stroked="false">
              <v:textbox inset="0,0,0,0">
                <w:txbxContent>
                  <w:p>
                    <w:pPr>
                      <w:spacing w:line="139" w:lineRule="exact" w:before="0"/>
                      <w:ind w:left="0" w:right="0" w:firstLine="0"/>
                      <w:jc w:val="left"/>
                      <w:rPr>
                        <w:rFonts w:ascii="Calibri"/>
                        <w:sz w:val="14"/>
                      </w:rPr>
                    </w:pPr>
                    <w:r>
                      <w:rPr>
                        <w:rFonts w:ascii="Calibri"/>
                        <w:sz w:val="14"/>
                      </w:rPr>
                      <w:t>SAN MARCOS</w:t>
                    </w:r>
                  </w:p>
                </w:txbxContent>
              </v:textbox>
              <w10:wrap type="none"/>
            </v:shape>
            <v:shape style="position:absolute;left:8139;top:-2262;width:645;height:140" type="#_x0000_t202" filled="false" stroked="false">
              <v:textbox inset="0,0,0,0">
                <w:txbxContent>
                  <w:p>
                    <w:pPr>
                      <w:spacing w:line="139" w:lineRule="exact" w:before="0"/>
                      <w:ind w:left="0" w:right="0" w:firstLine="0"/>
                      <w:jc w:val="left"/>
                      <w:rPr>
                        <w:rFonts w:ascii="Calibri"/>
                        <w:sz w:val="14"/>
                      </w:rPr>
                    </w:pPr>
                    <w:r>
                      <w:rPr>
                        <w:rFonts w:ascii="Calibri"/>
                        <w:sz w:val="14"/>
                      </w:rPr>
                      <w:t>AMATITAN</w:t>
                    </w:r>
                  </w:p>
                </w:txbxContent>
              </v:textbox>
              <w10:wrap type="none"/>
            </v:shape>
            <v:shape style="position:absolute;left:5643;top:-1801;width:975;height:339" type="#_x0000_t202" filled="false" stroked="false">
              <v:textbox inset="0,0,0,0">
                <w:txbxContent>
                  <w:p>
                    <w:pPr>
                      <w:spacing w:line="142" w:lineRule="exact" w:before="0"/>
                      <w:ind w:left="0" w:right="0" w:firstLine="0"/>
                      <w:jc w:val="left"/>
                      <w:rPr>
                        <w:rFonts w:ascii="Calibri"/>
                        <w:sz w:val="14"/>
                      </w:rPr>
                    </w:pPr>
                    <w:r>
                      <w:rPr>
                        <w:rFonts w:ascii="Calibri"/>
                        <w:sz w:val="14"/>
                      </w:rPr>
                      <w:t>SAN JUANITO DE</w:t>
                    </w:r>
                  </w:p>
                  <w:p>
                    <w:pPr>
                      <w:spacing w:line="168" w:lineRule="exact" w:before="28"/>
                      <w:ind w:left="0" w:right="0" w:firstLine="0"/>
                      <w:jc w:val="left"/>
                      <w:rPr>
                        <w:rFonts w:ascii="Calibri"/>
                        <w:sz w:val="14"/>
                      </w:rPr>
                    </w:pPr>
                    <w:r>
                      <w:rPr>
                        <w:rFonts w:ascii="Calibri"/>
                        <w:sz w:val="14"/>
                      </w:rPr>
                      <w:t>ESCOBEDO</w:t>
                    </w:r>
                  </w:p>
                </w:txbxContent>
              </v:textbox>
              <w10:wrap type="none"/>
            </v:shape>
            <v:shape style="position:absolute;left:4683;top:-1110;width:600;height:140" type="#_x0000_t202" filled="false" stroked="false">
              <v:textbox inset="0,0,0,0">
                <w:txbxContent>
                  <w:p>
                    <w:pPr>
                      <w:spacing w:line="139" w:lineRule="exact" w:before="0"/>
                      <w:ind w:left="0" w:right="0" w:firstLine="0"/>
                      <w:jc w:val="left"/>
                      <w:rPr>
                        <w:rFonts w:ascii="Calibri"/>
                        <w:sz w:val="14"/>
                      </w:rPr>
                    </w:pPr>
                    <w:r>
                      <w:rPr>
                        <w:rFonts w:ascii="Calibri"/>
                        <w:sz w:val="14"/>
                      </w:rPr>
                      <w:t>ETZATLAN</w:t>
                    </w:r>
                  </w:p>
                </w:txbxContent>
              </v:textbox>
              <w10:wrap type="none"/>
            </v:shape>
            <v:shape style="position:absolute;left:5828;top:-873;width:2042;height:348" type="#_x0000_t202" filled="false" stroked="false">
              <v:textbox inset="0,0,0,0">
                <w:txbxContent>
                  <w:p>
                    <w:pPr>
                      <w:spacing w:line="142" w:lineRule="exact" w:before="0"/>
                      <w:ind w:left="0" w:right="0" w:firstLine="0"/>
                      <w:jc w:val="left"/>
                      <w:rPr>
                        <w:rFonts w:ascii="Calibri"/>
                        <w:sz w:val="14"/>
                      </w:rPr>
                    </w:pPr>
                    <w:r>
                      <w:rPr>
                        <w:rFonts w:ascii="Calibri"/>
                        <w:sz w:val="14"/>
                      </w:rPr>
                      <w:t>AHUALULCO DEL</w:t>
                    </w:r>
                  </w:p>
                  <w:p>
                    <w:pPr>
                      <w:tabs>
                        <w:tab w:pos="1301" w:val="left" w:leader="none"/>
                      </w:tabs>
                      <w:spacing w:line="178" w:lineRule="exact" w:before="28"/>
                      <w:ind w:left="0" w:right="0" w:firstLine="0"/>
                      <w:jc w:val="left"/>
                      <w:rPr>
                        <w:rFonts w:ascii="Calibri"/>
                        <w:sz w:val="14"/>
                      </w:rPr>
                    </w:pPr>
                    <w:r>
                      <w:rPr>
                        <w:rFonts w:ascii="Calibri"/>
                        <w:position w:val="1"/>
                        <w:sz w:val="14"/>
                      </w:rPr>
                      <w:t>MERCADO</w:t>
                      <w:tab/>
                    </w:r>
                    <w:r>
                      <w:rPr>
                        <w:rFonts w:ascii="Calibri"/>
                        <w:sz w:val="14"/>
                      </w:rPr>
                      <w:t>TEUCHITLAN</w:t>
                    </w:r>
                  </w:p>
                </w:txbxContent>
              </v:textbox>
              <w10:wrap type="none"/>
            </v:shape>
            <w10:wrap type="none"/>
          </v:group>
        </w:pict>
      </w:r>
      <w:r>
        <w:rPr>
          <w:sz w:val="15"/>
        </w:rPr>
        <w:t>Fuente: INEGI, instituto nacional de estadística y geografía en </w:t>
      </w:r>
      <w:hyperlink r:id="rId11">
        <w:r>
          <w:rPr>
            <w:color w:val="0000FF"/>
            <w:sz w:val="15"/>
            <w:u w:val="single" w:color="0000FF"/>
          </w:rPr>
          <w:t>http://www.cuentame.inegi.org.mx/monografias/informacion/jal/territorio/div_municipal.aspx?tema=me&amp;e=14</w:t>
        </w:r>
      </w:hyperlink>
    </w:p>
    <w:p>
      <w:pPr>
        <w:spacing w:after="0"/>
        <w:jc w:val="left"/>
        <w:rPr>
          <w:sz w:val="15"/>
        </w:rPr>
        <w:sectPr>
          <w:pgSz w:w="12240" w:h="15840"/>
          <w:pgMar w:header="178" w:footer="1076" w:top="1120" w:bottom="1360" w:left="460" w:right="2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8"/>
        </w:rPr>
      </w:pPr>
    </w:p>
    <w:p>
      <w:pPr>
        <w:spacing w:before="101"/>
        <w:ind w:left="1001" w:right="1260" w:firstLine="0"/>
        <w:jc w:val="center"/>
        <w:rPr>
          <w:sz w:val="21"/>
        </w:rPr>
      </w:pPr>
      <w:r>
        <w:rPr>
          <w:sz w:val="21"/>
        </w:rPr>
        <w:t>FIGURA 2. MAPA DE JALISCO CON LIMITES MUNICIPALES Y COLINDANTES ESTATALES</w:t>
      </w:r>
    </w:p>
    <w:p>
      <w:pPr>
        <w:pStyle w:val="BodyText"/>
        <w:rPr>
          <w:sz w:val="20"/>
        </w:rPr>
      </w:pPr>
    </w:p>
    <w:p>
      <w:pPr>
        <w:pStyle w:val="BodyText"/>
        <w:spacing w:before="10"/>
        <w:rPr>
          <w:sz w:val="18"/>
        </w:rPr>
      </w:pPr>
      <w:r>
        <w:rPr/>
        <w:pict>
          <v:group style="position:absolute;margin-left:49.430721pt;margin-top:13.511014pt;width:480.45pt;height:367.8pt;mso-position-horizontal-relative:page;mso-position-vertical-relative:paragraph;z-index:-251646976;mso-wrap-distance-left:0;mso-wrap-distance-right:0" coordorigin="989,270" coordsize="9609,7356">
            <v:shape style="position:absolute;left:988;top:339;width:9609;height:7217" type="#_x0000_t75" stroked="false">
              <v:imagedata r:id="rId12" o:title=""/>
            </v:shape>
            <v:shape style="position:absolute;left:1360;top:339;width:8840;height:7217" type="#_x0000_t75" stroked="false">
              <v:imagedata r:id="rId13" o:title=""/>
            </v:shape>
            <v:shape style="position:absolute;left:1360;top:339;width:8840;height:7217" coordorigin="1361,340" coordsize="8840,7217" path="m2564,340l2488,342,2413,349,2340,361,2268,377,2198,397,2129,421,2063,449,1998,481,1936,516,1877,555,1820,598,1765,643,1713,692,1665,744,1619,798,1576,855,1537,915,1502,977,1470,1042,1442,1108,1418,1176,1398,1246,1382,1318,1370,1392,1363,1467,1361,1543,1361,7557,8997,7557,9073,7554,9148,7547,9221,7536,9293,7520,9363,7500,9432,7476,9498,7448,9562,7416,9624,7380,9684,7341,9741,7299,9796,7253,9847,7204,9896,7153,9942,7098,9984,7041,10023,6981,10059,6919,10091,6855,10119,6789,10143,6720,10163,6650,10179,6578,10191,6505,10198,6430,10200,6354,10200,340,2564,340xe" filled="false" stroked="true" strokeweight="6.96pt" strokecolor="#ffffff">
              <v:path arrowok="t"/>
              <v:stroke dashstyle="solid"/>
            </v:shape>
            <w10:wrap type="topAndBottom"/>
          </v:group>
        </w:pict>
      </w:r>
    </w:p>
    <w:p>
      <w:pPr>
        <w:spacing w:before="195"/>
        <w:ind w:left="1592" w:right="1857" w:firstLine="9"/>
        <w:jc w:val="center"/>
        <w:rPr>
          <w:sz w:val="15"/>
        </w:rPr>
      </w:pPr>
      <w:r>
        <w:rPr>
          <w:sz w:val="15"/>
        </w:rPr>
        <w:t>Fuente: INEGI, instituto nacional de estadística y geografía en </w:t>
      </w:r>
      <w:hyperlink r:id="rId11">
        <w:r>
          <w:rPr>
            <w:color w:val="0000FF"/>
            <w:spacing w:val="-1"/>
            <w:sz w:val="15"/>
            <w:u w:val="single" w:color="0000FF"/>
          </w:rPr>
          <w:t>http://www.cuentame.inegi.org.mx/monografias/informacion/jal/territorio/div_municipal.aspx?tema=me&amp;e=14</w:t>
        </w:r>
      </w:hyperlink>
    </w:p>
    <w:p>
      <w:pPr>
        <w:spacing w:after="0"/>
        <w:jc w:val="center"/>
        <w:rPr>
          <w:sz w:val="15"/>
        </w:rPr>
        <w:sectPr>
          <w:pgSz w:w="12240" w:h="15840"/>
          <w:pgMar w:header="178" w:footer="1076" w:top="1120" w:bottom="1360" w:left="460" w:right="220"/>
        </w:sectPr>
      </w:pPr>
    </w:p>
    <w:p>
      <w:pPr>
        <w:pStyle w:val="BodyText"/>
        <w:rPr>
          <w:sz w:val="20"/>
        </w:rPr>
      </w:pPr>
    </w:p>
    <w:p>
      <w:pPr>
        <w:pStyle w:val="BodyText"/>
        <w:rPr>
          <w:sz w:val="20"/>
        </w:rPr>
      </w:pPr>
    </w:p>
    <w:p>
      <w:pPr>
        <w:pStyle w:val="BodyText"/>
        <w:spacing w:before="11"/>
        <w:rPr>
          <w:sz w:val="16"/>
        </w:rPr>
      </w:pPr>
    </w:p>
    <w:p>
      <w:pPr>
        <w:pStyle w:val="Heading4"/>
        <w:spacing w:before="101"/>
      </w:pPr>
      <w:r>
        <w:rPr/>
        <w:t>Localidades del municipio</w:t>
      </w:r>
    </w:p>
    <w:p>
      <w:pPr>
        <w:pStyle w:val="BodyText"/>
        <w:rPr>
          <w:b/>
          <w:sz w:val="24"/>
        </w:rPr>
      </w:pPr>
    </w:p>
    <w:p>
      <w:pPr>
        <w:pStyle w:val="BodyText"/>
        <w:ind w:left="901"/>
      </w:pPr>
      <w:r>
        <w:rPr/>
        <w:t>Al municipio pertenecen las siguientes localidades:</w:t>
      </w:r>
    </w:p>
    <w:p>
      <w:pPr>
        <w:pStyle w:val="ListParagraph"/>
        <w:numPr>
          <w:ilvl w:val="2"/>
          <w:numId w:val="11"/>
        </w:numPr>
        <w:tabs>
          <w:tab w:pos="1622" w:val="left" w:leader="none"/>
        </w:tabs>
        <w:spacing w:line="240" w:lineRule="auto" w:before="40" w:after="0"/>
        <w:ind w:left="1621" w:right="0" w:hanging="361"/>
        <w:jc w:val="left"/>
        <w:rPr>
          <w:sz w:val="22"/>
        </w:rPr>
      </w:pPr>
      <w:r>
        <w:rPr>
          <w:sz w:val="22"/>
        </w:rPr>
        <w:t>Santa María, ubicada al norte a 6 KM de la cabecera</w:t>
      </w:r>
      <w:r>
        <w:rPr>
          <w:spacing w:val="-15"/>
          <w:sz w:val="22"/>
        </w:rPr>
        <w:t> </w:t>
      </w:r>
      <w:r>
        <w:rPr>
          <w:sz w:val="22"/>
        </w:rPr>
        <w:t>municipal;</w:t>
      </w:r>
    </w:p>
    <w:p>
      <w:pPr>
        <w:pStyle w:val="ListParagraph"/>
        <w:numPr>
          <w:ilvl w:val="2"/>
          <w:numId w:val="11"/>
        </w:numPr>
        <w:tabs>
          <w:tab w:pos="1622" w:val="left" w:leader="none"/>
        </w:tabs>
        <w:spacing w:line="240" w:lineRule="auto" w:before="40" w:after="0"/>
        <w:ind w:left="1621" w:right="0" w:hanging="361"/>
        <w:jc w:val="left"/>
        <w:rPr>
          <w:sz w:val="22"/>
        </w:rPr>
      </w:pPr>
      <w:r>
        <w:rPr>
          <w:sz w:val="22"/>
        </w:rPr>
        <w:t>San Simón localizado al norte del municipio a 9.5 Km. de la cabecera</w:t>
      </w:r>
      <w:r>
        <w:rPr>
          <w:spacing w:val="-22"/>
          <w:sz w:val="22"/>
        </w:rPr>
        <w:t> </w:t>
      </w:r>
      <w:r>
        <w:rPr>
          <w:sz w:val="22"/>
        </w:rPr>
        <w:t>municipal;</w:t>
      </w:r>
    </w:p>
    <w:p>
      <w:pPr>
        <w:pStyle w:val="ListParagraph"/>
        <w:numPr>
          <w:ilvl w:val="2"/>
          <w:numId w:val="11"/>
        </w:numPr>
        <w:tabs>
          <w:tab w:pos="1622" w:val="left" w:leader="none"/>
        </w:tabs>
        <w:spacing w:line="278" w:lineRule="auto" w:before="40" w:after="0"/>
        <w:ind w:left="1621" w:right="1157" w:hanging="360"/>
        <w:jc w:val="left"/>
        <w:rPr>
          <w:sz w:val="22"/>
        </w:rPr>
      </w:pPr>
      <w:r>
        <w:rPr>
          <w:sz w:val="22"/>
        </w:rPr>
        <w:t>La Quemada localizada al noroeste del municipio a 10 Km. de la cabecera municipal;</w:t>
      </w:r>
    </w:p>
    <w:p>
      <w:pPr>
        <w:pStyle w:val="ListParagraph"/>
        <w:numPr>
          <w:ilvl w:val="2"/>
          <w:numId w:val="11"/>
        </w:numPr>
        <w:tabs>
          <w:tab w:pos="1622" w:val="left" w:leader="none"/>
        </w:tabs>
        <w:spacing w:line="266" w:lineRule="exact" w:before="0" w:after="0"/>
        <w:ind w:left="1621" w:right="0" w:hanging="361"/>
        <w:jc w:val="left"/>
        <w:rPr>
          <w:sz w:val="22"/>
        </w:rPr>
      </w:pPr>
      <w:r>
        <w:rPr>
          <w:sz w:val="22"/>
        </w:rPr>
        <w:t>El Ojo Zarco al oeste del Municipio y a 2.5 Km. de La</w:t>
      </w:r>
      <w:r>
        <w:rPr>
          <w:spacing w:val="-16"/>
          <w:sz w:val="22"/>
        </w:rPr>
        <w:t> </w:t>
      </w:r>
      <w:r>
        <w:rPr>
          <w:sz w:val="22"/>
        </w:rPr>
        <w:t>Quemada;</w:t>
      </w:r>
    </w:p>
    <w:p>
      <w:pPr>
        <w:pStyle w:val="ListParagraph"/>
        <w:numPr>
          <w:ilvl w:val="2"/>
          <w:numId w:val="11"/>
        </w:numPr>
        <w:tabs>
          <w:tab w:pos="1622" w:val="left" w:leader="none"/>
        </w:tabs>
        <w:spacing w:line="240" w:lineRule="auto" w:before="40" w:after="0"/>
        <w:ind w:left="1621" w:right="0" w:hanging="361"/>
        <w:jc w:val="left"/>
        <w:rPr>
          <w:sz w:val="22"/>
        </w:rPr>
      </w:pPr>
      <w:r>
        <w:rPr>
          <w:sz w:val="22"/>
        </w:rPr>
        <w:t>San Andrés al suroeste y a 6.5 Km. de la</w:t>
      </w:r>
      <w:r>
        <w:rPr>
          <w:spacing w:val="-9"/>
          <w:sz w:val="22"/>
        </w:rPr>
        <w:t> </w:t>
      </w:r>
      <w:r>
        <w:rPr>
          <w:sz w:val="22"/>
        </w:rPr>
        <w:t>Quemada;</w:t>
      </w:r>
    </w:p>
    <w:p>
      <w:pPr>
        <w:pStyle w:val="ListParagraph"/>
        <w:numPr>
          <w:ilvl w:val="2"/>
          <w:numId w:val="11"/>
        </w:numPr>
        <w:tabs>
          <w:tab w:pos="1622" w:val="left" w:leader="none"/>
        </w:tabs>
        <w:spacing w:line="240" w:lineRule="auto" w:before="39" w:after="0"/>
        <w:ind w:left="1621" w:right="0" w:hanging="361"/>
        <w:jc w:val="left"/>
        <w:rPr>
          <w:sz w:val="22"/>
        </w:rPr>
      </w:pPr>
      <w:r>
        <w:rPr>
          <w:sz w:val="22"/>
        </w:rPr>
        <w:t>Las Delicias a 4 kilómetros al sur de San</w:t>
      </w:r>
      <w:r>
        <w:rPr>
          <w:spacing w:val="-6"/>
          <w:sz w:val="22"/>
        </w:rPr>
        <w:t> </w:t>
      </w:r>
      <w:r>
        <w:rPr>
          <w:sz w:val="22"/>
        </w:rPr>
        <w:t>Andrés;</w:t>
      </w:r>
    </w:p>
    <w:p>
      <w:pPr>
        <w:pStyle w:val="ListParagraph"/>
        <w:numPr>
          <w:ilvl w:val="2"/>
          <w:numId w:val="11"/>
        </w:numPr>
        <w:tabs>
          <w:tab w:pos="1622" w:val="left" w:leader="none"/>
        </w:tabs>
        <w:spacing w:line="240" w:lineRule="auto" w:before="43" w:after="0"/>
        <w:ind w:left="1621" w:right="0" w:hanging="361"/>
        <w:jc w:val="left"/>
        <w:rPr>
          <w:sz w:val="22"/>
        </w:rPr>
      </w:pPr>
      <w:r>
        <w:rPr>
          <w:sz w:val="22"/>
        </w:rPr>
        <w:t>La Joya al sur de la cabecera municipal a 6.5 Km.;</w:t>
      </w:r>
      <w:r>
        <w:rPr>
          <w:spacing w:val="-11"/>
          <w:sz w:val="22"/>
        </w:rPr>
        <w:t> </w:t>
      </w:r>
      <w:r>
        <w:rPr>
          <w:sz w:val="22"/>
        </w:rPr>
        <w:t>y</w:t>
      </w:r>
    </w:p>
    <w:p>
      <w:pPr>
        <w:pStyle w:val="ListParagraph"/>
        <w:numPr>
          <w:ilvl w:val="2"/>
          <w:numId w:val="11"/>
        </w:numPr>
        <w:tabs>
          <w:tab w:pos="1622" w:val="left" w:leader="none"/>
        </w:tabs>
        <w:spacing w:line="276" w:lineRule="auto" w:before="40" w:after="0"/>
        <w:ind w:left="1621" w:right="1154" w:hanging="360"/>
        <w:jc w:val="both"/>
        <w:rPr>
          <w:sz w:val="22"/>
        </w:rPr>
      </w:pPr>
      <w:r>
        <w:rPr>
          <w:spacing w:val="-3"/>
          <w:sz w:val="22"/>
        </w:rPr>
        <w:t>Al </w:t>
      </w:r>
      <w:r>
        <w:rPr>
          <w:sz w:val="22"/>
        </w:rPr>
        <w:t>centro del municipio, la cabecera municipal Magdalena junto con la  localidad de Lo de Guevara, la cual ya se encuentra dentro de la mancha urbana.</w:t>
      </w:r>
    </w:p>
    <w:p>
      <w:pPr>
        <w:pStyle w:val="BodyText"/>
        <w:rPr>
          <w:sz w:val="26"/>
        </w:rPr>
      </w:pPr>
    </w:p>
    <w:p>
      <w:pPr>
        <w:pStyle w:val="BodyText"/>
        <w:spacing w:before="7"/>
        <w:rPr>
          <w:sz w:val="24"/>
        </w:rPr>
      </w:pPr>
    </w:p>
    <w:p>
      <w:pPr>
        <w:spacing w:before="0"/>
        <w:ind w:left="1001" w:right="540" w:firstLine="0"/>
        <w:jc w:val="center"/>
        <w:rPr>
          <w:sz w:val="21"/>
        </w:rPr>
      </w:pPr>
      <w:r>
        <w:rPr>
          <w:sz w:val="21"/>
        </w:rPr>
        <w:t>FIGURA 3. LIMITES DEL MUNICIPIO Y LOCALIDADES.</w:t>
      </w:r>
    </w:p>
    <w:p>
      <w:pPr>
        <w:pStyle w:val="BodyText"/>
        <w:spacing w:before="11"/>
        <w:rPr>
          <w:sz w:val="13"/>
        </w:rPr>
      </w:pPr>
      <w:r>
        <w:rPr/>
        <w:drawing>
          <wp:anchor distT="0" distB="0" distL="0" distR="0" allowOverlap="1" layoutInCell="1" locked="0" behindDoc="0" simplePos="0" relativeHeight="12">
            <wp:simplePos x="0" y="0"/>
            <wp:positionH relativeFrom="page">
              <wp:posOffset>1350263</wp:posOffset>
            </wp:positionH>
            <wp:positionV relativeFrom="paragraph">
              <wp:posOffset>133497</wp:posOffset>
            </wp:positionV>
            <wp:extent cx="5048527" cy="3109722"/>
            <wp:effectExtent l="0" t="0" r="0" b="0"/>
            <wp:wrapTopAndBottom/>
            <wp:docPr id="7" name="image10.jpeg"/>
            <wp:cNvGraphicFramePr>
              <a:graphicFrameLocks noChangeAspect="1"/>
            </wp:cNvGraphicFramePr>
            <a:graphic>
              <a:graphicData uri="http://schemas.openxmlformats.org/drawingml/2006/picture">
                <pic:pic>
                  <pic:nvPicPr>
                    <pic:cNvPr id="8" name="image10.jpeg"/>
                    <pic:cNvPicPr/>
                  </pic:nvPicPr>
                  <pic:blipFill>
                    <a:blip r:embed="rId14" cstate="print"/>
                    <a:stretch>
                      <a:fillRect/>
                    </a:stretch>
                  </pic:blipFill>
                  <pic:spPr>
                    <a:xfrm>
                      <a:off x="0" y="0"/>
                      <a:ext cx="5048527" cy="3109722"/>
                    </a:xfrm>
                    <a:prstGeom prst="rect">
                      <a:avLst/>
                    </a:prstGeom>
                  </pic:spPr>
                </pic:pic>
              </a:graphicData>
            </a:graphic>
          </wp:anchor>
        </w:drawing>
      </w:r>
    </w:p>
    <w:p>
      <w:pPr>
        <w:pStyle w:val="BodyText"/>
        <w:spacing w:before="2"/>
        <w:rPr>
          <w:sz w:val="32"/>
        </w:rPr>
      </w:pPr>
    </w:p>
    <w:p>
      <w:pPr>
        <w:spacing w:before="0"/>
        <w:ind w:left="3404" w:right="3646" w:firstLine="432"/>
        <w:jc w:val="left"/>
        <w:rPr>
          <w:sz w:val="15"/>
        </w:rPr>
      </w:pPr>
      <w:r>
        <w:rPr>
          <w:sz w:val="15"/>
        </w:rPr>
        <w:t>Fuente: pagina oficial del gobierno del estado en </w:t>
      </w:r>
      <w:hyperlink r:id="rId15">
        <w:r>
          <w:rPr>
            <w:color w:val="0000FF"/>
            <w:sz w:val="15"/>
            <w:u w:val="single" w:color="0000FF"/>
          </w:rPr>
          <w:t>https://www.jalisco.gob.mx/es/jalisco/municipios/magdalena</w:t>
        </w:r>
      </w:hyperlink>
    </w:p>
    <w:p>
      <w:pPr>
        <w:spacing w:after="0"/>
        <w:jc w:val="left"/>
        <w:rPr>
          <w:sz w:val="15"/>
        </w:rPr>
        <w:sectPr>
          <w:pgSz w:w="12240" w:h="15840"/>
          <w:pgMar w:header="178" w:footer="1076" w:top="1120" w:bottom="1360" w:left="460" w:right="220"/>
        </w:sectPr>
      </w:pPr>
    </w:p>
    <w:p>
      <w:pPr>
        <w:pStyle w:val="BodyText"/>
        <w:rPr>
          <w:sz w:val="20"/>
        </w:rPr>
      </w:pPr>
    </w:p>
    <w:p>
      <w:pPr>
        <w:pStyle w:val="BodyText"/>
        <w:rPr>
          <w:sz w:val="20"/>
        </w:rPr>
      </w:pPr>
    </w:p>
    <w:p>
      <w:pPr>
        <w:pStyle w:val="BodyText"/>
        <w:spacing w:before="2"/>
      </w:pPr>
    </w:p>
    <w:p>
      <w:pPr>
        <w:pStyle w:val="BodyText"/>
        <w:spacing w:line="276" w:lineRule="auto" w:before="1"/>
        <w:ind w:left="901" w:right="1155"/>
        <w:jc w:val="both"/>
      </w:pPr>
      <w:r>
        <w:rPr/>
        <w:t>En noviembre de 2014, se publicó en el Periódico Oficial del Estado de Jalisco, el acuerdo mediante el cual se establece la nueva regionalización administrativa, como estrategia para lograr el desarrollo integral del Estado.</w:t>
      </w:r>
    </w:p>
    <w:p>
      <w:pPr>
        <w:pStyle w:val="BodyText"/>
        <w:spacing w:before="3"/>
        <w:rPr>
          <w:sz w:val="25"/>
        </w:rPr>
      </w:pPr>
    </w:p>
    <w:p>
      <w:pPr>
        <w:pStyle w:val="BodyText"/>
        <w:spacing w:line="276" w:lineRule="auto"/>
        <w:ind w:left="901" w:right="1155"/>
        <w:jc w:val="both"/>
      </w:pPr>
      <w:r>
        <w:rPr/>
        <w:t>La nueva regionalización administrativa agrupa a los municipios del Estado en doce regiones. De estas doce regiones, la X corresponde a la Región Valles, con sede en Ameca, Tala y Tequila, comprende los municipios de: Ahualulco de Mercado, Amatitán, Ameca, San Juanito de Escobedo, El Arenal, Etzatlán, Hostotipaquillo, Magdalena, San Marcos, Tala, Tequila y Teuchitlán.</w:t>
      </w:r>
    </w:p>
    <w:p>
      <w:pPr>
        <w:pStyle w:val="BodyText"/>
        <w:spacing w:before="2"/>
        <w:rPr>
          <w:sz w:val="24"/>
        </w:rPr>
      </w:pPr>
    </w:p>
    <w:p>
      <w:pPr>
        <w:pStyle w:val="Heading2"/>
        <w:spacing w:before="1"/>
        <w:rPr>
          <w:rFonts w:ascii="Century Gothic" w:hAnsi="Century Gothic"/>
        </w:rPr>
      </w:pPr>
      <w:r>
        <w:rPr>
          <w:rFonts w:ascii="Century Gothic" w:hAnsi="Century Gothic"/>
        </w:rPr>
        <w:t>Hidrología</w:t>
      </w:r>
    </w:p>
    <w:p>
      <w:pPr>
        <w:pStyle w:val="BodyText"/>
        <w:spacing w:before="7"/>
        <w:rPr>
          <w:b/>
          <w:sz w:val="23"/>
        </w:rPr>
      </w:pPr>
    </w:p>
    <w:p>
      <w:pPr>
        <w:pStyle w:val="BodyText"/>
        <w:spacing w:line="276" w:lineRule="auto" w:before="1"/>
        <w:ind w:left="901" w:right="1152"/>
        <w:jc w:val="both"/>
      </w:pPr>
      <w:r>
        <w:rPr/>
        <w:t>Con base en la clasificación de la Comisión Nacional del Agua, la superficie </w:t>
      </w:r>
      <w:r>
        <w:rPr>
          <w:spacing w:val="-3"/>
        </w:rPr>
        <w:t>del </w:t>
      </w:r>
      <w:r>
        <w:rPr/>
        <w:t>municipio de Magdalena forma parte de dos regiones hidrológicas La RH-12 denominada Lerma-Chapala-Santiago y La RH-14 Ameca, por tal motivo se encuentran dos cuencas dentro de los límites municipales; la cuenca RH-14E Río Santiago- Guadalajara cuyos principales afluentes dentro del municipio son una serie </w:t>
      </w:r>
      <w:r>
        <w:rPr>
          <w:spacing w:val="-3"/>
        </w:rPr>
        <w:t>de</w:t>
      </w:r>
      <w:r>
        <w:rPr>
          <w:spacing w:val="54"/>
        </w:rPr>
        <w:t> </w:t>
      </w:r>
      <w:r>
        <w:rPr/>
        <w:t>corrientes pequeñas de las cuales sobresalen los Arroyos: Seco, San Gregorio, Barranquitas, El Cuervo, El Salitrillo, El Tepe Huaje, San Isidro, El Zapote, La Sidra, </w:t>
      </w:r>
      <w:r>
        <w:rPr>
          <w:spacing w:val="-4"/>
        </w:rPr>
        <w:t>El </w:t>
      </w:r>
      <w:r>
        <w:rPr/>
        <w:t>Atascoso, El Chacuaco y El Nuevo; la principal presa es San Gregorio la cual no está en operación; también en esta cuenca se localizan dos</w:t>
      </w:r>
      <w:r>
        <w:rPr>
          <w:spacing w:val="-13"/>
        </w:rPr>
        <w:t> </w:t>
      </w:r>
      <w:r>
        <w:rPr/>
        <w:t>manantiales.</w:t>
      </w:r>
    </w:p>
    <w:p>
      <w:pPr>
        <w:pStyle w:val="BodyText"/>
        <w:spacing w:before="5"/>
        <w:rPr>
          <w:sz w:val="25"/>
        </w:rPr>
      </w:pPr>
    </w:p>
    <w:p>
      <w:pPr>
        <w:pStyle w:val="BodyText"/>
        <w:spacing w:line="276" w:lineRule="auto"/>
        <w:ind w:left="901" w:right="1154"/>
        <w:jc w:val="both"/>
      </w:pPr>
      <w:r>
        <w:rPr/>
        <w:t>La región hidrológica RH-14 Ameca a la cual pertenece en mayor proporción el municipio y específicamente la cuenca RH-14B Río Ameca-Atenguillo, de la cual sus principales afluentes dentro del municipio son un gran número de escurrimientos solo en época de lluvias como los arroyos: El Pile, Potrerillos, Los Espinos, Los Hornitos, Las Higueras, El Salto, Las Juntas, Trapichillo, Santa Lucia; además de un gran número de canales y escurrimientos sin nombre en todo lo que es el valle de la Ex Laguna de Magdalena, así como 5 manantiales.</w:t>
      </w:r>
    </w:p>
    <w:p>
      <w:pPr>
        <w:pStyle w:val="BodyText"/>
        <w:spacing w:before="3"/>
        <w:rPr>
          <w:sz w:val="25"/>
        </w:rPr>
      </w:pPr>
    </w:p>
    <w:p>
      <w:pPr>
        <w:pStyle w:val="Heading4"/>
        <w:spacing w:before="1"/>
      </w:pPr>
      <w:r>
        <w:rPr/>
        <w:t>Obras hidráulicas y otras fuentes hídricas</w:t>
      </w:r>
    </w:p>
    <w:p>
      <w:pPr>
        <w:pStyle w:val="BodyText"/>
        <w:spacing w:before="6"/>
        <w:rPr>
          <w:b/>
          <w:sz w:val="28"/>
        </w:rPr>
      </w:pPr>
    </w:p>
    <w:p>
      <w:pPr>
        <w:pStyle w:val="BodyText"/>
        <w:spacing w:line="276" w:lineRule="auto"/>
        <w:ind w:left="901" w:right="1154"/>
        <w:jc w:val="both"/>
      </w:pPr>
      <w:r>
        <w:rPr/>
        <w:t>Dentro de la cuenca RH-14B Río Ameca-Atenguillo como elementos de mayor importancia se encuentran las siguientes obras hidráulicas, Laguna denominada El Trigo</w:t>
      </w:r>
      <w:r>
        <w:rPr>
          <w:position w:val="6"/>
          <w:sz w:val="14"/>
        </w:rPr>
        <w:t>2 </w:t>
      </w:r>
      <w:r>
        <w:rPr/>
        <w:t>en Magdalena con capacidad de 4.447 millones de m3, que hasta hace algunos años era considerada de importancia dentro del Estado y que actualmente se encuentra gravemente azolvada; la Presa de San Andrés con capacidad de 4.203 millones de m3; y la Presa de La Quemada con capacidad de 1.500 millones de m3. Con una capacidad de almacenamiento entre las tres de 13.050 millones de metros cúbicos.</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spacing w:before="3"/>
        <w:rPr>
          <w:sz w:val="18"/>
        </w:rPr>
      </w:pPr>
    </w:p>
    <w:p>
      <w:pPr>
        <w:pStyle w:val="Heading4"/>
        <w:spacing w:before="101"/>
        <w:jc w:val="both"/>
      </w:pPr>
      <w:r>
        <w:rPr/>
        <w:t>Hidrología subterránea</w:t>
      </w:r>
    </w:p>
    <w:p>
      <w:pPr>
        <w:pStyle w:val="BodyText"/>
        <w:spacing w:before="9"/>
        <w:rPr>
          <w:b/>
          <w:sz w:val="28"/>
        </w:rPr>
      </w:pPr>
    </w:p>
    <w:p>
      <w:pPr>
        <w:pStyle w:val="BodyText"/>
        <w:spacing w:line="276" w:lineRule="auto"/>
        <w:ind w:left="901" w:right="1156"/>
        <w:jc w:val="both"/>
      </w:pPr>
      <w:r>
        <w:rPr/>
        <w:t>El abastecimiento de agua potable en la cabecera municipal, y en las localidades rurales proviene del agua subterránea la cual se emplea intensamente; de 6 pozos profundos, 8 manantiales y 3 norias, las cuales generan la totalidad de agua que se consume en la población, con una extracción promedio de 4,752.00 metros cúbicos por día de los cuales el 73% proviene de pozos profundos.</w:t>
      </w:r>
    </w:p>
    <w:p>
      <w:pPr>
        <w:pStyle w:val="BodyText"/>
        <w:spacing w:before="2"/>
        <w:rPr>
          <w:sz w:val="25"/>
        </w:rPr>
      </w:pPr>
    </w:p>
    <w:p>
      <w:pPr>
        <w:pStyle w:val="BodyText"/>
        <w:spacing w:line="276" w:lineRule="auto"/>
        <w:ind w:left="901" w:right="1152"/>
        <w:jc w:val="both"/>
      </w:pPr>
      <w:r>
        <w:rPr/>
        <w:t>Según la Encuesta Intercensal 2015 del INEGI, el municipio de Magdalena cuenta con una población de 22,643 habitantes, si consideramos una dotación de 200 Litros/Habitante/Día, el volumen de extracción del agua subterránea que requieren para su servicio es por tanto de 4,528 metros cúbicos diarios de agua para consumo humano; según datos calculados con la formula racional de agua. Y anual es de 1.652 millones de metros cúbicos, aproximadamente el agua que almacena la Laguna la Quemada en sus dos</w:t>
      </w:r>
      <w:r>
        <w:rPr>
          <w:spacing w:val="-5"/>
        </w:rPr>
        <w:t> </w:t>
      </w:r>
      <w:r>
        <w:rPr/>
        <w:t>bordos.</w:t>
      </w:r>
    </w:p>
    <w:p>
      <w:pPr>
        <w:pStyle w:val="BodyText"/>
        <w:spacing w:line="276" w:lineRule="auto" w:before="2"/>
        <w:ind w:left="901" w:right="1155"/>
        <w:jc w:val="both"/>
      </w:pPr>
      <w:r>
        <w:rPr/>
        <w:t>Con un crecimiento poblacional como el observado hasta ahora, en el año 2020 se espera una población total de 24,440 habitantes. Lo cual nos indica que tendremos un consumo de 1.78 millones de metros cúbicos anuales. Lo que equivale casi al agua que almacena la Presa de San Andrés.</w:t>
      </w:r>
    </w:p>
    <w:p>
      <w:pPr>
        <w:pStyle w:val="BodyText"/>
        <w:spacing w:before="5"/>
        <w:rPr>
          <w:sz w:val="23"/>
        </w:rPr>
      </w:pPr>
    </w:p>
    <w:p>
      <w:pPr>
        <w:pStyle w:val="Heading4"/>
        <w:jc w:val="both"/>
        <w:rPr>
          <w:rFonts w:ascii="Corbel"/>
        </w:rPr>
      </w:pPr>
      <w:r>
        <w:rPr>
          <w:rFonts w:ascii="Corbel"/>
        </w:rPr>
        <w:t>Disponibilidad del agua</w:t>
      </w:r>
    </w:p>
    <w:p>
      <w:pPr>
        <w:pStyle w:val="BodyText"/>
        <w:spacing w:before="6"/>
        <w:rPr>
          <w:rFonts w:ascii="Corbel"/>
          <w:b/>
          <w:sz w:val="24"/>
        </w:rPr>
      </w:pPr>
    </w:p>
    <w:p>
      <w:pPr>
        <w:pStyle w:val="BodyText"/>
        <w:spacing w:line="276" w:lineRule="auto"/>
        <w:ind w:left="901" w:right="1155"/>
        <w:jc w:val="both"/>
      </w:pPr>
      <w:r>
        <w:rPr/>
        <w:t>De acuerdo con la CNA, la Región Valles es una superficie donde la capacidad de los mantos acuíferos permite la extracción para cualquier tipo de uso, encontrando dos zonas geo - hidrológicas donde se realizan extracciones, que son la de Tequila (RH12) y la de Ameca (RH14). De acuerdo con esta fuente la zona Tequila presenta la condición de ser sub-explotada; la zona de Ameca presenta las condiciones de sobre-explotada y en equilibrio.</w:t>
      </w:r>
    </w:p>
    <w:p>
      <w:pPr>
        <w:pStyle w:val="BodyText"/>
        <w:spacing w:before="4"/>
        <w:rPr>
          <w:sz w:val="25"/>
        </w:rPr>
      </w:pPr>
    </w:p>
    <w:p>
      <w:pPr>
        <w:pStyle w:val="BodyText"/>
        <w:spacing w:line="276" w:lineRule="auto"/>
        <w:ind w:left="901" w:right="1156"/>
        <w:jc w:val="both"/>
      </w:pPr>
      <w:r>
        <w:rPr/>
        <w:t>El volumen anual de recarga de los mantos acuíferos en el estado es de aproximadamente 2,100 millones de m3, de los que actualmente se extraen 1,200 millones, siendo la disponibilidad de agua subterránea de 900 millones de metros cúbicos.</w:t>
      </w:r>
    </w:p>
    <w:p>
      <w:pPr>
        <w:pStyle w:val="BodyText"/>
        <w:spacing w:before="4"/>
        <w:rPr>
          <w:sz w:val="25"/>
        </w:rPr>
      </w:pPr>
    </w:p>
    <w:p>
      <w:pPr>
        <w:pStyle w:val="BodyText"/>
        <w:spacing w:line="276" w:lineRule="auto"/>
        <w:ind w:left="901" w:right="1153"/>
        <w:jc w:val="both"/>
      </w:pPr>
      <w:r>
        <w:rPr/>
        <w:t>De hecho, estos recursos hídricos garantizan la base para satisfacer las necesidades de servicios urbanos de la población actual y las generaciones venideras, cubrir los requerimientos de la industria y ampliar las áreas de riego. Sin embargo, es necesario insistir en el grave problema de contaminación de acuíferos (ver contaminación del agua), que puede llegar a inutilizar el recurso a pesar de su abundancia relativa; asimismo, habrá que tener mucho cuidado en no rebasar la capacidad de recarga de</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7"/>
        <w:jc w:val="both"/>
      </w:pPr>
      <w:r>
        <w:rPr/>
        <w:t>los acuíferos y en mejorar la eficiencia en el uso del agua, evitando pérdidas durante su manejo (filtraciones y evaporación), así como desperdicios.</w:t>
      </w:r>
    </w:p>
    <w:p>
      <w:pPr>
        <w:pStyle w:val="BodyText"/>
        <w:rPr>
          <w:sz w:val="24"/>
        </w:rPr>
      </w:pPr>
    </w:p>
    <w:p>
      <w:pPr>
        <w:pStyle w:val="Heading4"/>
      </w:pPr>
      <w:r>
        <w:rPr/>
        <w:t>Clima</w:t>
      </w:r>
    </w:p>
    <w:p>
      <w:pPr>
        <w:pStyle w:val="BodyText"/>
        <w:spacing w:before="6"/>
        <w:rPr>
          <w:b/>
          <w:sz w:val="28"/>
        </w:rPr>
      </w:pPr>
    </w:p>
    <w:p>
      <w:pPr>
        <w:pStyle w:val="BodyText"/>
        <w:spacing w:line="276" w:lineRule="auto"/>
        <w:ind w:left="901" w:right="1156"/>
        <w:jc w:val="both"/>
      </w:pPr>
      <w:r>
        <w:rPr/>
        <w:t>El clima del municipio es semiseco con invierno y primavera secos; la temperatura media anual es de 21.4°C, con un régimen de lluvias durante los meses de junio a octubre, que representan el 90% de la precipitación total</w:t>
      </w:r>
      <w:r>
        <w:rPr>
          <w:spacing w:val="-12"/>
        </w:rPr>
        <w:t> </w:t>
      </w:r>
      <w:r>
        <w:rPr/>
        <w:t>anual.</w:t>
      </w:r>
    </w:p>
    <w:p>
      <w:pPr>
        <w:pStyle w:val="BodyText"/>
        <w:spacing w:before="4"/>
        <w:rPr>
          <w:sz w:val="25"/>
        </w:rPr>
      </w:pPr>
    </w:p>
    <w:p>
      <w:pPr>
        <w:pStyle w:val="BodyText"/>
        <w:spacing w:line="276" w:lineRule="auto"/>
        <w:ind w:left="901" w:right="1158"/>
        <w:jc w:val="both"/>
      </w:pPr>
      <w:r>
        <w:rPr/>
        <w:t>Los meses más calurosos se presentan en mayo y junio, con temperaturas medias de 24.6ºc y 24.5 º c respectivamente.</w:t>
      </w:r>
    </w:p>
    <w:p>
      <w:pPr>
        <w:pStyle w:val="BodyText"/>
        <w:spacing w:before="5"/>
        <w:rPr>
          <w:sz w:val="25"/>
        </w:rPr>
      </w:pPr>
    </w:p>
    <w:p>
      <w:pPr>
        <w:pStyle w:val="BodyText"/>
        <w:spacing w:line="276" w:lineRule="auto"/>
        <w:ind w:left="901" w:right="1153"/>
        <w:jc w:val="both"/>
      </w:pPr>
      <w:r>
        <w:rPr/>
        <w:t>La precipitación media anual es de 1,013 mm. la lluvia del año más abundante representa el 137% de la media anual y se presentó en el año de 1958; el más escaso significa el 79% y ocurrió en el año de 1951. La lluvia máxima promedio en 24 horas es de</w:t>
      </w:r>
    </w:p>
    <w:p>
      <w:pPr>
        <w:pStyle w:val="BodyText"/>
        <w:spacing w:line="276" w:lineRule="auto"/>
        <w:ind w:left="901" w:right="1156"/>
        <w:jc w:val="both"/>
      </w:pPr>
      <w:r>
        <w:rPr/>
        <w:t>47.9 mm., sin embargo, se han presentado máximas de 76.0 mm y 72.5 mm en los meses de julio y agosto.</w:t>
      </w:r>
    </w:p>
    <w:p>
      <w:pPr>
        <w:pStyle w:val="BodyText"/>
        <w:spacing w:before="2"/>
        <w:rPr>
          <w:sz w:val="25"/>
        </w:rPr>
      </w:pPr>
    </w:p>
    <w:p>
      <w:pPr>
        <w:pStyle w:val="BodyText"/>
        <w:spacing w:line="276" w:lineRule="auto"/>
        <w:ind w:left="901" w:right="1153"/>
        <w:jc w:val="both"/>
      </w:pPr>
      <w:r>
        <w:rPr/>
        <w:t>La temperatura media anual es de 21.4 º c. La temperatura máxima extrema de 39.5 º c. se presentó en el mes de mayo de 1956; la mínima extrema fue de 1 º c. y ocurrió en el año de 1960 en el mes de febrero.</w:t>
      </w:r>
    </w:p>
    <w:p>
      <w:pPr>
        <w:pStyle w:val="BodyText"/>
        <w:spacing w:before="4"/>
        <w:rPr>
          <w:sz w:val="25"/>
        </w:rPr>
      </w:pPr>
    </w:p>
    <w:p>
      <w:pPr>
        <w:pStyle w:val="BodyText"/>
        <w:spacing w:line="278" w:lineRule="auto"/>
        <w:ind w:left="901" w:right="1156"/>
        <w:jc w:val="both"/>
      </w:pPr>
      <w:r>
        <w:rPr/>
        <w:t>De acuerdo al Instituto de Astronomía y Meteorología de la U. de G., los datos climatológicos de Magdalena se resumen en el siguiente cuadro:</w:t>
      </w:r>
    </w:p>
    <w:p>
      <w:pPr>
        <w:pStyle w:val="BodyText"/>
        <w:rPr>
          <w:sz w:val="26"/>
        </w:rPr>
      </w:pPr>
    </w:p>
    <w:p>
      <w:pPr>
        <w:pStyle w:val="BodyText"/>
        <w:spacing w:before="10"/>
        <w:rPr>
          <w:sz w:val="20"/>
        </w:rPr>
      </w:pPr>
    </w:p>
    <w:p>
      <w:pPr>
        <w:pStyle w:val="BodyText"/>
        <w:spacing w:before="1"/>
        <w:ind w:left="1001" w:right="1259"/>
        <w:jc w:val="center"/>
      </w:pPr>
      <w:r>
        <w:rPr/>
        <w:t>TABLA 1. CLIMÁTICA (DATOS HISTÓRICOS DEL MAGDALENA)</w:t>
      </w:r>
    </w:p>
    <w:p>
      <w:pPr>
        <w:pStyle w:val="BodyText"/>
        <w:spacing w:before="10"/>
        <w:rPr>
          <w:sz w:val="23"/>
        </w:rPr>
      </w:pPr>
    </w:p>
    <w:tbl>
      <w:tblPr>
        <w:tblW w:w="0" w:type="auto"/>
        <w:jc w:val="left"/>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
        <w:gridCol w:w="636"/>
        <w:gridCol w:w="607"/>
        <w:gridCol w:w="674"/>
        <w:gridCol w:w="739"/>
        <w:gridCol w:w="741"/>
        <w:gridCol w:w="741"/>
        <w:gridCol w:w="739"/>
        <w:gridCol w:w="741"/>
        <w:gridCol w:w="738"/>
        <w:gridCol w:w="740"/>
        <w:gridCol w:w="659"/>
        <w:gridCol w:w="606"/>
        <w:gridCol w:w="875"/>
      </w:tblGrid>
      <w:tr>
        <w:trPr>
          <w:trHeight w:val="451" w:hRule="atLeast"/>
        </w:trPr>
        <w:tc>
          <w:tcPr>
            <w:tcW w:w="362" w:type="dxa"/>
            <w:tcBorders>
              <w:bottom w:val="single" w:sz="6" w:space="0" w:color="000000"/>
            </w:tcBorders>
          </w:tcPr>
          <w:p>
            <w:pPr>
              <w:pStyle w:val="TableParagraph"/>
              <w:rPr>
                <w:rFonts w:ascii="Times New Roman"/>
                <w:sz w:val="20"/>
              </w:rPr>
            </w:pPr>
          </w:p>
        </w:tc>
        <w:tc>
          <w:tcPr>
            <w:tcW w:w="636" w:type="dxa"/>
            <w:tcBorders>
              <w:bottom w:val="single" w:sz="6" w:space="0" w:color="000000"/>
            </w:tcBorders>
            <w:shd w:val="clear" w:color="auto" w:fill="D7E3BB"/>
          </w:tcPr>
          <w:p>
            <w:pPr>
              <w:pStyle w:val="TableParagraph"/>
              <w:spacing w:before="137"/>
              <w:ind w:left="79"/>
              <w:rPr>
                <w:sz w:val="20"/>
              </w:rPr>
            </w:pPr>
            <w:r>
              <w:rPr>
                <w:color w:val="4F6128"/>
                <w:sz w:val="20"/>
              </w:rPr>
              <w:t>ENE</w:t>
            </w:r>
          </w:p>
        </w:tc>
        <w:tc>
          <w:tcPr>
            <w:tcW w:w="607" w:type="dxa"/>
            <w:tcBorders>
              <w:bottom w:val="single" w:sz="6" w:space="0" w:color="000000"/>
            </w:tcBorders>
            <w:shd w:val="clear" w:color="auto" w:fill="D7E3BB"/>
          </w:tcPr>
          <w:p>
            <w:pPr>
              <w:pStyle w:val="TableParagraph"/>
              <w:spacing w:before="137"/>
              <w:ind w:left="79"/>
              <w:rPr>
                <w:sz w:val="20"/>
              </w:rPr>
            </w:pPr>
            <w:r>
              <w:rPr>
                <w:color w:val="4F6128"/>
                <w:sz w:val="20"/>
              </w:rPr>
              <w:t>FEB</w:t>
            </w:r>
          </w:p>
        </w:tc>
        <w:tc>
          <w:tcPr>
            <w:tcW w:w="674" w:type="dxa"/>
            <w:tcBorders>
              <w:bottom w:val="single" w:sz="6" w:space="0" w:color="000000"/>
            </w:tcBorders>
            <w:shd w:val="clear" w:color="auto" w:fill="D7E3BB"/>
          </w:tcPr>
          <w:p>
            <w:pPr>
              <w:pStyle w:val="TableParagraph"/>
              <w:spacing w:before="137"/>
              <w:ind w:right="130"/>
              <w:jc w:val="right"/>
              <w:rPr>
                <w:sz w:val="20"/>
              </w:rPr>
            </w:pPr>
            <w:r>
              <w:rPr>
                <w:color w:val="4F6128"/>
                <w:w w:val="95"/>
                <w:sz w:val="20"/>
              </w:rPr>
              <w:t>MAR</w:t>
            </w:r>
          </w:p>
        </w:tc>
        <w:tc>
          <w:tcPr>
            <w:tcW w:w="739" w:type="dxa"/>
            <w:tcBorders>
              <w:bottom w:val="single" w:sz="6" w:space="0" w:color="000000"/>
            </w:tcBorders>
            <w:shd w:val="clear" w:color="auto" w:fill="D7E3BB"/>
          </w:tcPr>
          <w:p>
            <w:pPr>
              <w:pStyle w:val="TableParagraph"/>
              <w:spacing w:before="137"/>
              <w:ind w:left="79"/>
              <w:rPr>
                <w:sz w:val="20"/>
              </w:rPr>
            </w:pPr>
            <w:r>
              <w:rPr>
                <w:color w:val="4F6128"/>
                <w:sz w:val="20"/>
              </w:rPr>
              <w:t>ABR</w:t>
            </w:r>
          </w:p>
        </w:tc>
        <w:tc>
          <w:tcPr>
            <w:tcW w:w="741" w:type="dxa"/>
            <w:tcBorders>
              <w:bottom w:val="single" w:sz="6" w:space="0" w:color="000000"/>
            </w:tcBorders>
            <w:shd w:val="clear" w:color="auto" w:fill="D7E3BB"/>
          </w:tcPr>
          <w:p>
            <w:pPr>
              <w:pStyle w:val="TableParagraph"/>
              <w:spacing w:before="137"/>
              <w:ind w:left="83"/>
              <w:rPr>
                <w:sz w:val="20"/>
              </w:rPr>
            </w:pPr>
            <w:r>
              <w:rPr>
                <w:color w:val="4F6128"/>
                <w:sz w:val="20"/>
              </w:rPr>
              <w:t>MAY</w:t>
            </w:r>
          </w:p>
        </w:tc>
        <w:tc>
          <w:tcPr>
            <w:tcW w:w="741" w:type="dxa"/>
            <w:tcBorders>
              <w:bottom w:val="single" w:sz="6" w:space="0" w:color="000000"/>
            </w:tcBorders>
            <w:shd w:val="clear" w:color="auto" w:fill="D7E3BB"/>
          </w:tcPr>
          <w:p>
            <w:pPr>
              <w:pStyle w:val="TableParagraph"/>
              <w:spacing w:before="137"/>
              <w:ind w:left="83"/>
              <w:rPr>
                <w:sz w:val="20"/>
              </w:rPr>
            </w:pPr>
            <w:r>
              <w:rPr>
                <w:color w:val="4F6128"/>
                <w:sz w:val="20"/>
              </w:rPr>
              <w:t>JUN</w:t>
            </w:r>
          </w:p>
        </w:tc>
        <w:tc>
          <w:tcPr>
            <w:tcW w:w="739" w:type="dxa"/>
            <w:tcBorders>
              <w:bottom w:val="single" w:sz="6" w:space="0" w:color="000000"/>
              <w:right w:val="single" w:sz="6" w:space="0" w:color="000000"/>
            </w:tcBorders>
            <w:shd w:val="clear" w:color="auto" w:fill="D7E3BB"/>
          </w:tcPr>
          <w:p>
            <w:pPr>
              <w:pStyle w:val="TableParagraph"/>
              <w:spacing w:before="137"/>
              <w:ind w:left="81"/>
              <w:rPr>
                <w:sz w:val="20"/>
              </w:rPr>
            </w:pPr>
            <w:r>
              <w:rPr>
                <w:color w:val="4F6128"/>
                <w:sz w:val="20"/>
              </w:rPr>
              <w:t>JUL</w:t>
            </w:r>
          </w:p>
        </w:tc>
        <w:tc>
          <w:tcPr>
            <w:tcW w:w="741" w:type="dxa"/>
            <w:tcBorders>
              <w:left w:val="single" w:sz="6" w:space="0" w:color="000000"/>
              <w:bottom w:val="single" w:sz="6" w:space="0" w:color="000000"/>
            </w:tcBorders>
            <w:shd w:val="clear" w:color="auto" w:fill="D7E3BB"/>
          </w:tcPr>
          <w:p>
            <w:pPr>
              <w:pStyle w:val="TableParagraph"/>
              <w:spacing w:before="137"/>
              <w:ind w:left="82"/>
              <w:rPr>
                <w:sz w:val="20"/>
              </w:rPr>
            </w:pPr>
            <w:r>
              <w:rPr>
                <w:color w:val="4F6128"/>
                <w:sz w:val="20"/>
              </w:rPr>
              <w:t>AGO</w:t>
            </w:r>
          </w:p>
        </w:tc>
        <w:tc>
          <w:tcPr>
            <w:tcW w:w="738" w:type="dxa"/>
            <w:tcBorders>
              <w:bottom w:val="single" w:sz="6" w:space="0" w:color="000000"/>
            </w:tcBorders>
            <w:shd w:val="clear" w:color="auto" w:fill="D7E3BB"/>
          </w:tcPr>
          <w:p>
            <w:pPr>
              <w:pStyle w:val="TableParagraph"/>
              <w:spacing w:before="137"/>
              <w:ind w:left="83"/>
              <w:rPr>
                <w:sz w:val="20"/>
              </w:rPr>
            </w:pPr>
            <w:r>
              <w:rPr>
                <w:color w:val="4F6128"/>
                <w:sz w:val="20"/>
              </w:rPr>
              <w:t>SEP</w:t>
            </w:r>
          </w:p>
        </w:tc>
        <w:tc>
          <w:tcPr>
            <w:tcW w:w="740" w:type="dxa"/>
            <w:tcBorders>
              <w:bottom w:val="single" w:sz="6" w:space="0" w:color="000000"/>
            </w:tcBorders>
            <w:shd w:val="clear" w:color="auto" w:fill="D7E3BB"/>
          </w:tcPr>
          <w:p>
            <w:pPr>
              <w:pStyle w:val="TableParagraph"/>
              <w:spacing w:before="137"/>
              <w:ind w:left="86"/>
              <w:rPr>
                <w:sz w:val="20"/>
              </w:rPr>
            </w:pPr>
            <w:r>
              <w:rPr>
                <w:color w:val="4F6128"/>
                <w:sz w:val="20"/>
              </w:rPr>
              <w:t>OCT</w:t>
            </w:r>
          </w:p>
        </w:tc>
        <w:tc>
          <w:tcPr>
            <w:tcW w:w="659" w:type="dxa"/>
            <w:tcBorders>
              <w:bottom w:val="single" w:sz="6" w:space="0" w:color="000000"/>
            </w:tcBorders>
            <w:shd w:val="clear" w:color="auto" w:fill="D7E3BB"/>
          </w:tcPr>
          <w:p>
            <w:pPr>
              <w:pStyle w:val="TableParagraph"/>
              <w:spacing w:before="137"/>
              <w:ind w:right="101"/>
              <w:jc w:val="right"/>
              <w:rPr>
                <w:sz w:val="20"/>
              </w:rPr>
            </w:pPr>
            <w:r>
              <w:rPr>
                <w:color w:val="4F6128"/>
                <w:w w:val="95"/>
                <w:sz w:val="20"/>
              </w:rPr>
              <w:t>NOV</w:t>
            </w:r>
          </w:p>
        </w:tc>
        <w:tc>
          <w:tcPr>
            <w:tcW w:w="606" w:type="dxa"/>
            <w:tcBorders>
              <w:bottom w:val="single" w:sz="6" w:space="0" w:color="000000"/>
            </w:tcBorders>
            <w:shd w:val="clear" w:color="auto" w:fill="D7E3BB"/>
          </w:tcPr>
          <w:p>
            <w:pPr>
              <w:pStyle w:val="TableParagraph"/>
              <w:spacing w:before="137"/>
              <w:ind w:left="87"/>
              <w:rPr>
                <w:sz w:val="20"/>
              </w:rPr>
            </w:pPr>
            <w:r>
              <w:rPr>
                <w:color w:val="4F6128"/>
                <w:sz w:val="20"/>
              </w:rPr>
              <w:t>DIC</w:t>
            </w:r>
          </w:p>
        </w:tc>
        <w:tc>
          <w:tcPr>
            <w:tcW w:w="875" w:type="dxa"/>
            <w:tcBorders>
              <w:bottom w:val="single" w:sz="6" w:space="0" w:color="000000"/>
            </w:tcBorders>
            <w:shd w:val="clear" w:color="auto" w:fill="D7E3BB"/>
          </w:tcPr>
          <w:p>
            <w:pPr>
              <w:pStyle w:val="TableParagraph"/>
              <w:spacing w:before="137"/>
              <w:ind w:left="88"/>
              <w:rPr>
                <w:sz w:val="20"/>
              </w:rPr>
            </w:pPr>
            <w:r>
              <w:rPr>
                <w:color w:val="4F6128"/>
                <w:sz w:val="20"/>
              </w:rPr>
              <w:t>AÑO</w:t>
            </w:r>
          </w:p>
        </w:tc>
      </w:tr>
      <w:tr>
        <w:trPr>
          <w:trHeight w:val="738" w:hRule="atLeast"/>
        </w:trPr>
        <w:tc>
          <w:tcPr>
            <w:tcW w:w="362" w:type="dxa"/>
            <w:tcBorders>
              <w:top w:val="single" w:sz="6" w:space="0" w:color="000000"/>
              <w:bottom w:val="single" w:sz="6" w:space="0" w:color="000000"/>
            </w:tcBorders>
            <w:shd w:val="clear" w:color="auto" w:fill="D7E3BB"/>
          </w:tcPr>
          <w:p>
            <w:pPr>
              <w:pStyle w:val="TableParagraph"/>
              <w:spacing w:before="4"/>
              <w:rPr>
                <w:sz w:val="34"/>
              </w:rPr>
            </w:pPr>
          </w:p>
          <w:p>
            <w:pPr>
              <w:pStyle w:val="TableParagraph"/>
              <w:ind w:right="67"/>
              <w:jc w:val="right"/>
              <w:rPr>
                <w:sz w:val="20"/>
              </w:rPr>
            </w:pPr>
            <w:r>
              <w:rPr>
                <w:color w:val="4F6128"/>
                <w:w w:val="99"/>
                <w:sz w:val="20"/>
              </w:rPr>
              <w:t>1</w:t>
            </w:r>
          </w:p>
        </w:tc>
        <w:tc>
          <w:tcPr>
            <w:tcW w:w="636" w:type="dxa"/>
            <w:tcBorders>
              <w:top w:val="single" w:sz="6" w:space="0" w:color="000000"/>
              <w:bottom w:val="single" w:sz="6" w:space="0" w:color="000000"/>
            </w:tcBorders>
          </w:tcPr>
          <w:p>
            <w:pPr>
              <w:pStyle w:val="TableParagraph"/>
              <w:spacing w:before="4"/>
              <w:rPr>
                <w:sz w:val="34"/>
              </w:rPr>
            </w:pPr>
          </w:p>
          <w:p>
            <w:pPr>
              <w:pStyle w:val="TableParagraph"/>
              <w:ind w:right="71"/>
              <w:jc w:val="right"/>
              <w:rPr>
                <w:sz w:val="20"/>
              </w:rPr>
            </w:pPr>
            <w:r>
              <w:rPr>
                <w:sz w:val="20"/>
              </w:rPr>
              <w:t>4.3</w:t>
            </w:r>
          </w:p>
        </w:tc>
        <w:tc>
          <w:tcPr>
            <w:tcW w:w="607" w:type="dxa"/>
            <w:tcBorders>
              <w:top w:val="single" w:sz="6" w:space="0" w:color="000000"/>
              <w:bottom w:val="single" w:sz="6" w:space="0" w:color="000000"/>
            </w:tcBorders>
          </w:tcPr>
          <w:p>
            <w:pPr>
              <w:pStyle w:val="TableParagraph"/>
              <w:spacing w:before="4"/>
              <w:rPr>
                <w:sz w:val="34"/>
              </w:rPr>
            </w:pPr>
          </w:p>
          <w:p>
            <w:pPr>
              <w:pStyle w:val="TableParagraph"/>
              <w:ind w:right="69"/>
              <w:jc w:val="right"/>
              <w:rPr>
                <w:sz w:val="20"/>
              </w:rPr>
            </w:pPr>
            <w:r>
              <w:rPr>
                <w:sz w:val="20"/>
              </w:rPr>
              <w:t>0.4</w:t>
            </w:r>
          </w:p>
        </w:tc>
        <w:tc>
          <w:tcPr>
            <w:tcW w:w="674" w:type="dxa"/>
            <w:tcBorders>
              <w:top w:val="single" w:sz="6" w:space="0" w:color="000000"/>
              <w:bottom w:val="single" w:sz="6" w:space="0" w:color="000000"/>
            </w:tcBorders>
          </w:tcPr>
          <w:p>
            <w:pPr>
              <w:pStyle w:val="TableParagraph"/>
              <w:spacing w:before="4"/>
              <w:rPr>
                <w:sz w:val="34"/>
              </w:rPr>
            </w:pPr>
          </w:p>
          <w:p>
            <w:pPr>
              <w:pStyle w:val="TableParagraph"/>
              <w:ind w:right="71"/>
              <w:jc w:val="right"/>
              <w:rPr>
                <w:sz w:val="20"/>
              </w:rPr>
            </w:pPr>
            <w:r>
              <w:rPr>
                <w:sz w:val="20"/>
              </w:rPr>
              <w:t>3.9</w:t>
            </w:r>
          </w:p>
        </w:tc>
        <w:tc>
          <w:tcPr>
            <w:tcW w:w="739" w:type="dxa"/>
            <w:tcBorders>
              <w:top w:val="single" w:sz="6" w:space="0" w:color="000000"/>
              <w:bottom w:val="single" w:sz="6" w:space="0" w:color="000000"/>
            </w:tcBorders>
          </w:tcPr>
          <w:p>
            <w:pPr>
              <w:pStyle w:val="TableParagraph"/>
              <w:spacing w:before="4"/>
              <w:rPr>
                <w:sz w:val="34"/>
              </w:rPr>
            </w:pPr>
          </w:p>
          <w:p>
            <w:pPr>
              <w:pStyle w:val="TableParagraph"/>
              <w:ind w:right="68"/>
              <w:jc w:val="right"/>
              <w:rPr>
                <w:sz w:val="20"/>
              </w:rPr>
            </w:pPr>
            <w:r>
              <w:rPr>
                <w:sz w:val="20"/>
              </w:rPr>
              <w:t>9.7</w:t>
            </w:r>
          </w:p>
        </w:tc>
        <w:tc>
          <w:tcPr>
            <w:tcW w:w="741" w:type="dxa"/>
            <w:tcBorders>
              <w:top w:val="single" w:sz="6" w:space="0" w:color="000000"/>
              <w:bottom w:val="single" w:sz="6" w:space="0" w:color="000000"/>
            </w:tcBorders>
          </w:tcPr>
          <w:p>
            <w:pPr>
              <w:pStyle w:val="TableParagraph"/>
              <w:spacing w:before="4"/>
              <w:rPr>
                <w:sz w:val="34"/>
              </w:rPr>
            </w:pPr>
          </w:p>
          <w:p>
            <w:pPr>
              <w:pStyle w:val="TableParagraph"/>
              <w:ind w:right="67"/>
              <w:jc w:val="right"/>
              <w:rPr>
                <w:sz w:val="20"/>
              </w:rPr>
            </w:pPr>
            <w:r>
              <w:rPr>
                <w:w w:val="95"/>
                <w:sz w:val="20"/>
              </w:rPr>
              <w:t>26.7</w:t>
            </w:r>
          </w:p>
        </w:tc>
        <w:tc>
          <w:tcPr>
            <w:tcW w:w="741" w:type="dxa"/>
            <w:tcBorders>
              <w:top w:val="single" w:sz="6" w:space="0" w:color="000000"/>
              <w:bottom w:val="single" w:sz="6" w:space="0" w:color="000000"/>
            </w:tcBorders>
          </w:tcPr>
          <w:p>
            <w:pPr>
              <w:pStyle w:val="TableParagraph"/>
              <w:spacing w:before="4"/>
              <w:rPr>
                <w:sz w:val="34"/>
              </w:rPr>
            </w:pPr>
          </w:p>
          <w:p>
            <w:pPr>
              <w:pStyle w:val="TableParagraph"/>
              <w:ind w:right="67"/>
              <w:jc w:val="right"/>
              <w:rPr>
                <w:sz w:val="20"/>
              </w:rPr>
            </w:pPr>
            <w:r>
              <w:rPr>
                <w:sz w:val="20"/>
              </w:rPr>
              <w:t>225.3</w:t>
            </w:r>
          </w:p>
        </w:tc>
        <w:tc>
          <w:tcPr>
            <w:tcW w:w="739" w:type="dxa"/>
            <w:tcBorders>
              <w:top w:val="single" w:sz="6" w:space="0" w:color="000000"/>
              <w:bottom w:val="single" w:sz="6" w:space="0" w:color="000000"/>
              <w:right w:val="single" w:sz="6" w:space="0" w:color="000000"/>
            </w:tcBorders>
          </w:tcPr>
          <w:p>
            <w:pPr>
              <w:pStyle w:val="TableParagraph"/>
              <w:spacing w:before="4"/>
              <w:rPr>
                <w:sz w:val="34"/>
              </w:rPr>
            </w:pPr>
          </w:p>
          <w:p>
            <w:pPr>
              <w:pStyle w:val="TableParagraph"/>
              <w:ind w:right="64"/>
              <w:jc w:val="right"/>
              <w:rPr>
                <w:sz w:val="20"/>
              </w:rPr>
            </w:pPr>
            <w:r>
              <w:rPr>
                <w:sz w:val="20"/>
              </w:rPr>
              <w:t>272.6</w:t>
            </w:r>
          </w:p>
        </w:tc>
        <w:tc>
          <w:tcPr>
            <w:tcW w:w="741" w:type="dxa"/>
            <w:tcBorders>
              <w:top w:val="single" w:sz="6" w:space="0" w:color="000000"/>
              <w:left w:val="single" w:sz="6" w:space="0" w:color="000000"/>
              <w:bottom w:val="single" w:sz="6" w:space="0" w:color="000000"/>
            </w:tcBorders>
          </w:tcPr>
          <w:p>
            <w:pPr>
              <w:pStyle w:val="TableParagraph"/>
              <w:spacing w:before="4"/>
              <w:rPr>
                <w:sz w:val="34"/>
              </w:rPr>
            </w:pPr>
          </w:p>
          <w:p>
            <w:pPr>
              <w:pStyle w:val="TableParagraph"/>
              <w:ind w:right="65"/>
              <w:jc w:val="right"/>
              <w:rPr>
                <w:sz w:val="20"/>
              </w:rPr>
            </w:pPr>
            <w:r>
              <w:rPr>
                <w:sz w:val="20"/>
              </w:rPr>
              <w:t>211.3</w:t>
            </w:r>
          </w:p>
        </w:tc>
        <w:tc>
          <w:tcPr>
            <w:tcW w:w="738" w:type="dxa"/>
            <w:tcBorders>
              <w:top w:val="single" w:sz="6" w:space="0" w:color="000000"/>
              <w:bottom w:val="single" w:sz="6" w:space="0" w:color="000000"/>
            </w:tcBorders>
          </w:tcPr>
          <w:p>
            <w:pPr>
              <w:pStyle w:val="TableParagraph"/>
              <w:spacing w:before="4"/>
              <w:rPr>
                <w:sz w:val="34"/>
              </w:rPr>
            </w:pPr>
          </w:p>
          <w:p>
            <w:pPr>
              <w:pStyle w:val="TableParagraph"/>
              <w:ind w:right="64"/>
              <w:jc w:val="right"/>
              <w:rPr>
                <w:sz w:val="20"/>
              </w:rPr>
            </w:pPr>
            <w:r>
              <w:rPr>
                <w:sz w:val="20"/>
              </w:rPr>
              <w:t>174.8</w:t>
            </w:r>
          </w:p>
        </w:tc>
        <w:tc>
          <w:tcPr>
            <w:tcW w:w="740" w:type="dxa"/>
            <w:tcBorders>
              <w:top w:val="single" w:sz="6" w:space="0" w:color="000000"/>
              <w:bottom w:val="single" w:sz="6" w:space="0" w:color="000000"/>
            </w:tcBorders>
          </w:tcPr>
          <w:p>
            <w:pPr>
              <w:pStyle w:val="TableParagraph"/>
              <w:spacing w:before="4"/>
              <w:rPr>
                <w:sz w:val="34"/>
              </w:rPr>
            </w:pPr>
          </w:p>
          <w:p>
            <w:pPr>
              <w:pStyle w:val="TableParagraph"/>
              <w:ind w:right="62"/>
              <w:jc w:val="right"/>
              <w:rPr>
                <w:sz w:val="20"/>
              </w:rPr>
            </w:pPr>
            <w:r>
              <w:rPr>
                <w:w w:val="95"/>
                <w:sz w:val="20"/>
              </w:rPr>
              <w:t>54.2</w:t>
            </w:r>
          </w:p>
        </w:tc>
        <w:tc>
          <w:tcPr>
            <w:tcW w:w="659" w:type="dxa"/>
            <w:tcBorders>
              <w:top w:val="single" w:sz="6" w:space="0" w:color="000000"/>
              <w:bottom w:val="single" w:sz="6" w:space="0" w:color="000000"/>
            </w:tcBorders>
          </w:tcPr>
          <w:p>
            <w:pPr>
              <w:pStyle w:val="TableParagraph"/>
              <w:spacing w:before="4"/>
              <w:rPr>
                <w:sz w:val="34"/>
              </w:rPr>
            </w:pPr>
          </w:p>
          <w:p>
            <w:pPr>
              <w:pStyle w:val="TableParagraph"/>
              <w:ind w:right="64"/>
              <w:jc w:val="right"/>
              <w:rPr>
                <w:sz w:val="20"/>
              </w:rPr>
            </w:pPr>
            <w:r>
              <w:rPr>
                <w:w w:val="95"/>
                <w:sz w:val="20"/>
              </w:rPr>
              <w:t>12.0</w:t>
            </w:r>
          </w:p>
        </w:tc>
        <w:tc>
          <w:tcPr>
            <w:tcW w:w="606" w:type="dxa"/>
            <w:tcBorders>
              <w:top w:val="single" w:sz="6" w:space="0" w:color="000000"/>
              <w:bottom w:val="single" w:sz="6" w:space="0" w:color="000000"/>
            </w:tcBorders>
          </w:tcPr>
          <w:p>
            <w:pPr>
              <w:pStyle w:val="TableParagraph"/>
              <w:spacing w:before="4"/>
              <w:rPr>
                <w:sz w:val="34"/>
              </w:rPr>
            </w:pPr>
          </w:p>
          <w:p>
            <w:pPr>
              <w:pStyle w:val="TableParagraph"/>
              <w:ind w:right="60"/>
              <w:jc w:val="right"/>
              <w:rPr>
                <w:sz w:val="20"/>
              </w:rPr>
            </w:pPr>
            <w:r>
              <w:rPr>
                <w:w w:val="95"/>
                <w:sz w:val="20"/>
              </w:rPr>
              <w:t>17.6</w:t>
            </w:r>
          </w:p>
        </w:tc>
        <w:tc>
          <w:tcPr>
            <w:tcW w:w="875" w:type="dxa"/>
            <w:tcBorders>
              <w:top w:val="single" w:sz="6" w:space="0" w:color="000000"/>
              <w:bottom w:val="single" w:sz="6" w:space="0" w:color="000000"/>
            </w:tcBorders>
          </w:tcPr>
          <w:p>
            <w:pPr>
              <w:pStyle w:val="TableParagraph"/>
              <w:spacing w:before="4"/>
              <w:rPr>
                <w:sz w:val="34"/>
              </w:rPr>
            </w:pPr>
          </w:p>
          <w:p>
            <w:pPr>
              <w:pStyle w:val="TableParagraph"/>
              <w:ind w:right="61"/>
              <w:jc w:val="right"/>
              <w:rPr>
                <w:sz w:val="20"/>
              </w:rPr>
            </w:pPr>
            <w:r>
              <w:rPr>
                <w:w w:val="95"/>
                <w:sz w:val="20"/>
              </w:rPr>
              <w:t>1012.8</w:t>
            </w:r>
          </w:p>
        </w:tc>
      </w:tr>
      <w:tr>
        <w:trPr>
          <w:trHeight w:val="736" w:hRule="atLeast"/>
        </w:trPr>
        <w:tc>
          <w:tcPr>
            <w:tcW w:w="362" w:type="dxa"/>
            <w:tcBorders>
              <w:top w:val="single" w:sz="6" w:space="0" w:color="000000"/>
              <w:bottom w:val="single" w:sz="6" w:space="0" w:color="000000"/>
            </w:tcBorders>
            <w:shd w:val="clear" w:color="auto" w:fill="D7E3BB"/>
          </w:tcPr>
          <w:p>
            <w:pPr>
              <w:pStyle w:val="TableParagraph"/>
              <w:rPr>
                <w:sz w:val="34"/>
              </w:rPr>
            </w:pPr>
          </w:p>
          <w:p>
            <w:pPr>
              <w:pStyle w:val="TableParagraph"/>
              <w:ind w:right="67"/>
              <w:jc w:val="right"/>
              <w:rPr>
                <w:sz w:val="20"/>
              </w:rPr>
            </w:pPr>
            <w:r>
              <w:rPr>
                <w:color w:val="4F6128"/>
                <w:w w:val="99"/>
                <w:sz w:val="20"/>
              </w:rPr>
              <w:t>2</w:t>
            </w:r>
          </w:p>
        </w:tc>
        <w:tc>
          <w:tcPr>
            <w:tcW w:w="636" w:type="dxa"/>
            <w:tcBorders>
              <w:top w:val="single" w:sz="6" w:space="0" w:color="000000"/>
              <w:bottom w:val="single" w:sz="6" w:space="0" w:color="000000"/>
            </w:tcBorders>
          </w:tcPr>
          <w:p>
            <w:pPr>
              <w:pStyle w:val="TableParagraph"/>
              <w:rPr>
                <w:sz w:val="34"/>
              </w:rPr>
            </w:pPr>
          </w:p>
          <w:p>
            <w:pPr>
              <w:pStyle w:val="TableParagraph"/>
              <w:ind w:right="71"/>
              <w:jc w:val="right"/>
              <w:rPr>
                <w:sz w:val="20"/>
              </w:rPr>
            </w:pPr>
            <w:r>
              <w:rPr>
                <w:w w:val="95"/>
                <w:sz w:val="20"/>
              </w:rPr>
              <w:t>76.5</w:t>
            </w:r>
          </w:p>
        </w:tc>
        <w:tc>
          <w:tcPr>
            <w:tcW w:w="607" w:type="dxa"/>
            <w:tcBorders>
              <w:top w:val="single" w:sz="6" w:space="0" w:color="000000"/>
              <w:bottom w:val="single" w:sz="6" w:space="0" w:color="000000"/>
            </w:tcBorders>
          </w:tcPr>
          <w:p>
            <w:pPr>
              <w:pStyle w:val="TableParagraph"/>
              <w:rPr>
                <w:sz w:val="34"/>
              </w:rPr>
            </w:pPr>
          </w:p>
          <w:p>
            <w:pPr>
              <w:pStyle w:val="TableParagraph"/>
              <w:ind w:right="69"/>
              <w:jc w:val="right"/>
              <w:rPr>
                <w:sz w:val="20"/>
              </w:rPr>
            </w:pPr>
            <w:r>
              <w:rPr>
                <w:w w:val="95"/>
                <w:sz w:val="20"/>
              </w:rPr>
              <w:t>11.5</w:t>
            </w:r>
          </w:p>
        </w:tc>
        <w:tc>
          <w:tcPr>
            <w:tcW w:w="674" w:type="dxa"/>
            <w:tcBorders>
              <w:top w:val="single" w:sz="6" w:space="0" w:color="000000"/>
              <w:bottom w:val="single" w:sz="6" w:space="0" w:color="000000"/>
            </w:tcBorders>
          </w:tcPr>
          <w:p>
            <w:pPr>
              <w:pStyle w:val="TableParagraph"/>
              <w:rPr>
                <w:sz w:val="34"/>
              </w:rPr>
            </w:pPr>
          </w:p>
          <w:p>
            <w:pPr>
              <w:pStyle w:val="TableParagraph"/>
              <w:ind w:right="71"/>
              <w:jc w:val="right"/>
              <w:rPr>
                <w:sz w:val="20"/>
              </w:rPr>
            </w:pPr>
            <w:r>
              <w:rPr>
                <w:w w:val="95"/>
                <w:sz w:val="20"/>
              </w:rPr>
              <w:t>34.0</w:t>
            </w:r>
          </w:p>
        </w:tc>
        <w:tc>
          <w:tcPr>
            <w:tcW w:w="739" w:type="dxa"/>
            <w:tcBorders>
              <w:top w:val="single" w:sz="6" w:space="0" w:color="000000"/>
              <w:bottom w:val="single" w:sz="6" w:space="0" w:color="000000"/>
            </w:tcBorders>
          </w:tcPr>
          <w:p>
            <w:pPr>
              <w:pStyle w:val="TableParagraph"/>
              <w:rPr>
                <w:sz w:val="34"/>
              </w:rPr>
            </w:pPr>
          </w:p>
          <w:p>
            <w:pPr>
              <w:pStyle w:val="TableParagraph"/>
              <w:ind w:right="68"/>
              <w:jc w:val="right"/>
              <w:rPr>
                <w:sz w:val="20"/>
              </w:rPr>
            </w:pPr>
            <w:r>
              <w:rPr>
                <w:sz w:val="20"/>
              </w:rPr>
              <w:t>128.5</w:t>
            </w:r>
          </w:p>
        </w:tc>
        <w:tc>
          <w:tcPr>
            <w:tcW w:w="741" w:type="dxa"/>
            <w:tcBorders>
              <w:top w:val="single" w:sz="6" w:space="0" w:color="000000"/>
              <w:bottom w:val="single" w:sz="6" w:space="0" w:color="000000"/>
            </w:tcBorders>
          </w:tcPr>
          <w:p>
            <w:pPr>
              <w:pStyle w:val="TableParagraph"/>
              <w:rPr>
                <w:sz w:val="34"/>
              </w:rPr>
            </w:pPr>
          </w:p>
          <w:p>
            <w:pPr>
              <w:pStyle w:val="TableParagraph"/>
              <w:ind w:right="67"/>
              <w:jc w:val="right"/>
              <w:rPr>
                <w:sz w:val="20"/>
              </w:rPr>
            </w:pPr>
            <w:r>
              <w:rPr>
                <w:sz w:val="20"/>
              </w:rPr>
              <w:t>179.0</w:t>
            </w:r>
          </w:p>
        </w:tc>
        <w:tc>
          <w:tcPr>
            <w:tcW w:w="741" w:type="dxa"/>
            <w:tcBorders>
              <w:top w:val="single" w:sz="6" w:space="0" w:color="000000"/>
              <w:bottom w:val="single" w:sz="6" w:space="0" w:color="000000"/>
            </w:tcBorders>
          </w:tcPr>
          <w:p>
            <w:pPr>
              <w:pStyle w:val="TableParagraph"/>
              <w:rPr>
                <w:sz w:val="34"/>
              </w:rPr>
            </w:pPr>
          </w:p>
          <w:p>
            <w:pPr>
              <w:pStyle w:val="TableParagraph"/>
              <w:ind w:right="67"/>
              <w:jc w:val="right"/>
              <w:rPr>
                <w:sz w:val="20"/>
              </w:rPr>
            </w:pPr>
            <w:r>
              <w:rPr>
                <w:sz w:val="20"/>
              </w:rPr>
              <w:t>254.0</w:t>
            </w:r>
          </w:p>
        </w:tc>
        <w:tc>
          <w:tcPr>
            <w:tcW w:w="739" w:type="dxa"/>
            <w:tcBorders>
              <w:top w:val="single" w:sz="6" w:space="0" w:color="000000"/>
              <w:bottom w:val="single" w:sz="6" w:space="0" w:color="000000"/>
              <w:right w:val="single" w:sz="6" w:space="0" w:color="000000"/>
            </w:tcBorders>
          </w:tcPr>
          <w:p>
            <w:pPr>
              <w:pStyle w:val="TableParagraph"/>
              <w:rPr>
                <w:sz w:val="34"/>
              </w:rPr>
            </w:pPr>
          </w:p>
          <w:p>
            <w:pPr>
              <w:pStyle w:val="TableParagraph"/>
              <w:ind w:right="64"/>
              <w:jc w:val="right"/>
              <w:rPr>
                <w:sz w:val="20"/>
              </w:rPr>
            </w:pPr>
            <w:r>
              <w:rPr>
                <w:sz w:val="20"/>
              </w:rPr>
              <w:t>340.0</w:t>
            </w:r>
          </w:p>
        </w:tc>
        <w:tc>
          <w:tcPr>
            <w:tcW w:w="741" w:type="dxa"/>
            <w:tcBorders>
              <w:top w:val="single" w:sz="6" w:space="0" w:color="000000"/>
              <w:left w:val="single" w:sz="6" w:space="0" w:color="000000"/>
              <w:bottom w:val="single" w:sz="6" w:space="0" w:color="000000"/>
            </w:tcBorders>
          </w:tcPr>
          <w:p>
            <w:pPr>
              <w:pStyle w:val="TableParagraph"/>
              <w:rPr>
                <w:sz w:val="34"/>
              </w:rPr>
            </w:pPr>
          </w:p>
          <w:p>
            <w:pPr>
              <w:pStyle w:val="TableParagraph"/>
              <w:ind w:right="65"/>
              <w:jc w:val="right"/>
              <w:rPr>
                <w:sz w:val="20"/>
              </w:rPr>
            </w:pPr>
            <w:r>
              <w:rPr>
                <w:sz w:val="20"/>
              </w:rPr>
              <w:t>308.0</w:t>
            </w:r>
          </w:p>
        </w:tc>
        <w:tc>
          <w:tcPr>
            <w:tcW w:w="738" w:type="dxa"/>
            <w:tcBorders>
              <w:top w:val="single" w:sz="6" w:space="0" w:color="000000"/>
              <w:bottom w:val="single" w:sz="6" w:space="0" w:color="000000"/>
            </w:tcBorders>
          </w:tcPr>
          <w:p>
            <w:pPr>
              <w:pStyle w:val="TableParagraph"/>
              <w:rPr>
                <w:sz w:val="34"/>
              </w:rPr>
            </w:pPr>
          </w:p>
          <w:p>
            <w:pPr>
              <w:pStyle w:val="TableParagraph"/>
              <w:ind w:right="64"/>
              <w:jc w:val="right"/>
              <w:rPr>
                <w:sz w:val="20"/>
              </w:rPr>
            </w:pPr>
            <w:r>
              <w:rPr>
                <w:sz w:val="20"/>
              </w:rPr>
              <w:t>337.0</w:t>
            </w:r>
          </w:p>
        </w:tc>
        <w:tc>
          <w:tcPr>
            <w:tcW w:w="740" w:type="dxa"/>
            <w:tcBorders>
              <w:top w:val="single" w:sz="6" w:space="0" w:color="000000"/>
              <w:bottom w:val="single" w:sz="6" w:space="0" w:color="000000"/>
            </w:tcBorders>
          </w:tcPr>
          <w:p>
            <w:pPr>
              <w:pStyle w:val="TableParagraph"/>
              <w:rPr>
                <w:sz w:val="34"/>
              </w:rPr>
            </w:pPr>
          </w:p>
          <w:p>
            <w:pPr>
              <w:pStyle w:val="TableParagraph"/>
              <w:ind w:right="63"/>
              <w:jc w:val="right"/>
              <w:rPr>
                <w:sz w:val="20"/>
              </w:rPr>
            </w:pPr>
            <w:r>
              <w:rPr>
                <w:sz w:val="20"/>
              </w:rPr>
              <w:t>168.5</w:t>
            </w:r>
          </w:p>
        </w:tc>
        <w:tc>
          <w:tcPr>
            <w:tcW w:w="659" w:type="dxa"/>
            <w:tcBorders>
              <w:top w:val="single" w:sz="6" w:space="0" w:color="000000"/>
              <w:bottom w:val="single" w:sz="6" w:space="0" w:color="000000"/>
            </w:tcBorders>
          </w:tcPr>
          <w:p>
            <w:pPr>
              <w:pStyle w:val="TableParagraph"/>
              <w:rPr>
                <w:sz w:val="34"/>
              </w:rPr>
            </w:pPr>
          </w:p>
          <w:p>
            <w:pPr>
              <w:pStyle w:val="TableParagraph"/>
              <w:ind w:right="64"/>
              <w:jc w:val="right"/>
              <w:rPr>
                <w:sz w:val="20"/>
              </w:rPr>
            </w:pPr>
            <w:r>
              <w:rPr>
                <w:w w:val="95"/>
                <w:sz w:val="20"/>
              </w:rPr>
              <w:t>48.5</w:t>
            </w:r>
          </w:p>
        </w:tc>
        <w:tc>
          <w:tcPr>
            <w:tcW w:w="606" w:type="dxa"/>
            <w:tcBorders>
              <w:top w:val="single" w:sz="6" w:space="0" w:color="000000"/>
              <w:bottom w:val="single" w:sz="6" w:space="0" w:color="000000"/>
            </w:tcBorders>
          </w:tcPr>
          <w:p>
            <w:pPr>
              <w:pStyle w:val="TableParagraph"/>
              <w:rPr>
                <w:sz w:val="34"/>
              </w:rPr>
            </w:pPr>
          </w:p>
          <w:p>
            <w:pPr>
              <w:pStyle w:val="TableParagraph"/>
              <w:ind w:right="60"/>
              <w:jc w:val="right"/>
              <w:rPr>
                <w:sz w:val="20"/>
              </w:rPr>
            </w:pPr>
            <w:r>
              <w:rPr>
                <w:w w:val="95"/>
                <w:sz w:val="20"/>
              </w:rPr>
              <w:t>68.0</w:t>
            </w:r>
          </w:p>
        </w:tc>
        <w:tc>
          <w:tcPr>
            <w:tcW w:w="875" w:type="dxa"/>
            <w:tcBorders>
              <w:top w:val="single" w:sz="6" w:space="0" w:color="000000"/>
              <w:bottom w:val="single" w:sz="6" w:space="0" w:color="000000"/>
            </w:tcBorders>
          </w:tcPr>
          <w:p>
            <w:pPr>
              <w:pStyle w:val="TableParagraph"/>
              <w:rPr>
                <w:sz w:val="34"/>
              </w:rPr>
            </w:pPr>
          </w:p>
          <w:p>
            <w:pPr>
              <w:pStyle w:val="TableParagraph"/>
              <w:ind w:right="61"/>
              <w:jc w:val="right"/>
              <w:rPr>
                <w:sz w:val="20"/>
              </w:rPr>
            </w:pPr>
            <w:r>
              <w:rPr>
                <w:w w:val="95"/>
                <w:sz w:val="20"/>
              </w:rPr>
              <w:t>1390.5</w:t>
            </w:r>
          </w:p>
        </w:tc>
      </w:tr>
      <w:tr>
        <w:trPr>
          <w:trHeight w:val="733" w:hRule="atLeast"/>
        </w:trPr>
        <w:tc>
          <w:tcPr>
            <w:tcW w:w="362" w:type="dxa"/>
            <w:tcBorders>
              <w:top w:val="single" w:sz="6" w:space="0" w:color="000000"/>
              <w:bottom w:val="single" w:sz="6" w:space="0" w:color="000000"/>
            </w:tcBorders>
            <w:shd w:val="clear" w:color="auto" w:fill="D7E3BB"/>
          </w:tcPr>
          <w:p>
            <w:pPr>
              <w:pStyle w:val="TableParagraph"/>
              <w:spacing w:before="11"/>
              <w:rPr>
                <w:sz w:val="33"/>
              </w:rPr>
            </w:pPr>
          </w:p>
          <w:p>
            <w:pPr>
              <w:pStyle w:val="TableParagraph"/>
              <w:spacing w:before="1"/>
              <w:ind w:right="67"/>
              <w:jc w:val="right"/>
              <w:rPr>
                <w:sz w:val="20"/>
              </w:rPr>
            </w:pPr>
            <w:r>
              <w:rPr>
                <w:color w:val="4F6128"/>
                <w:w w:val="99"/>
                <w:sz w:val="20"/>
              </w:rPr>
              <w:t>3</w:t>
            </w:r>
          </w:p>
        </w:tc>
        <w:tc>
          <w:tcPr>
            <w:tcW w:w="636" w:type="dxa"/>
            <w:tcBorders>
              <w:top w:val="single" w:sz="6" w:space="0" w:color="000000"/>
              <w:bottom w:val="single" w:sz="6" w:space="0" w:color="000000"/>
            </w:tcBorders>
          </w:tcPr>
          <w:p>
            <w:pPr>
              <w:pStyle w:val="TableParagraph"/>
              <w:spacing w:before="11"/>
              <w:rPr>
                <w:sz w:val="33"/>
              </w:rPr>
            </w:pPr>
          </w:p>
          <w:p>
            <w:pPr>
              <w:pStyle w:val="TableParagraph"/>
              <w:spacing w:before="1"/>
              <w:ind w:right="71"/>
              <w:jc w:val="right"/>
              <w:rPr>
                <w:sz w:val="20"/>
              </w:rPr>
            </w:pPr>
            <w:r>
              <w:rPr>
                <w:sz w:val="20"/>
              </w:rPr>
              <w:t>0.0</w:t>
            </w:r>
          </w:p>
        </w:tc>
        <w:tc>
          <w:tcPr>
            <w:tcW w:w="607" w:type="dxa"/>
            <w:tcBorders>
              <w:top w:val="single" w:sz="6" w:space="0" w:color="000000"/>
              <w:bottom w:val="single" w:sz="6" w:space="0" w:color="000000"/>
            </w:tcBorders>
          </w:tcPr>
          <w:p>
            <w:pPr>
              <w:pStyle w:val="TableParagraph"/>
              <w:spacing w:before="11"/>
              <w:rPr>
                <w:sz w:val="33"/>
              </w:rPr>
            </w:pPr>
          </w:p>
          <w:p>
            <w:pPr>
              <w:pStyle w:val="TableParagraph"/>
              <w:spacing w:before="1"/>
              <w:ind w:right="69"/>
              <w:jc w:val="right"/>
              <w:rPr>
                <w:sz w:val="20"/>
              </w:rPr>
            </w:pPr>
            <w:r>
              <w:rPr>
                <w:sz w:val="20"/>
              </w:rPr>
              <w:t>0.0</w:t>
            </w:r>
          </w:p>
        </w:tc>
        <w:tc>
          <w:tcPr>
            <w:tcW w:w="674" w:type="dxa"/>
            <w:tcBorders>
              <w:top w:val="single" w:sz="6" w:space="0" w:color="000000"/>
              <w:bottom w:val="single" w:sz="6" w:space="0" w:color="000000"/>
            </w:tcBorders>
          </w:tcPr>
          <w:p>
            <w:pPr>
              <w:pStyle w:val="TableParagraph"/>
              <w:spacing w:before="11"/>
              <w:rPr>
                <w:sz w:val="33"/>
              </w:rPr>
            </w:pPr>
          </w:p>
          <w:p>
            <w:pPr>
              <w:pStyle w:val="TableParagraph"/>
              <w:spacing w:before="1"/>
              <w:ind w:right="71"/>
              <w:jc w:val="right"/>
              <w:rPr>
                <w:sz w:val="20"/>
              </w:rPr>
            </w:pPr>
            <w:r>
              <w:rPr>
                <w:sz w:val="20"/>
              </w:rPr>
              <w:t>0.0</w:t>
            </w:r>
          </w:p>
        </w:tc>
        <w:tc>
          <w:tcPr>
            <w:tcW w:w="739" w:type="dxa"/>
            <w:tcBorders>
              <w:top w:val="single" w:sz="6" w:space="0" w:color="000000"/>
              <w:bottom w:val="single" w:sz="6" w:space="0" w:color="000000"/>
            </w:tcBorders>
          </w:tcPr>
          <w:p>
            <w:pPr>
              <w:pStyle w:val="TableParagraph"/>
              <w:spacing w:before="11"/>
              <w:rPr>
                <w:sz w:val="33"/>
              </w:rPr>
            </w:pPr>
          </w:p>
          <w:p>
            <w:pPr>
              <w:pStyle w:val="TableParagraph"/>
              <w:spacing w:before="1"/>
              <w:ind w:right="68"/>
              <w:jc w:val="right"/>
              <w:rPr>
                <w:sz w:val="20"/>
              </w:rPr>
            </w:pPr>
            <w:r>
              <w:rPr>
                <w:sz w:val="20"/>
              </w:rPr>
              <w:t>0.0</w:t>
            </w:r>
          </w:p>
        </w:tc>
        <w:tc>
          <w:tcPr>
            <w:tcW w:w="741" w:type="dxa"/>
            <w:tcBorders>
              <w:top w:val="single" w:sz="6" w:space="0" w:color="000000"/>
              <w:bottom w:val="single" w:sz="6" w:space="0" w:color="000000"/>
            </w:tcBorders>
          </w:tcPr>
          <w:p>
            <w:pPr>
              <w:pStyle w:val="TableParagraph"/>
              <w:spacing w:before="11"/>
              <w:rPr>
                <w:sz w:val="33"/>
              </w:rPr>
            </w:pPr>
          </w:p>
          <w:p>
            <w:pPr>
              <w:pStyle w:val="TableParagraph"/>
              <w:spacing w:before="1"/>
              <w:ind w:right="67"/>
              <w:jc w:val="right"/>
              <w:rPr>
                <w:sz w:val="20"/>
              </w:rPr>
            </w:pPr>
            <w:r>
              <w:rPr>
                <w:sz w:val="20"/>
              </w:rPr>
              <w:t>0.0</w:t>
            </w:r>
          </w:p>
        </w:tc>
        <w:tc>
          <w:tcPr>
            <w:tcW w:w="741" w:type="dxa"/>
            <w:tcBorders>
              <w:top w:val="single" w:sz="6" w:space="0" w:color="000000"/>
              <w:bottom w:val="single" w:sz="6" w:space="0" w:color="000000"/>
            </w:tcBorders>
          </w:tcPr>
          <w:p>
            <w:pPr>
              <w:pStyle w:val="TableParagraph"/>
              <w:spacing w:before="11"/>
              <w:rPr>
                <w:sz w:val="33"/>
              </w:rPr>
            </w:pPr>
          </w:p>
          <w:p>
            <w:pPr>
              <w:pStyle w:val="TableParagraph"/>
              <w:spacing w:before="1"/>
              <w:ind w:right="66"/>
              <w:jc w:val="right"/>
              <w:rPr>
                <w:sz w:val="20"/>
              </w:rPr>
            </w:pPr>
            <w:r>
              <w:rPr>
                <w:w w:val="95"/>
                <w:sz w:val="20"/>
              </w:rPr>
              <w:t>95.5</w:t>
            </w:r>
          </w:p>
        </w:tc>
        <w:tc>
          <w:tcPr>
            <w:tcW w:w="739" w:type="dxa"/>
            <w:tcBorders>
              <w:top w:val="single" w:sz="6" w:space="0" w:color="000000"/>
              <w:bottom w:val="single" w:sz="6" w:space="0" w:color="000000"/>
              <w:right w:val="single" w:sz="6" w:space="0" w:color="000000"/>
            </w:tcBorders>
          </w:tcPr>
          <w:p>
            <w:pPr>
              <w:pStyle w:val="TableParagraph"/>
              <w:spacing w:before="11"/>
              <w:rPr>
                <w:sz w:val="33"/>
              </w:rPr>
            </w:pPr>
          </w:p>
          <w:p>
            <w:pPr>
              <w:pStyle w:val="TableParagraph"/>
              <w:spacing w:before="1"/>
              <w:ind w:right="64"/>
              <w:jc w:val="right"/>
              <w:rPr>
                <w:sz w:val="20"/>
              </w:rPr>
            </w:pPr>
            <w:r>
              <w:rPr>
                <w:sz w:val="20"/>
              </w:rPr>
              <w:t>148.5</w:t>
            </w:r>
          </w:p>
        </w:tc>
        <w:tc>
          <w:tcPr>
            <w:tcW w:w="741" w:type="dxa"/>
            <w:tcBorders>
              <w:top w:val="single" w:sz="6" w:space="0" w:color="000000"/>
              <w:left w:val="single" w:sz="6" w:space="0" w:color="000000"/>
              <w:bottom w:val="single" w:sz="6" w:space="0" w:color="000000"/>
            </w:tcBorders>
          </w:tcPr>
          <w:p>
            <w:pPr>
              <w:pStyle w:val="TableParagraph"/>
              <w:spacing w:before="11"/>
              <w:rPr>
                <w:sz w:val="33"/>
              </w:rPr>
            </w:pPr>
          </w:p>
          <w:p>
            <w:pPr>
              <w:pStyle w:val="TableParagraph"/>
              <w:spacing w:before="1"/>
              <w:ind w:right="65"/>
              <w:jc w:val="right"/>
              <w:rPr>
                <w:sz w:val="20"/>
              </w:rPr>
            </w:pPr>
            <w:r>
              <w:rPr>
                <w:sz w:val="20"/>
              </w:rPr>
              <w:t>100.0</w:t>
            </w:r>
          </w:p>
        </w:tc>
        <w:tc>
          <w:tcPr>
            <w:tcW w:w="738" w:type="dxa"/>
            <w:tcBorders>
              <w:top w:val="single" w:sz="6" w:space="0" w:color="000000"/>
              <w:bottom w:val="single" w:sz="6" w:space="0" w:color="000000"/>
            </w:tcBorders>
          </w:tcPr>
          <w:p>
            <w:pPr>
              <w:pStyle w:val="TableParagraph"/>
              <w:spacing w:before="11"/>
              <w:rPr>
                <w:sz w:val="33"/>
              </w:rPr>
            </w:pPr>
          </w:p>
          <w:p>
            <w:pPr>
              <w:pStyle w:val="TableParagraph"/>
              <w:spacing w:before="1"/>
              <w:ind w:right="64"/>
              <w:jc w:val="right"/>
              <w:rPr>
                <w:sz w:val="20"/>
              </w:rPr>
            </w:pPr>
            <w:r>
              <w:rPr>
                <w:w w:val="95"/>
                <w:sz w:val="20"/>
              </w:rPr>
              <w:t>70.0</w:t>
            </w:r>
          </w:p>
        </w:tc>
        <w:tc>
          <w:tcPr>
            <w:tcW w:w="740" w:type="dxa"/>
            <w:tcBorders>
              <w:top w:val="single" w:sz="6" w:space="0" w:color="000000"/>
              <w:bottom w:val="single" w:sz="6" w:space="0" w:color="000000"/>
            </w:tcBorders>
          </w:tcPr>
          <w:p>
            <w:pPr>
              <w:pStyle w:val="TableParagraph"/>
              <w:spacing w:before="11"/>
              <w:rPr>
                <w:sz w:val="33"/>
              </w:rPr>
            </w:pPr>
          </w:p>
          <w:p>
            <w:pPr>
              <w:pStyle w:val="TableParagraph"/>
              <w:spacing w:before="1"/>
              <w:ind w:right="63"/>
              <w:jc w:val="right"/>
              <w:rPr>
                <w:sz w:val="20"/>
              </w:rPr>
            </w:pPr>
            <w:r>
              <w:rPr>
                <w:sz w:val="20"/>
              </w:rPr>
              <w:t>1.0</w:t>
            </w:r>
          </w:p>
        </w:tc>
        <w:tc>
          <w:tcPr>
            <w:tcW w:w="659" w:type="dxa"/>
            <w:tcBorders>
              <w:top w:val="single" w:sz="6" w:space="0" w:color="000000"/>
              <w:bottom w:val="single" w:sz="6" w:space="0" w:color="000000"/>
            </w:tcBorders>
          </w:tcPr>
          <w:p>
            <w:pPr>
              <w:pStyle w:val="TableParagraph"/>
              <w:spacing w:before="11"/>
              <w:rPr>
                <w:sz w:val="33"/>
              </w:rPr>
            </w:pPr>
          </w:p>
          <w:p>
            <w:pPr>
              <w:pStyle w:val="TableParagraph"/>
              <w:spacing w:before="1"/>
              <w:ind w:right="64"/>
              <w:jc w:val="right"/>
              <w:rPr>
                <w:sz w:val="20"/>
              </w:rPr>
            </w:pPr>
            <w:r>
              <w:rPr>
                <w:sz w:val="20"/>
              </w:rPr>
              <w:t>0.0</w:t>
            </w:r>
          </w:p>
        </w:tc>
        <w:tc>
          <w:tcPr>
            <w:tcW w:w="606" w:type="dxa"/>
            <w:tcBorders>
              <w:top w:val="single" w:sz="6" w:space="0" w:color="000000"/>
              <w:bottom w:val="single" w:sz="6" w:space="0" w:color="000000"/>
            </w:tcBorders>
          </w:tcPr>
          <w:p>
            <w:pPr>
              <w:pStyle w:val="TableParagraph"/>
              <w:spacing w:before="11"/>
              <w:rPr>
                <w:sz w:val="33"/>
              </w:rPr>
            </w:pPr>
          </w:p>
          <w:p>
            <w:pPr>
              <w:pStyle w:val="TableParagraph"/>
              <w:spacing w:before="1"/>
              <w:ind w:right="60"/>
              <w:jc w:val="right"/>
              <w:rPr>
                <w:sz w:val="20"/>
              </w:rPr>
            </w:pPr>
            <w:r>
              <w:rPr>
                <w:sz w:val="20"/>
              </w:rPr>
              <w:t>0.0</w:t>
            </w:r>
          </w:p>
        </w:tc>
        <w:tc>
          <w:tcPr>
            <w:tcW w:w="875" w:type="dxa"/>
            <w:tcBorders>
              <w:top w:val="single" w:sz="6" w:space="0" w:color="000000"/>
              <w:bottom w:val="single" w:sz="6" w:space="0" w:color="000000"/>
            </w:tcBorders>
          </w:tcPr>
          <w:p>
            <w:pPr>
              <w:pStyle w:val="TableParagraph"/>
              <w:spacing w:before="11"/>
              <w:rPr>
                <w:sz w:val="33"/>
              </w:rPr>
            </w:pPr>
          </w:p>
          <w:p>
            <w:pPr>
              <w:pStyle w:val="TableParagraph"/>
              <w:spacing w:before="1"/>
              <w:ind w:right="61"/>
              <w:jc w:val="right"/>
              <w:rPr>
                <w:sz w:val="20"/>
              </w:rPr>
            </w:pPr>
            <w:r>
              <w:rPr>
                <w:sz w:val="20"/>
              </w:rPr>
              <w:t>795.6</w:t>
            </w:r>
          </w:p>
        </w:tc>
      </w:tr>
      <w:tr>
        <w:trPr>
          <w:trHeight w:val="736" w:hRule="atLeast"/>
        </w:trPr>
        <w:tc>
          <w:tcPr>
            <w:tcW w:w="362" w:type="dxa"/>
            <w:tcBorders>
              <w:top w:val="single" w:sz="6" w:space="0" w:color="000000"/>
              <w:bottom w:val="single" w:sz="6" w:space="0" w:color="000000"/>
            </w:tcBorders>
            <w:shd w:val="clear" w:color="auto" w:fill="D7E3BB"/>
          </w:tcPr>
          <w:p>
            <w:pPr>
              <w:pStyle w:val="TableParagraph"/>
              <w:spacing w:before="11"/>
              <w:rPr>
                <w:sz w:val="33"/>
              </w:rPr>
            </w:pPr>
          </w:p>
          <w:p>
            <w:pPr>
              <w:pStyle w:val="TableParagraph"/>
              <w:spacing w:before="1"/>
              <w:ind w:right="67"/>
              <w:jc w:val="right"/>
              <w:rPr>
                <w:sz w:val="20"/>
              </w:rPr>
            </w:pPr>
            <w:r>
              <w:rPr>
                <w:color w:val="4F6128"/>
                <w:w w:val="99"/>
                <w:sz w:val="20"/>
              </w:rPr>
              <w:t>4</w:t>
            </w:r>
          </w:p>
        </w:tc>
        <w:tc>
          <w:tcPr>
            <w:tcW w:w="636" w:type="dxa"/>
            <w:tcBorders>
              <w:top w:val="single" w:sz="6" w:space="0" w:color="000000"/>
              <w:bottom w:val="single" w:sz="6" w:space="0" w:color="000000"/>
            </w:tcBorders>
          </w:tcPr>
          <w:p>
            <w:pPr>
              <w:pStyle w:val="TableParagraph"/>
              <w:spacing w:before="11"/>
              <w:rPr>
                <w:sz w:val="33"/>
              </w:rPr>
            </w:pPr>
          </w:p>
          <w:p>
            <w:pPr>
              <w:pStyle w:val="TableParagraph"/>
              <w:spacing w:before="1"/>
              <w:ind w:right="71"/>
              <w:jc w:val="right"/>
              <w:rPr>
                <w:sz w:val="20"/>
              </w:rPr>
            </w:pPr>
            <w:r>
              <w:rPr>
                <w:w w:val="95"/>
                <w:sz w:val="20"/>
              </w:rPr>
              <w:t>23.8</w:t>
            </w:r>
          </w:p>
        </w:tc>
        <w:tc>
          <w:tcPr>
            <w:tcW w:w="607" w:type="dxa"/>
            <w:tcBorders>
              <w:top w:val="single" w:sz="6" w:space="0" w:color="000000"/>
              <w:bottom w:val="single" w:sz="6" w:space="0" w:color="000000"/>
            </w:tcBorders>
          </w:tcPr>
          <w:p>
            <w:pPr>
              <w:pStyle w:val="TableParagraph"/>
              <w:spacing w:before="11"/>
              <w:rPr>
                <w:sz w:val="33"/>
              </w:rPr>
            </w:pPr>
          </w:p>
          <w:p>
            <w:pPr>
              <w:pStyle w:val="TableParagraph"/>
              <w:spacing w:before="1"/>
              <w:ind w:right="69"/>
              <w:jc w:val="right"/>
              <w:rPr>
                <w:sz w:val="20"/>
              </w:rPr>
            </w:pPr>
            <w:r>
              <w:rPr>
                <w:w w:val="95"/>
                <w:sz w:val="20"/>
              </w:rPr>
              <w:t>21.8</w:t>
            </w:r>
          </w:p>
        </w:tc>
        <w:tc>
          <w:tcPr>
            <w:tcW w:w="674" w:type="dxa"/>
            <w:tcBorders>
              <w:top w:val="single" w:sz="6" w:space="0" w:color="000000"/>
              <w:bottom w:val="single" w:sz="6" w:space="0" w:color="000000"/>
            </w:tcBorders>
          </w:tcPr>
          <w:p>
            <w:pPr>
              <w:pStyle w:val="TableParagraph"/>
              <w:spacing w:before="11"/>
              <w:rPr>
                <w:sz w:val="33"/>
              </w:rPr>
            </w:pPr>
          </w:p>
          <w:p>
            <w:pPr>
              <w:pStyle w:val="TableParagraph"/>
              <w:spacing w:before="1"/>
              <w:ind w:right="71"/>
              <w:jc w:val="right"/>
              <w:rPr>
                <w:sz w:val="20"/>
              </w:rPr>
            </w:pPr>
            <w:r>
              <w:rPr>
                <w:w w:val="95"/>
                <w:sz w:val="20"/>
              </w:rPr>
              <w:t>25.2</w:t>
            </w:r>
          </w:p>
        </w:tc>
        <w:tc>
          <w:tcPr>
            <w:tcW w:w="739" w:type="dxa"/>
            <w:tcBorders>
              <w:top w:val="single" w:sz="6" w:space="0" w:color="000000"/>
              <w:bottom w:val="single" w:sz="6" w:space="0" w:color="000000"/>
            </w:tcBorders>
          </w:tcPr>
          <w:p>
            <w:pPr>
              <w:pStyle w:val="TableParagraph"/>
              <w:spacing w:before="11"/>
              <w:rPr>
                <w:sz w:val="33"/>
              </w:rPr>
            </w:pPr>
          </w:p>
          <w:p>
            <w:pPr>
              <w:pStyle w:val="TableParagraph"/>
              <w:spacing w:before="1"/>
              <w:ind w:right="68"/>
              <w:jc w:val="right"/>
              <w:rPr>
                <w:sz w:val="20"/>
              </w:rPr>
            </w:pPr>
            <w:r>
              <w:rPr>
                <w:w w:val="95"/>
                <w:sz w:val="20"/>
              </w:rPr>
              <w:t>22.2</w:t>
            </w:r>
          </w:p>
        </w:tc>
        <w:tc>
          <w:tcPr>
            <w:tcW w:w="741" w:type="dxa"/>
            <w:tcBorders>
              <w:top w:val="single" w:sz="6" w:space="0" w:color="000000"/>
              <w:bottom w:val="single" w:sz="6" w:space="0" w:color="000000"/>
            </w:tcBorders>
          </w:tcPr>
          <w:p>
            <w:pPr>
              <w:pStyle w:val="TableParagraph"/>
              <w:spacing w:before="11"/>
              <w:rPr>
                <w:sz w:val="33"/>
              </w:rPr>
            </w:pPr>
          </w:p>
          <w:p>
            <w:pPr>
              <w:pStyle w:val="TableParagraph"/>
              <w:spacing w:before="1"/>
              <w:ind w:right="67"/>
              <w:jc w:val="right"/>
              <w:rPr>
                <w:sz w:val="20"/>
              </w:rPr>
            </w:pPr>
            <w:r>
              <w:rPr>
                <w:w w:val="95"/>
                <w:sz w:val="20"/>
              </w:rPr>
              <w:t>22.6</w:t>
            </w:r>
          </w:p>
        </w:tc>
        <w:tc>
          <w:tcPr>
            <w:tcW w:w="741" w:type="dxa"/>
            <w:tcBorders>
              <w:top w:val="single" w:sz="6" w:space="0" w:color="000000"/>
              <w:bottom w:val="single" w:sz="6" w:space="0" w:color="000000"/>
            </w:tcBorders>
          </w:tcPr>
          <w:p>
            <w:pPr>
              <w:pStyle w:val="TableParagraph"/>
              <w:spacing w:before="11"/>
              <w:rPr>
                <w:sz w:val="33"/>
              </w:rPr>
            </w:pPr>
          </w:p>
          <w:p>
            <w:pPr>
              <w:pStyle w:val="TableParagraph"/>
              <w:spacing w:before="1"/>
              <w:ind w:right="66"/>
              <w:jc w:val="right"/>
              <w:rPr>
                <w:sz w:val="20"/>
              </w:rPr>
            </w:pPr>
            <w:r>
              <w:rPr>
                <w:w w:val="95"/>
                <w:sz w:val="20"/>
              </w:rPr>
              <w:t>13.0</w:t>
            </w:r>
          </w:p>
        </w:tc>
        <w:tc>
          <w:tcPr>
            <w:tcW w:w="739" w:type="dxa"/>
            <w:tcBorders>
              <w:top w:val="single" w:sz="6" w:space="0" w:color="000000"/>
              <w:bottom w:val="single" w:sz="6" w:space="0" w:color="000000"/>
              <w:right w:val="single" w:sz="6" w:space="0" w:color="000000"/>
            </w:tcBorders>
          </w:tcPr>
          <w:p>
            <w:pPr>
              <w:pStyle w:val="TableParagraph"/>
              <w:spacing w:before="11"/>
              <w:rPr>
                <w:sz w:val="33"/>
              </w:rPr>
            </w:pPr>
          </w:p>
          <w:p>
            <w:pPr>
              <w:pStyle w:val="TableParagraph"/>
              <w:spacing w:before="1"/>
              <w:ind w:right="64"/>
              <w:jc w:val="right"/>
              <w:rPr>
                <w:sz w:val="20"/>
              </w:rPr>
            </w:pPr>
            <w:r>
              <w:rPr>
                <w:w w:val="95"/>
                <w:sz w:val="20"/>
              </w:rPr>
              <w:t>13.0</w:t>
            </w:r>
          </w:p>
        </w:tc>
        <w:tc>
          <w:tcPr>
            <w:tcW w:w="741" w:type="dxa"/>
            <w:tcBorders>
              <w:top w:val="single" w:sz="6" w:space="0" w:color="000000"/>
              <w:left w:val="single" w:sz="6" w:space="0" w:color="000000"/>
              <w:bottom w:val="single" w:sz="6" w:space="0" w:color="000000"/>
            </w:tcBorders>
          </w:tcPr>
          <w:p>
            <w:pPr>
              <w:pStyle w:val="TableParagraph"/>
              <w:spacing w:before="11"/>
              <w:rPr>
                <w:sz w:val="33"/>
              </w:rPr>
            </w:pPr>
          </w:p>
          <w:p>
            <w:pPr>
              <w:pStyle w:val="TableParagraph"/>
              <w:spacing w:before="1"/>
              <w:ind w:right="65"/>
              <w:jc w:val="right"/>
              <w:rPr>
                <w:sz w:val="20"/>
              </w:rPr>
            </w:pPr>
            <w:r>
              <w:rPr>
                <w:w w:val="95"/>
                <w:sz w:val="20"/>
              </w:rPr>
              <w:t>14.8</w:t>
            </w:r>
          </w:p>
        </w:tc>
        <w:tc>
          <w:tcPr>
            <w:tcW w:w="738" w:type="dxa"/>
            <w:tcBorders>
              <w:top w:val="single" w:sz="6" w:space="0" w:color="000000"/>
              <w:bottom w:val="single" w:sz="6" w:space="0" w:color="000000"/>
            </w:tcBorders>
          </w:tcPr>
          <w:p>
            <w:pPr>
              <w:pStyle w:val="TableParagraph"/>
              <w:spacing w:before="11"/>
              <w:rPr>
                <w:sz w:val="33"/>
              </w:rPr>
            </w:pPr>
          </w:p>
          <w:p>
            <w:pPr>
              <w:pStyle w:val="TableParagraph"/>
              <w:spacing w:before="1"/>
              <w:ind w:right="64"/>
              <w:jc w:val="right"/>
              <w:rPr>
                <w:sz w:val="20"/>
              </w:rPr>
            </w:pPr>
            <w:r>
              <w:rPr>
                <w:w w:val="95"/>
                <w:sz w:val="20"/>
              </w:rPr>
              <w:t>16.5</w:t>
            </w:r>
          </w:p>
        </w:tc>
        <w:tc>
          <w:tcPr>
            <w:tcW w:w="740" w:type="dxa"/>
            <w:tcBorders>
              <w:top w:val="single" w:sz="6" w:space="0" w:color="000000"/>
              <w:bottom w:val="single" w:sz="6" w:space="0" w:color="000000"/>
            </w:tcBorders>
          </w:tcPr>
          <w:p>
            <w:pPr>
              <w:pStyle w:val="TableParagraph"/>
              <w:spacing w:before="11"/>
              <w:rPr>
                <w:sz w:val="33"/>
              </w:rPr>
            </w:pPr>
          </w:p>
          <w:p>
            <w:pPr>
              <w:pStyle w:val="TableParagraph"/>
              <w:spacing w:before="1"/>
              <w:ind w:right="62"/>
              <w:jc w:val="right"/>
              <w:rPr>
                <w:sz w:val="20"/>
              </w:rPr>
            </w:pPr>
            <w:r>
              <w:rPr>
                <w:w w:val="95"/>
                <w:sz w:val="20"/>
              </w:rPr>
              <w:t>24.6</w:t>
            </w:r>
          </w:p>
        </w:tc>
        <w:tc>
          <w:tcPr>
            <w:tcW w:w="659" w:type="dxa"/>
            <w:tcBorders>
              <w:top w:val="single" w:sz="6" w:space="0" w:color="000000"/>
              <w:bottom w:val="single" w:sz="6" w:space="0" w:color="000000"/>
            </w:tcBorders>
          </w:tcPr>
          <w:p>
            <w:pPr>
              <w:pStyle w:val="TableParagraph"/>
              <w:spacing w:before="11"/>
              <w:rPr>
                <w:sz w:val="33"/>
              </w:rPr>
            </w:pPr>
          </w:p>
          <w:p>
            <w:pPr>
              <w:pStyle w:val="TableParagraph"/>
              <w:spacing w:before="1"/>
              <w:ind w:right="64"/>
              <w:jc w:val="right"/>
              <w:rPr>
                <w:sz w:val="20"/>
              </w:rPr>
            </w:pPr>
            <w:r>
              <w:rPr>
                <w:w w:val="95"/>
                <w:sz w:val="20"/>
              </w:rPr>
              <w:t>25.6</w:t>
            </w:r>
          </w:p>
        </w:tc>
        <w:tc>
          <w:tcPr>
            <w:tcW w:w="606" w:type="dxa"/>
            <w:tcBorders>
              <w:top w:val="single" w:sz="6" w:space="0" w:color="000000"/>
              <w:bottom w:val="single" w:sz="6" w:space="0" w:color="000000"/>
            </w:tcBorders>
          </w:tcPr>
          <w:p>
            <w:pPr>
              <w:pStyle w:val="TableParagraph"/>
              <w:spacing w:before="11"/>
              <w:rPr>
                <w:sz w:val="33"/>
              </w:rPr>
            </w:pPr>
          </w:p>
          <w:p>
            <w:pPr>
              <w:pStyle w:val="TableParagraph"/>
              <w:spacing w:before="1"/>
              <w:ind w:right="60"/>
              <w:jc w:val="right"/>
              <w:rPr>
                <w:sz w:val="20"/>
              </w:rPr>
            </w:pPr>
            <w:r>
              <w:rPr>
                <w:w w:val="95"/>
                <w:sz w:val="20"/>
              </w:rPr>
              <w:t>21.9</w:t>
            </w:r>
          </w:p>
        </w:tc>
        <w:tc>
          <w:tcPr>
            <w:tcW w:w="875" w:type="dxa"/>
            <w:tcBorders>
              <w:top w:val="single" w:sz="6" w:space="0" w:color="000000"/>
              <w:bottom w:val="single" w:sz="6" w:space="0" w:color="000000"/>
            </w:tcBorders>
          </w:tcPr>
          <w:p>
            <w:pPr>
              <w:pStyle w:val="TableParagraph"/>
              <w:spacing w:before="11"/>
              <w:rPr>
                <w:sz w:val="33"/>
              </w:rPr>
            </w:pPr>
          </w:p>
          <w:p>
            <w:pPr>
              <w:pStyle w:val="TableParagraph"/>
              <w:spacing w:before="1"/>
              <w:ind w:right="61"/>
              <w:jc w:val="right"/>
              <w:rPr>
                <w:sz w:val="20"/>
              </w:rPr>
            </w:pPr>
            <w:r>
              <w:rPr>
                <w:sz w:val="20"/>
              </w:rPr>
              <w:t>245.0</w:t>
            </w:r>
          </w:p>
        </w:tc>
      </w:tr>
    </w:tbl>
    <w:p>
      <w:pPr>
        <w:spacing w:after="0"/>
        <w:jc w:val="right"/>
        <w:rPr>
          <w:sz w:val="20"/>
        </w:rPr>
        <w:sectPr>
          <w:pgSz w:w="12240" w:h="15840"/>
          <w:pgMar w:header="178" w:footer="1076" w:top="1120" w:bottom="1360" w:left="460" w:right="220"/>
        </w:sectPr>
      </w:pPr>
    </w:p>
    <w:p>
      <w:pPr>
        <w:pStyle w:val="BodyText"/>
        <w:rPr>
          <w:sz w:val="20"/>
        </w:rPr>
      </w:pPr>
    </w:p>
    <w:p>
      <w:pPr>
        <w:pStyle w:val="BodyText"/>
        <w:spacing w:before="1"/>
        <w:rPr>
          <w:sz w:val="21"/>
        </w:rPr>
      </w:pPr>
    </w:p>
    <w:tbl>
      <w:tblPr>
        <w:tblW w:w="0" w:type="auto"/>
        <w:jc w:val="left"/>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
        <w:gridCol w:w="636"/>
        <w:gridCol w:w="607"/>
        <w:gridCol w:w="674"/>
        <w:gridCol w:w="739"/>
        <w:gridCol w:w="741"/>
        <w:gridCol w:w="741"/>
        <w:gridCol w:w="739"/>
        <w:gridCol w:w="741"/>
        <w:gridCol w:w="738"/>
        <w:gridCol w:w="740"/>
        <w:gridCol w:w="659"/>
        <w:gridCol w:w="606"/>
        <w:gridCol w:w="875"/>
      </w:tblGrid>
      <w:tr>
        <w:trPr>
          <w:trHeight w:val="737" w:hRule="atLeast"/>
        </w:trPr>
        <w:tc>
          <w:tcPr>
            <w:tcW w:w="362" w:type="dxa"/>
            <w:tcBorders>
              <w:bottom w:val="single" w:sz="6" w:space="0" w:color="000000"/>
            </w:tcBorders>
            <w:shd w:val="clear" w:color="auto" w:fill="D7E3BB"/>
          </w:tcPr>
          <w:p>
            <w:pPr>
              <w:pStyle w:val="TableParagraph"/>
              <w:rPr>
                <w:sz w:val="34"/>
              </w:rPr>
            </w:pPr>
          </w:p>
          <w:p>
            <w:pPr>
              <w:pStyle w:val="TableParagraph"/>
              <w:spacing w:before="1"/>
              <w:ind w:left="103"/>
              <w:jc w:val="center"/>
              <w:rPr>
                <w:sz w:val="20"/>
              </w:rPr>
            </w:pPr>
            <w:r>
              <w:rPr>
                <w:color w:val="4F6128"/>
                <w:w w:val="99"/>
                <w:sz w:val="20"/>
              </w:rPr>
              <w:t>5</w:t>
            </w:r>
          </w:p>
        </w:tc>
        <w:tc>
          <w:tcPr>
            <w:tcW w:w="636" w:type="dxa"/>
            <w:tcBorders>
              <w:bottom w:val="single" w:sz="6" w:space="0" w:color="000000"/>
            </w:tcBorders>
          </w:tcPr>
          <w:p>
            <w:pPr>
              <w:pStyle w:val="TableParagraph"/>
              <w:rPr>
                <w:sz w:val="34"/>
              </w:rPr>
            </w:pPr>
          </w:p>
          <w:p>
            <w:pPr>
              <w:pStyle w:val="TableParagraph"/>
              <w:spacing w:before="1"/>
              <w:ind w:right="115"/>
              <w:jc w:val="right"/>
              <w:rPr>
                <w:sz w:val="20"/>
              </w:rPr>
            </w:pPr>
            <w:r>
              <w:rPr>
                <w:w w:val="95"/>
                <w:sz w:val="20"/>
              </w:rPr>
              <w:t>SE-3</w:t>
            </w:r>
          </w:p>
        </w:tc>
        <w:tc>
          <w:tcPr>
            <w:tcW w:w="607" w:type="dxa"/>
            <w:tcBorders>
              <w:bottom w:val="single" w:sz="6" w:space="0" w:color="000000"/>
            </w:tcBorders>
          </w:tcPr>
          <w:p>
            <w:pPr>
              <w:pStyle w:val="TableParagraph"/>
              <w:rPr>
                <w:sz w:val="34"/>
              </w:rPr>
            </w:pPr>
          </w:p>
          <w:p>
            <w:pPr>
              <w:pStyle w:val="TableParagraph"/>
              <w:spacing w:before="1"/>
              <w:ind w:right="100"/>
              <w:jc w:val="right"/>
              <w:rPr>
                <w:sz w:val="20"/>
              </w:rPr>
            </w:pPr>
            <w:r>
              <w:rPr>
                <w:w w:val="95"/>
                <w:sz w:val="20"/>
              </w:rPr>
              <w:t>SE-3</w:t>
            </w:r>
          </w:p>
        </w:tc>
        <w:tc>
          <w:tcPr>
            <w:tcW w:w="674" w:type="dxa"/>
            <w:tcBorders>
              <w:bottom w:val="single" w:sz="6" w:space="0" w:color="000000"/>
            </w:tcBorders>
          </w:tcPr>
          <w:p>
            <w:pPr>
              <w:pStyle w:val="TableParagraph"/>
              <w:rPr>
                <w:sz w:val="34"/>
              </w:rPr>
            </w:pPr>
          </w:p>
          <w:p>
            <w:pPr>
              <w:pStyle w:val="TableParagraph"/>
              <w:spacing w:before="1"/>
              <w:ind w:left="144"/>
              <w:rPr>
                <w:sz w:val="20"/>
              </w:rPr>
            </w:pPr>
            <w:r>
              <w:rPr>
                <w:sz w:val="20"/>
              </w:rPr>
              <w:t>SE-3</w:t>
            </w:r>
          </w:p>
        </w:tc>
        <w:tc>
          <w:tcPr>
            <w:tcW w:w="739" w:type="dxa"/>
            <w:tcBorders>
              <w:bottom w:val="single" w:sz="6" w:space="0" w:color="000000"/>
            </w:tcBorders>
          </w:tcPr>
          <w:p>
            <w:pPr>
              <w:pStyle w:val="TableParagraph"/>
              <w:rPr>
                <w:sz w:val="34"/>
              </w:rPr>
            </w:pPr>
          </w:p>
          <w:p>
            <w:pPr>
              <w:pStyle w:val="TableParagraph"/>
              <w:spacing w:before="1"/>
              <w:ind w:left="178"/>
              <w:rPr>
                <w:sz w:val="20"/>
              </w:rPr>
            </w:pPr>
            <w:r>
              <w:rPr>
                <w:sz w:val="20"/>
              </w:rPr>
              <w:t>SE-3</w:t>
            </w:r>
          </w:p>
        </w:tc>
        <w:tc>
          <w:tcPr>
            <w:tcW w:w="741" w:type="dxa"/>
            <w:tcBorders>
              <w:bottom w:val="single" w:sz="6" w:space="0" w:color="000000"/>
            </w:tcBorders>
          </w:tcPr>
          <w:p>
            <w:pPr>
              <w:pStyle w:val="TableParagraph"/>
              <w:rPr>
                <w:sz w:val="34"/>
              </w:rPr>
            </w:pPr>
          </w:p>
          <w:p>
            <w:pPr>
              <w:pStyle w:val="TableParagraph"/>
              <w:spacing w:before="1"/>
              <w:ind w:left="181"/>
              <w:rPr>
                <w:sz w:val="20"/>
              </w:rPr>
            </w:pPr>
            <w:r>
              <w:rPr>
                <w:sz w:val="20"/>
              </w:rPr>
              <w:t>SE-3</w:t>
            </w:r>
          </w:p>
        </w:tc>
        <w:tc>
          <w:tcPr>
            <w:tcW w:w="741" w:type="dxa"/>
            <w:tcBorders>
              <w:bottom w:val="single" w:sz="6" w:space="0" w:color="000000"/>
            </w:tcBorders>
          </w:tcPr>
          <w:p>
            <w:pPr>
              <w:pStyle w:val="TableParagraph"/>
              <w:rPr>
                <w:sz w:val="34"/>
              </w:rPr>
            </w:pPr>
          </w:p>
          <w:p>
            <w:pPr>
              <w:pStyle w:val="TableParagraph"/>
              <w:spacing w:before="1"/>
              <w:ind w:left="182"/>
              <w:rPr>
                <w:sz w:val="20"/>
              </w:rPr>
            </w:pPr>
            <w:r>
              <w:rPr>
                <w:sz w:val="20"/>
              </w:rPr>
              <w:t>SE-3</w:t>
            </w:r>
          </w:p>
        </w:tc>
        <w:tc>
          <w:tcPr>
            <w:tcW w:w="739" w:type="dxa"/>
            <w:tcBorders>
              <w:bottom w:val="single" w:sz="6" w:space="0" w:color="000000"/>
              <w:right w:val="single" w:sz="6" w:space="0" w:color="000000"/>
            </w:tcBorders>
          </w:tcPr>
          <w:p>
            <w:pPr>
              <w:pStyle w:val="TableParagraph"/>
              <w:rPr>
                <w:sz w:val="34"/>
              </w:rPr>
            </w:pPr>
          </w:p>
          <w:p>
            <w:pPr>
              <w:pStyle w:val="TableParagraph"/>
              <w:spacing w:before="1"/>
              <w:ind w:left="180"/>
              <w:rPr>
                <w:sz w:val="20"/>
              </w:rPr>
            </w:pPr>
            <w:r>
              <w:rPr>
                <w:sz w:val="20"/>
              </w:rPr>
              <w:t>SE-3</w:t>
            </w:r>
          </w:p>
        </w:tc>
        <w:tc>
          <w:tcPr>
            <w:tcW w:w="741" w:type="dxa"/>
            <w:tcBorders>
              <w:left w:val="single" w:sz="6" w:space="0" w:color="000000"/>
              <w:bottom w:val="single" w:sz="6" w:space="0" w:color="000000"/>
            </w:tcBorders>
          </w:tcPr>
          <w:p>
            <w:pPr>
              <w:pStyle w:val="TableParagraph"/>
              <w:rPr>
                <w:sz w:val="34"/>
              </w:rPr>
            </w:pPr>
          </w:p>
          <w:p>
            <w:pPr>
              <w:pStyle w:val="TableParagraph"/>
              <w:spacing w:before="1"/>
              <w:ind w:left="180"/>
              <w:rPr>
                <w:sz w:val="20"/>
              </w:rPr>
            </w:pPr>
            <w:r>
              <w:rPr>
                <w:sz w:val="20"/>
              </w:rPr>
              <w:t>SE-3</w:t>
            </w:r>
          </w:p>
        </w:tc>
        <w:tc>
          <w:tcPr>
            <w:tcW w:w="738" w:type="dxa"/>
            <w:tcBorders>
              <w:bottom w:val="single" w:sz="6" w:space="0" w:color="000000"/>
            </w:tcBorders>
          </w:tcPr>
          <w:p>
            <w:pPr>
              <w:pStyle w:val="TableParagraph"/>
              <w:rPr>
                <w:sz w:val="34"/>
              </w:rPr>
            </w:pPr>
          </w:p>
          <w:p>
            <w:pPr>
              <w:pStyle w:val="TableParagraph"/>
              <w:spacing w:before="1"/>
              <w:ind w:left="181"/>
              <w:rPr>
                <w:sz w:val="20"/>
              </w:rPr>
            </w:pPr>
            <w:r>
              <w:rPr>
                <w:sz w:val="20"/>
              </w:rPr>
              <w:t>SE-3</w:t>
            </w:r>
          </w:p>
        </w:tc>
        <w:tc>
          <w:tcPr>
            <w:tcW w:w="740" w:type="dxa"/>
            <w:tcBorders>
              <w:bottom w:val="single" w:sz="6" w:space="0" w:color="000000"/>
            </w:tcBorders>
          </w:tcPr>
          <w:p>
            <w:pPr>
              <w:pStyle w:val="TableParagraph"/>
              <w:rPr>
                <w:sz w:val="34"/>
              </w:rPr>
            </w:pPr>
          </w:p>
          <w:p>
            <w:pPr>
              <w:pStyle w:val="TableParagraph"/>
              <w:spacing w:before="1"/>
              <w:ind w:left="185"/>
              <w:rPr>
                <w:sz w:val="20"/>
              </w:rPr>
            </w:pPr>
            <w:r>
              <w:rPr>
                <w:sz w:val="20"/>
              </w:rPr>
              <w:t>SE-3</w:t>
            </w:r>
          </w:p>
        </w:tc>
        <w:tc>
          <w:tcPr>
            <w:tcW w:w="659" w:type="dxa"/>
            <w:tcBorders>
              <w:bottom w:val="single" w:sz="6" w:space="0" w:color="000000"/>
            </w:tcBorders>
          </w:tcPr>
          <w:p>
            <w:pPr>
              <w:pStyle w:val="TableParagraph"/>
              <w:rPr>
                <w:sz w:val="34"/>
              </w:rPr>
            </w:pPr>
          </w:p>
          <w:p>
            <w:pPr>
              <w:pStyle w:val="TableParagraph"/>
              <w:spacing w:before="1"/>
              <w:ind w:right="119"/>
              <w:jc w:val="right"/>
              <w:rPr>
                <w:sz w:val="20"/>
              </w:rPr>
            </w:pPr>
            <w:r>
              <w:rPr>
                <w:w w:val="95"/>
                <w:sz w:val="20"/>
              </w:rPr>
              <w:t>SE-3</w:t>
            </w:r>
          </w:p>
        </w:tc>
        <w:tc>
          <w:tcPr>
            <w:tcW w:w="606" w:type="dxa"/>
            <w:tcBorders>
              <w:bottom w:val="single" w:sz="6" w:space="0" w:color="000000"/>
            </w:tcBorders>
          </w:tcPr>
          <w:p>
            <w:pPr>
              <w:pStyle w:val="TableParagraph"/>
              <w:rPr>
                <w:sz w:val="34"/>
              </w:rPr>
            </w:pPr>
          </w:p>
          <w:p>
            <w:pPr>
              <w:pStyle w:val="TableParagraph"/>
              <w:spacing w:before="1"/>
              <w:ind w:left="65" w:right="40"/>
              <w:jc w:val="center"/>
              <w:rPr>
                <w:sz w:val="20"/>
              </w:rPr>
            </w:pPr>
            <w:r>
              <w:rPr>
                <w:sz w:val="20"/>
              </w:rPr>
              <w:t>SE-3</w:t>
            </w:r>
          </w:p>
        </w:tc>
        <w:tc>
          <w:tcPr>
            <w:tcW w:w="875" w:type="dxa"/>
            <w:tcBorders>
              <w:bottom w:val="single" w:sz="6" w:space="0" w:color="000000"/>
            </w:tcBorders>
          </w:tcPr>
          <w:p>
            <w:pPr>
              <w:pStyle w:val="TableParagraph"/>
              <w:rPr>
                <w:sz w:val="34"/>
              </w:rPr>
            </w:pPr>
          </w:p>
          <w:p>
            <w:pPr>
              <w:pStyle w:val="TableParagraph"/>
              <w:spacing w:before="1"/>
              <w:ind w:left="254"/>
              <w:rPr>
                <w:sz w:val="20"/>
              </w:rPr>
            </w:pPr>
            <w:r>
              <w:rPr>
                <w:sz w:val="20"/>
              </w:rPr>
              <w:t>SE-3</w:t>
            </w:r>
          </w:p>
        </w:tc>
      </w:tr>
      <w:tr>
        <w:trPr>
          <w:trHeight w:val="733" w:hRule="atLeast"/>
        </w:trPr>
        <w:tc>
          <w:tcPr>
            <w:tcW w:w="362" w:type="dxa"/>
            <w:tcBorders>
              <w:top w:val="single" w:sz="6" w:space="0" w:color="000000"/>
              <w:bottom w:val="single" w:sz="6" w:space="0" w:color="000000"/>
            </w:tcBorders>
            <w:shd w:val="clear" w:color="auto" w:fill="D7E3BB"/>
          </w:tcPr>
          <w:p>
            <w:pPr>
              <w:pStyle w:val="TableParagraph"/>
              <w:spacing w:before="11"/>
              <w:rPr>
                <w:sz w:val="33"/>
              </w:rPr>
            </w:pPr>
          </w:p>
          <w:p>
            <w:pPr>
              <w:pStyle w:val="TableParagraph"/>
              <w:spacing w:before="1"/>
              <w:ind w:left="103"/>
              <w:jc w:val="center"/>
              <w:rPr>
                <w:sz w:val="20"/>
              </w:rPr>
            </w:pPr>
            <w:r>
              <w:rPr>
                <w:color w:val="4F6128"/>
                <w:w w:val="99"/>
                <w:sz w:val="20"/>
              </w:rPr>
              <w:t>6</w:t>
            </w:r>
          </w:p>
        </w:tc>
        <w:tc>
          <w:tcPr>
            <w:tcW w:w="636" w:type="dxa"/>
            <w:tcBorders>
              <w:top w:val="single" w:sz="6" w:space="0" w:color="000000"/>
              <w:bottom w:val="single" w:sz="6" w:space="0" w:color="000000"/>
            </w:tcBorders>
          </w:tcPr>
          <w:p>
            <w:pPr>
              <w:pStyle w:val="TableParagraph"/>
              <w:spacing w:before="11"/>
              <w:rPr>
                <w:sz w:val="33"/>
              </w:rPr>
            </w:pPr>
          </w:p>
          <w:p>
            <w:pPr>
              <w:pStyle w:val="TableParagraph"/>
              <w:spacing w:before="1"/>
              <w:ind w:right="71"/>
              <w:jc w:val="right"/>
              <w:rPr>
                <w:sz w:val="20"/>
              </w:rPr>
            </w:pPr>
            <w:r>
              <w:rPr>
                <w:w w:val="95"/>
                <w:sz w:val="20"/>
              </w:rPr>
              <w:t>27.9</w:t>
            </w:r>
          </w:p>
        </w:tc>
        <w:tc>
          <w:tcPr>
            <w:tcW w:w="607" w:type="dxa"/>
            <w:tcBorders>
              <w:top w:val="single" w:sz="6" w:space="0" w:color="000000"/>
              <w:bottom w:val="single" w:sz="6" w:space="0" w:color="000000"/>
            </w:tcBorders>
          </w:tcPr>
          <w:p>
            <w:pPr>
              <w:pStyle w:val="TableParagraph"/>
              <w:spacing w:before="11"/>
              <w:rPr>
                <w:sz w:val="33"/>
              </w:rPr>
            </w:pPr>
          </w:p>
          <w:p>
            <w:pPr>
              <w:pStyle w:val="TableParagraph"/>
              <w:spacing w:before="1"/>
              <w:ind w:right="69"/>
              <w:jc w:val="right"/>
              <w:rPr>
                <w:sz w:val="20"/>
              </w:rPr>
            </w:pPr>
            <w:r>
              <w:rPr>
                <w:w w:val="95"/>
                <w:sz w:val="20"/>
              </w:rPr>
              <w:t>29.9</w:t>
            </w:r>
          </w:p>
        </w:tc>
        <w:tc>
          <w:tcPr>
            <w:tcW w:w="674" w:type="dxa"/>
            <w:tcBorders>
              <w:top w:val="single" w:sz="6" w:space="0" w:color="000000"/>
              <w:bottom w:val="single" w:sz="6" w:space="0" w:color="000000"/>
            </w:tcBorders>
          </w:tcPr>
          <w:p>
            <w:pPr>
              <w:pStyle w:val="TableParagraph"/>
              <w:spacing w:before="11"/>
              <w:rPr>
                <w:sz w:val="33"/>
              </w:rPr>
            </w:pPr>
          </w:p>
          <w:p>
            <w:pPr>
              <w:pStyle w:val="TableParagraph"/>
              <w:spacing w:before="1"/>
              <w:ind w:right="71"/>
              <w:jc w:val="right"/>
              <w:rPr>
                <w:sz w:val="20"/>
              </w:rPr>
            </w:pPr>
            <w:r>
              <w:rPr>
                <w:w w:val="95"/>
                <w:sz w:val="20"/>
              </w:rPr>
              <w:t>32.1</w:t>
            </w:r>
          </w:p>
        </w:tc>
        <w:tc>
          <w:tcPr>
            <w:tcW w:w="739" w:type="dxa"/>
            <w:tcBorders>
              <w:top w:val="single" w:sz="6" w:space="0" w:color="000000"/>
              <w:bottom w:val="single" w:sz="6" w:space="0" w:color="000000"/>
            </w:tcBorders>
          </w:tcPr>
          <w:p>
            <w:pPr>
              <w:pStyle w:val="TableParagraph"/>
              <w:spacing w:before="11"/>
              <w:rPr>
                <w:sz w:val="33"/>
              </w:rPr>
            </w:pPr>
          </w:p>
          <w:p>
            <w:pPr>
              <w:pStyle w:val="TableParagraph"/>
              <w:spacing w:before="1"/>
              <w:ind w:right="68"/>
              <w:jc w:val="right"/>
              <w:rPr>
                <w:sz w:val="20"/>
              </w:rPr>
            </w:pPr>
            <w:r>
              <w:rPr>
                <w:w w:val="95"/>
                <w:sz w:val="20"/>
              </w:rPr>
              <w:t>33.7</w:t>
            </w:r>
          </w:p>
        </w:tc>
        <w:tc>
          <w:tcPr>
            <w:tcW w:w="741" w:type="dxa"/>
            <w:tcBorders>
              <w:top w:val="single" w:sz="6" w:space="0" w:color="000000"/>
              <w:bottom w:val="single" w:sz="6" w:space="0" w:color="000000"/>
            </w:tcBorders>
          </w:tcPr>
          <w:p>
            <w:pPr>
              <w:pStyle w:val="TableParagraph"/>
              <w:spacing w:before="11"/>
              <w:rPr>
                <w:sz w:val="33"/>
              </w:rPr>
            </w:pPr>
          </w:p>
          <w:p>
            <w:pPr>
              <w:pStyle w:val="TableParagraph"/>
              <w:spacing w:before="1"/>
              <w:ind w:right="67"/>
              <w:jc w:val="right"/>
              <w:rPr>
                <w:sz w:val="20"/>
              </w:rPr>
            </w:pPr>
            <w:r>
              <w:rPr>
                <w:w w:val="95"/>
                <w:sz w:val="20"/>
              </w:rPr>
              <w:t>34.7</w:t>
            </w:r>
          </w:p>
        </w:tc>
        <w:tc>
          <w:tcPr>
            <w:tcW w:w="741" w:type="dxa"/>
            <w:tcBorders>
              <w:top w:val="single" w:sz="6" w:space="0" w:color="000000"/>
              <w:bottom w:val="single" w:sz="6" w:space="0" w:color="000000"/>
            </w:tcBorders>
          </w:tcPr>
          <w:p>
            <w:pPr>
              <w:pStyle w:val="TableParagraph"/>
              <w:spacing w:before="11"/>
              <w:rPr>
                <w:sz w:val="33"/>
              </w:rPr>
            </w:pPr>
          </w:p>
          <w:p>
            <w:pPr>
              <w:pStyle w:val="TableParagraph"/>
              <w:spacing w:before="1"/>
              <w:ind w:right="66"/>
              <w:jc w:val="right"/>
              <w:rPr>
                <w:sz w:val="20"/>
              </w:rPr>
            </w:pPr>
            <w:r>
              <w:rPr>
                <w:w w:val="95"/>
                <w:sz w:val="20"/>
              </w:rPr>
              <w:t>31.7</w:t>
            </w:r>
          </w:p>
        </w:tc>
        <w:tc>
          <w:tcPr>
            <w:tcW w:w="739" w:type="dxa"/>
            <w:tcBorders>
              <w:top w:val="single" w:sz="6" w:space="0" w:color="000000"/>
              <w:bottom w:val="single" w:sz="6" w:space="0" w:color="000000"/>
              <w:right w:val="single" w:sz="6" w:space="0" w:color="000000"/>
            </w:tcBorders>
          </w:tcPr>
          <w:p>
            <w:pPr>
              <w:pStyle w:val="TableParagraph"/>
              <w:spacing w:before="11"/>
              <w:rPr>
                <w:sz w:val="33"/>
              </w:rPr>
            </w:pPr>
          </w:p>
          <w:p>
            <w:pPr>
              <w:pStyle w:val="TableParagraph"/>
              <w:spacing w:before="1"/>
              <w:ind w:right="64"/>
              <w:jc w:val="right"/>
              <w:rPr>
                <w:sz w:val="20"/>
              </w:rPr>
            </w:pPr>
            <w:r>
              <w:rPr>
                <w:w w:val="95"/>
                <w:sz w:val="20"/>
              </w:rPr>
              <w:t>28.4</w:t>
            </w:r>
          </w:p>
        </w:tc>
        <w:tc>
          <w:tcPr>
            <w:tcW w:w="741" w:type="dxa"/>
            <w:tcBorders>
              <w:top w:val="single" w:sz="6" w:space="0" w:color="000000"/>
              <w:left w:val="single" w:sz="6" w:space="0" w:color="000000"/>
              <w:bottom w:val="single" w:sz="6" w:space="0" w:color="000000"/>
            </w:tcBorders>
          </w:tcPr>
          <w:p>
            <w:pPr>
              <w:pStyle w:val="TableParagraph"/>
              <w:spacing w:before="11"/>
              <w:rPr>
                <w:sz w:val="33"/>
              </w:rPr>
            </w:pPr>
          </w:p>
          <w:p>
            <w:pPr>
              <w:pStyle w:val="TableParagraph"/>
              <w:spacing w:before="1"/>
              <w:ind w:right="65"/>
              <w:jc w:val="right"/>
              <w:rPr>
                <w:sz w:val="20"/>
              </w:rPr>
            </w:pPr>
            <w:r>
              <w:rPr>
                <w:w w:val="95"/>
                <w:sz w:val="20"/>
              </w:rPr>
              <w:t>28.9</w:t>
            </w:r>
          </w:p>
        </w:tc>
        <w:tc>
          <w:tcPr>
            <w:tcW w:w="738" w:type="dxa"/>
            <w:tcBorders>
              <w:top w:val="single" w:sz="6" w:space="0" w:color="000000"/>
              <w:bottom w:val="single" w:sz="6" w:space="0" w:color="000000"/>
            </w:tcBorders>
          </w:tcPr>
          <w:p>
            <w:pPr>
              <w:pStyle w:val="TableParagraph"/>
              <w:spacing w:before="11"/>
              <w:rPr>
                <w:sz w:val="33"/>
              </w:rPr>
            </w:pPr>
          </w:p>
          <w:p>
            <w:pPr>
              <w:pStyle w:val="TableParagraph"/>
              <w:spacing w:before="1"/>
              <w:ind w:right="64"/>
              <w:jc w:val="right"/>
              <w:rPr>
                <w:sz w:val="20"/>
              </w:rPr>
            </w:pPr>
            <w:r>
              <w:rPr>
                <w:w w:val="95"/>
                <w:sz w:val="20"/>
              </w:rPr>
              <w:t>28.9</w:t>
            </w:r>
          </w:p>
        </w:tc>
        <w:tc>
          <w:tcPr>
            <w:tcW w:w="740" w:type="dxa"/>
            <w:tcBorders>
              <w:top w:val="single" w:sz="6" w:space="0" w:color="000000"/>
              <w:bottom w:val="single" w:sz="6" w:space="0" w:color="000000"/>
            </w:tcBorders>
          </w:tcPr>
          <w:p>
            <w:pPr>
              <w:pStyle w:val="TableParagraph"/>
              <w:spacing w:before="11"/>
              <w:rPr>
                <w:sz w:val="33"/>
              </w:rPr>
            </w:pPr>
          </w:p>
          <w:p>
            <w:pPr>
              <w:pStyle w:val="TableParagraph"/>
              <w:spacing w:before="1"/>
              <w:ind w:right="62"/>
              <w:jc w:val="right"/>
              <w:rPr>
                <w:sz w:val="20"/>
              </w:rPr>
            </w:pPr>
            <w:r>
              <w:rPr>
                <w:w w:val="95"/>
                <w:sz w:val="20"/>
              </w:rPr>
              <w:t>28.9</w:t>
            </w:r>
          </w:p>
        </w:tc>
        <w:tc>
          <w:tcPr>
            <w:tcW w:w="659" w:type="dxa"/>
            <w:tcBorders>
              <w:top w:val="single" w:sz="6" w:space="0" w:color="000000"/>
              <w:bottom w:val="single" w:sz="6" w:space="0" w:color="000000"/>
            </w:tcBorders>
          </w:tcPr>
          <w:p>
            <w:pPr>
              <w:pStyle w:val="TableParagraph"/>
              <w:spacing w:before="11"/>
              <w:rPr>
                <w:sz w:val="33"/>
              </w:rPr>
            </w:pPr>
          </w:p>
          <w:p>
            <w:pPr>
              <w:pStyle w:val="TableParagraph"/>
              <w:spacing w:before="1"/>
              <w:ind w:right="64"/>
              <w:jc w:val="right"/>
              <w:rPr>
                <w:sz w:val="20"/>
              </w:rPr>
            </w:pPr>
            <w:r>
              <w:rPr>
                <w:w w:val="95"/>
                <w:sz w:val="20"/>
              </w:rPr>
              <w:t>29.2</w:t>
            </w:r>
          </w:p>
        </w:tc>
        <w:tc>
          <w:tcPr>
            <w:tcW w:w="606" w:type="dxa"/>
            <w:tcBorders>
              <w:top w:val="single" w:sz="6" w:space="0" w:color="000000"/>
              <w:bottom w:val="single" w:sz="6" w:space="0" w:color="000000"/>
            </w:tcBorders>
          </w:tcPr>
          <w:p>
            <w:pPr>
              <w:pStyle w:val="TableParagraph"/>
              <w:spacing w:before="11"/>
              <w:rPr>
                <w:sz w:val="33"/>
              </w:rPr>
            </w:pPr>
          </w:p>
          <w:p>
            <w:pPr>
              <w:pStyle w:val="TableParagraph"/>
              <w:spacing w:before="1"/>
              <w:ind w:left="98" w:right="13"/>
              <w:jc w:val="center"/>
              <w:rPr>
                <w:sz w:val="20"/>
              </w:rPr>
            </w:pPr>
            <w:r>
              <w:rPr>
                <w:sz w:val="20"/>
              </w:rPr>
              <w:t>26.9</w:t>
            </w:r>
          </w:p>
        </w:tc>
        <w:tc>
          <w:tcPr>
            <w:tcW w:w="875" w:type="dxa"/>
            <w:tcBorders>
              <w:top w:val="single" w:sz="6" w:space="0" w:color="000000"/>
              <w:bottom w:val="single" w:sz="6" w:space="0" w:color="000000"/>
            </w:tcBorders>
          </w:tcPr>
          <w:p>
            <w:pPr>
              <w:pStyle w:val="TableParagraph"/>
              <w:spacing w:before="11"/>
              <w:rPr>
                <w:sz w:val="33"/>
              </w:rPr>
            </w:pPr>
          </w:p>
          <w:p>
            <w:pPr>
              <w:pStyle w:val="TableParagraph"/>
              <w:spacing w:before="1"/>
              <w:ind w:right="61"/>
              <w:jc w:val="right"/>
              <w:rPr>
                <w:sz w:val="20"/>
              </w:rPr>
            </w:pPr>
            <w:r>
              <w:rPr>
                <w:w w:val="95"/>
                <w:sz w:val="20"/>
              </w:rPr>
              <w:t>30.1</w:t>
            </w:r>
          </w:p>
        </w:tc>
      </w:tr>
      <w:tr>
        <w:trPr>
          <w:trHeight w:val="455" w:hRule="atLeast"/>
        </w:trPr>
        <w:tc>
          <w:tcPr>
            <w:tcW w:w="362" w:type="dxa"/>
            <w:tcBorders>
              <w:top w:val="single" w:sz="6" w:space="0" w:color="000000"/>
              <w:bottom w:val="single" w:sz="6" w:space="0" w:color="000000"/>
            </w:tcBorders>
            <w:shd w:val="clear" w:color="auto" w:fill="D7E3BB"/>
          </w:tcPr>
          <w:p>
            <w:pPr>
              <w:pStyle w:val="TableParagraph"/>
              <w:spacing w:before="135"/>
              <w:ind w:left="103"/>
              <w:jc w:val="center"/>
              <w:rPr>
                <w:sz w:val="20"/>
              </w:rPr>
            </w:pPr>
            <w:r>
              <w:rPr>
                <w:color w:val="4F6128"/>
                <w:w w:val="99"/>
                <w:sz w:val="20"/>
              </w:rPr>
              <w:t>7</w:t>
            </w:r>
          </w:p>
        </w:tc>
        <w:tc>
          <w:tcPr>
            <w:tcW w:w="636" w:type="dxa"/>
            <w:tcBorders>
              <w:top w:val="single" w:sz="6" w:space="0" w:color="000000"/>
              <w:bottom w:val="single" w:sz="6" w:space="0" w:color="000000"/>
            </w:tcBorders>
          </w:tcPr>
          <w:p>
            <w:pPr>
              <w:pStyle w:val="TableParagraph"/>
              <w:spacing w:before="135"/>
              <w:ind w:right="71"/>
              <w:jc w:val="right"/>
              <w:rPr>
                <w:sz w:val="20"/>
              </w:rPr>
            </w:pPr>
            <w:r>
              <w:rPr>
                <w:sz w:val="20"/>
              </w:rPr>
              <w:t>7.3</w:t>
            </w:r>
          </w:p>
        </w:tc>
        <w:tc>
          <w:tcPr>
            <w:tcW w:w="607" w:type="dxa"/>
            <w:tcBorders>
              <w:top w:val="single" w:sz="6" w:space="0" w:color="000000"/>
              <w:bottom w:val="single" w:sz="6" w:space="0" w:color="000000"/>
            </w:tcBorders>
          </w:tcPr>
          <w:p>
            <w:pPr>
              <w:pStyle w:val="TableParagraph"/>
              <w:spacing w:before="135"/>
              <w:ind w:right="69"/>
              <w:jc w:val="right"/>
              <w:rPr>
                <w:sz w:val="20"/>
              </w:rPr>
            </w:pPr>
            <w:r>
              <w:rPr>
                <w:sz w:val="20"/>
              </w:rPr>
              <w:t>7.0</w:t>
            </w:r>
          </w:p>
        </w:tc>
        <w:tc>
          <w:tcPr>
            <w:tcW w:w="674" w:type="dxa"/>
            <w:tcBorders>
              <w:top w:val="single" w:sz="6" w:space="0" w:color="000000"/>
              <w:bottom w:val="single" w:sz="6" w:space="0" w:color="000000"/>
            </w:tcBorders>
          </w:tcPr>
          <w:p>
            <w:pPr>
              <w:pStyle w:val="TableParagraph"/>
              <w:spacing w:before="135"/>
              <w:ind w:right="71"/>
              <w:jc w:val="right"/>
              <w:rPr>
                <w:sz w:val="20"/>
              </w:rPr>
            </w:pPr>
            <w:r>
              <w:rPr>
                <w:sz w:val="20"/>
              </w:rPr>
              <w:t>9.2</w:t>
            </w:r>
          </w:p>
        </w:tc>
        <w:tc>
          <w:tcPr>
            <w:tcW w:w="739" w:type="dxa"/>
            <w:tcBorders>
              <w:top w:val="single" w:sz="6" w:space="0" w:color="000000"/>
              <w:bottom w:val="single" w:sz="6" w:space="0" w:color="000000"/>
            </w:tcBorders>
          </w:tcPr>
          <w:p>
            <w:pPr>
              <w:pStyle w:val="TableParagraph"/>
              <w:spacing w:before="135"/>
              <w:ind w:right="68"/>
              <w:jc w:val="right"/>
              <w:rPr>
                <w:sz w:val="20"/>
              </w:rPr>
            </w:pPr>
            <w:r>
              <w:rPr>
                <w:w w:val="95"/>
                <w:sz w:val="20"/>
              </w:rPr>
              <w:t>11.5</w:t>
            </w:r>
          </w:p>
        </w:tc>
        <w:tc>
          <w:tcPr>
            <w:tcW w:w="741" w:type="dxa"/>
            <w:tcBorders>
              <w:top w:val="single" w:sz="6" w:space="0" w:color="000000"/>
              <w:bottom w:val="single" w:sz="6" w:space="0" w:color="000000"/>
            </w:tcBorders>
          </w:tcPr>
          <w:p>
            <w:pPr>
              <w:pStyle w:val="TableParagraph"/>
              <w:spacing w:before="135"/>
              <w:ind w:right="67"/>
              <w:jc w:val="right"/>
              <w:rPr>
                <w:sz w:val="20"/>
              </w:rPr>
            </w:pPr>
            <w:r>
              <w:rPr>
                <w:w w:val="95"/>
                <w:sz w:val="20"/>
              </w:rPr>
              <w:t>14.4</w:t>
            </w:r>
          </w:p>
        </w:tc>
        <w:tc>
          <w:tcPr>
            <w:tcW w:w="741" w:type="dxa"/>
            <w:tcBorders>
              <w:top w:val="single" w:sz="6" w:space="0" w:color="000000"/>
              <w:bottom w:val="single" w:sz="6" w:space="0" w:color="000000"/>
            </w:tcBorders>
          </w:tcPr>
          <w:p>
            <w:pPr>
              <w:pStyle w:val="TableParagraph"/>
              <w:spacing w:before="135"/>
              <w:ind w:right="66"/>
              <w:jc w:val="right"/>
              <w:rPr>
                <w:sz w:val="20"/>
              </w:rPr>
            </w:pPr>
            <w:r>
              <w:rPr>
                <w:w w:val="95"/>
                <w:sz w:val="20"/>
              </w:rPr>
              <w:t>17.3</w:t>
            </w:r>
          </w:p>
        </w:tc>
        <w:tc>
          <w:tcPr>
            <w:tcW w:w="739" w:type="dxa"/>
            <w:tcBorders>
              <w:top w:val="single" w:sz="6" w:space="0" w:color="000000"/>
              <w:bottom w:val="single" w:sz="6" w:space="0" w:color="000000"/>
              <w:right w:val="single" w:sz="6" w:space="0" w:color="000000"/>
            </w:tcBorders>
          </w:tcPr>
          <w:p>
            <w:pPr>
              <w:pStyle w:val="TableParagraph"/>
              <w:spacing w:before="135"/>
              <w:ind w:right="64"/>
              <w:jc w:val="right"/>
              <w:rPr>
                <w:sz w:val="20"/>
              </w:rPr>
            </w:pPr>
            <w:r>
              <w:rPr>
                <w:w w:val="95"/>
                <w:sz w:val="20"/>
              </w:rPr>
              <w:t>17.1</w:t>
            </w:r>
          </w:p>
        </w:tc>
        <w:tc>
          <w:tcPr>
            <w:tcW w:w="741" w:type="dxa"/>
            <w:tcBorders>
              <w:top w:val="single" w:sz="6" w:space="0" w:color="000000"/>
              <w:left w:val="single" w:sz="6" w:space="0" w:color="000000"/>
              <w:bottom w:val="single" w:sz="6" w:space="0" w:color="000000"/>
            </w:tcBorders>
          </w:tcPr>
          <w:p>
            <w:pPr>
              <w:pStyle w:val="TableParagraph"/>
              <w:spacing w:before="135"/>
              <w:ind w:right="65"/>
              <w:jc w:val="right"/>
              <w:rPr>
                <w:sz w:val="20"/>
              </w:rPr>
            </w:pPr>
            <w:r>
              <w:rPr>
                <w:w w:val="95"/>
                <w:sz w:val="20"/>
              </w:rPr>
              <w:t>17.0</w:t>
            </w:r>
          </w:p>
        </w:tc>
        <w:tc>
          <w:tcPr>
            <w:tcW w:w="738" w:type="dxa"/>
            <w:tcBorders>
              <w:top w:val="single" w:sz="6" w:space="0" w:color="000000"/>
              <w:bottom w:val="single" w:sz="6" w:space="0" w:color="000000"/>
            </w:tcBorders>
          </w:tcPr>
          <w:p>
            <w:pPr>
              <w:pStyle w:val="TableParagraph"/>
              <w:spacing w:before="135"/>
              <w:ind w:right="64"/>
              <w:jc w:val="right"/>
              <w:rPr>
                <w:sz w:val="20"/>
              </w:rPr>
            </w:pPr>
            <w:r>
              <w:rPr>
                <w:w w:val="95"/>
                <w:sz w:val="20"/>
              </w:rPr>
              <w:t>17.1</w:t>
            </w:r>
          </w:p>
        </w:tc>
        <w:tc>
          <w:tcPr>
            <w:tcW w:w="740" w:type="dxa"/>
            <w:tcBorders>
              <w:top w:val="single" w:sz="6" w:space="0" w:color="000000"/>
              <w:bottom w:val="single" w:sz="6" w:space="0" w:color="000000"/>
            </w:tcBorders>
          </w:tcPr>
          <w:p>
            <w:pPr>
              <w:pStyle w:val="TableParagraph"/>
              <w:spacing w:before="135"/>
              <w:ind w:right="62"/>
              <w:jc w:val="right"/>
              <w:rPr>
                <w:sz w:val="20"/>
              </w:rPr>
            </w:pPr>
            <w:r>
              <w:rPr>
                <w:w w:val="95"/>
                <w:sz w:val="20"/>
              </w:rPr>
              <w:t>14.8</w:t>
            </w:r>
          </w:p>
        </w:tc>
        <w:tc>
          <w:tcPr>
            <w:tcW w:w="659" w:type="dxa"/>
            <w:tcBorders>
              <w:top w:val="single" w:sz="6" w:space="0" w:color="000000"/>
              <w:bottom w:val="single" w:sz="6" w:space="0" w:color="000000"/>
            </w:tcBorders>
          </w:tcPr>
          <w:p>
            <w:pPr>
              <w:pStyle w:val="TableParagraph"/>
              <w:spacing w:before="135"/>
              <w:ind w:right="64"/>
              <w:jc w:val="right"/>
              <w:rPr>
                <w:sz w:val="20"/>
              </w:rPr>
            </w:pPr>
            <w:r>
              <w:rPr>
                <w:w w:val="95"/>
                <w:sz w:val="20"/>
              </w:rPr>
              <w:t>10.9</w:t>
            </w:r>
          </w:p>
        </w:tc>
        <w:tc>
          <w:tcPr>
            <w:tcW w:w="606" w:type="dxa"/>
            <w:tcBorders>
              <w:top w:val="single" w:sz="6" w:space="0" w:color="000000"/>
              <w:bottom w:val="single" w:sz="6" w:space="0" w:color="000000"/>
            </w:tcBorders>
          </w:tcPr>
          <w:p>
            <w:pPr>
              <w:pStyle w:val="TableParagraph"/>
              <w:spacing w:before="135"/>
              <w:ind w:left="238" w:right="40"/>
              <w:jc w:val="center"/>
              <w:rPr>
                <w:sz w:val="20"/>
              </w:rPr>
            </w:pPr>
            <w:r>
              <w:rPr>
                <w:sz w:val="20"/>
              </w:rPr>
              <w:t>9.1</w:t>
            </w:r>
          </w:p>
        </w:tc>
        <w:tc>
          <w:tcPr>
            <w:tcW w:w="875" w:type="dxa"/>
            <w:tcBorders>
              <w:top w:val="single" w:sz="6" w:space="0" w:color="000000"/>
              <w:bottom w:val="single" w:sz="6" w:space="0" w:color="000000"/>
            </w:tcBorders>
          </w:tcPr>
          <w:p>
            <w:pPr>
              <w:pStyle w:val="TableParagraph"/>
              <w:spacing w:before="135"/>
              <w:ind w:right="61"/>
              <w:jc w:val="right"/>
              <w:rPr>
                <w:sz w:val="20"/>
              </w:rPr>
            </w:pPr>
            <w:r>
              <w:rPr>
                <w:w w:val="95"/>
                <w:sz w:val="20"/>
              </w:rPr>
              <w:t>12.7</w:t>
            </w:r>
          </w:p>
        </w:tc>
      </w:tr>
      <w:tr>
        <w:trPr>
          <w:trHeight w:val="455" w:hRule="atLeast"/>
        </w:trPr>
        <w:tc>
          <w:tcPr>
            <w:tcW w:w="362" w:type="dxa"/>
            <w:tcBorders>
              <w:top w:val="single" w:sz="6" w:space="0" w:color="000000"/>
              <w:bottom w:val="single" w:sz="6" w:space="0" w:color="000000"/>
            </w:tcBorders>
            <w:shd w:val="clear" w:color="auto" w:fill="D7E3BB"/>
          </w:tcPr>
          <w:p>
            <w:pPr>
              <w:pStyle w:val="TableParagraph"/>
              <w:spacing w:before="135"/>
              <w:ind w:left="12"/>
              <w:jc w:val="center"/>
              <w:rPr>
                <w:sz w:val="20"/>
              </w:rPr>
            </w:pPr>
            <w:r>
              <w:rPr>
                <w:color w:val="4F6128"/>
                <w:w w:val="99"/>
                <w:sz w:val="20"/>
              </w:rPr>
              <w:t>8</w:t>
            </w:r>
          </w:p>
        </w:tc>
        <w:tc>
          <w:tcPr>
            <w:tcW w:w="636" w:type="dxa"/>
            <w:tcBorders>
              <w:top w:val="single" w:sz="6" w:space="0" w:color="000000"/>
              <w:bottom w:val="single" w:sz="6" w:space="0" w:color="000000"/>
            </w:tcBorders>
          </w:tcPr>
          <w:p>
            <w:pPr>
              <w:pStyle w:val="TableParagraph"/>
              <w:spacing w:before="135"/>
              <w:ind w:left="3"/>
              <w:jc w:val="center"/>
              <w:rPr>
                <w:sz w:val="20"/>
              </w:rPr>
            </w:pPr>
            <w:r>
              <w:rPr>
                <w:w w:val="99"/>
                <w:sz w:val="20"/>
              </w:rPr>
              <w:t>−</w:t>
            </w:r>
          </w:p>
        </w:tc>
        <w:tc>
          <w:tcPr>
            <w:tcW w:w="607" w:type="dxa"/>
            <w:tcBorders>
              <w:top w:val="single" w:sz="6" w:space="0" w:color="000000"/>
              <w:bottom w:val="single" w:sz="6" w:space="0" w:color="000000"/>
            </w:tcBorders>
          </w:tcPr>
          <w:p>
            <w:pPr>
              <w:pStyle w:val="TableParagraph"/>
              <w:spacing w:before="135"/>
              <w:ind w:left="8"/>
              <w:jc w:val="center"/>
              <w:rPr>
                <w:sz w:val="20"/>
              </w:rPr>
            </w:pPr>
            <w:r>
              <w:rPr>
                <w:w w:val="99"/>
                <w:sz w:val="20"/>
              </w:rPr>
              <w:t>−</w:t>
            </w:r>
          </w:p>
        </w:tc>
        <w:tc>
          <w:tcPr>
            <w:tcW w:w="674" w:type="dxa"/>
            <w:tcBorders>
              <w:top w:val="single" w:sz="6" w:space="0" w:color="000000"/>
              <w:bottom w:val="single" w:sz="6" w:space="0" w:color="000000"/>
            </w:tcBorders>
          </w:tcPr>
          <w:p>
            <w:pPr>
              <w:pStyle w:val="TableParagraph"/>
              <w:spacing w:before="135"/>
              <w:ind w:left="4"/>
              <w:jc w:val="center"/>
              <w:rPr>
                <w:sz w:val="20"/>
              </w:rPr>
            </w:pPr>
            <w:r>
              <w:rPr>
                <w:w w:val="99"/>
                <w:sz w:val="20"/>
              </w:rPr>
              <w:t>−</w:t>
            </w:r>
          </w:p>
        </w:tc>
        <w:tc>
          <w:tcPr>
            <w:tcW w:w="739" w:type="dxa"/>
            <w:tcBorders>
              <w:top w:val="single" w:sz="6" w:space="0" w:color="000000"/>
              <w:bottom w:val="single" w:sz="6" w:space="0" w:color="000000"/>
            </w:tcBorders>
          </w:tcPr>
          <w:p>
            <w:pPr>
              <w:pStyle w:val="TableParagraph"/>
              <w:spacing w:before="135"/>
              <w:ind w:left="7"/>
              <w:jc w:val="center"/>
              <w:rPr>
                <w:sz w:val="20"/>
              </w:rPr>
            </w:pPr>
            <w:r>
              <w:rPr>
                <w:w w:val="99"/>
                <w:sz w:val="20"/>
              </w:rPr>
              <w:t>−</w:t>
            </w:r>
          </w:p>
        </w:tc>
        <w:tc>
          <w:tcPr>
            <w:tcW w:w="741" w:type="dxa"/>
            <w:tcBorders>
              <w:top w:val="single" w:sz="6" w:space="0" w:color="000000"/>
              <w:bottom w:val="single" w:sz="6" w:space="0" w:color="000000"/>
            </w:tcBorders>
          </w:tcPr>
          <w:p>
            <w:pPr>
              <w:pStyle w:val="TableParagraph"/>
              <w:spacing w:before="135"/>
              <w:ind w:left="11"/>
              <w:jc w:val="center"/>
              <w:rPr>
                <w:sz w:val="20"/>
              </w:rPr>
            </w:pPr>
            <w:r>
              <w:rPr>
                <w:w w:val="99"/>
                <w:sz w:val="20"/>
              </w:rPr>
              <w:t>−</w:t>
            </w:r>
          </w:p>
        </w:tc>
        <w:tc>
          <w:tcPr>
            <w:tcW w:w="741" w:type="dxa"/>
            <w:tcBorders>
              <w:top w:val="single" w:sz="6" w:space="0" w:color="000000"/>
              <w:bottom w:val="single" w:sz="6" w:space="0" w:color="000000"/>
            </w:tcBorders>
          </w:tcPr>
          <w:p>
            <w:pPr>
              <w:pStyle w:val="TableParagraph"/>
              <w:spacing w:before="135"/>
              <w:ind w:left="13"/>
              <w:jc w:val="center"/>
              <w:rPr>
                <w:sz w:val="20"/>
              </w:rPr>
            </w:pPr>
            <w:r>
              <w:rPr>
                <w:w w:val="99"/>
                <w:sz w:val="20"/>
              </w:rPr>
              <w:t>−</w:t>
            </w:r>
          </w:p>
        </w:tc>
        <w:tc>
          <w:tcPr>
            <w:tcW w:w="739" w:type="dxa"/>
            <w:tcBorders>
              <w:top w:val="single" w:sz="6" w:space="0" w:color="000000"/>
              <w:bottom w:val="single" w:sz="6" w:space="0" w:color="000000"/>
              <w:right w:val="single" w:sz="6" w:space="0" w:color="000000"/>
            </w:tcBorders>
          </w:tcPr>
          <w:p>
            <w:pPr>
              <w:pStyle w:val="TableParagraph"/>
              <w:spacing w:before="135"/>
              <w:ind w:left="14"/>
              <w:jc w:val="center"/>
              <w:rPr>
                <w:sz w:val="20"/>
              </w:rPr>
            </w:pPr>
            <w:r>
              <w:rPr>
                <w:w w:val="99"/>
                <w:sz w:val="20"/>
              </w:rPr>
              <w:t>−</w:t>
            </w:r>
          </w:p>
        </w:tc>
        <w:tc>
          <w:tcPr>
            <w:tcW w:w="741" w:type="dxa"/>
            <w:tcBorders>
              <w:top w:val="single" w:sz="6" w:space="0" w:color="000000"/>
              <w:left w:val="single" w:sz="6" w:space="0" w:color="000000"/>
              <w:bottom w:val="single" w:sz="6" w:space="0" w:color="000000"/>
            </w:tcBorders>
          </w:tcPr>
          <w:p>
            <w:pPr>
              <w:pStyle w:val="TableParagraph"/>
              <w:spacing w:before="135"/>
              <w:ind w:left="13"/>
              <w:jc w:val="center"/>
              <w:rPr>
                <w:sz w:val="20"/>
              </w:rPr>
            </w:pPr>
            <w:r>
              <w:rPr>
                <w:w w:val="99"/>
                <w:sz w:val="20"/>
              </w:rPr>
              <w:t>−</w:t>
            </w:r>
          </w:p>
        </w:tc>
        <w:tc>
          <w:tcPr>
            <w:tcW w:w="738" w:type="dxa"/>
            <w:tcBorders>
              <w:top w:val="single" w:sz="6" w:space="0" w:color="000000"/>
              <w:bottom w:val="single" w:sz="6" w:space="0" w:color="000000"/>
            </w:tcBorders>
          </w:tcPr>
          <w:p>
            <w:pPr>
              <w:pStyle w:val="TableParagraph"/>
              <w:spacing w:before="135"/>
              <w:ind w:left="14"/>
              <w:jc w:val="center"/>
              <w:rPr>
                <w:sz w:val="20"/>
              </w:rPr>
            </w:pPr>
            <w:r>
              <w:rPr>
                <w:w w:val="99"/>
                <w:sz w:val="20"/>
              </w:rPr>
              <w:t>−</w:t>
            </w:r>
          </w:p>
        </w:tc>
        <w:tc>
          <w:tcPr>
            <w:tcW w:w="740" w:type="dxa"/>
            <w:tcBorders>
              <w:top w:val="single" w:sz="6" w:space="0" w:color="000000"/>
              <w:bottom w:val="single" w:sz="6" w:space="0" w:color="000000"/>
            </w:tcBorders>
          </w:tcPr>
          <w:p>
            <w:pPr>
              <w:pStyle w:val="TableParagraph"/>
              <w:spacing w:before="135"/>
              <w:ind w:left="20"/>
              <w:jc w:val="center"/>
              <w:rPr>
                <w:sz w:val="20"/>
              </w:rPr>
            </w:pPr>
            <w:r>
              <w:rPr>
                <w:w w:val="99"/>
                <w:sz w:val="20"/>
              </w:rPr>
              <w:t>−</w:t>
            </w:r>
          </w:p>
        </w:tc>
        <w:tc>
          <w:tcPr>
            <w:tcW w:w="659" w:type="dxa"/>
            <w:tcBorders>
              <w:top w:val="single" w:sz="6" w:space="0" w:color="000000"/>
              <w:bottom w:val="single" w:sz="6" w:space="0" w:color="000000"/>
            </w:tcBorders>
          </w:tcPr>
          <w:p>
            <w:pPr>
              <w:pStyle w:val="TableParagraph"/>
              <w:spacing w:before="135"/>
              <w:ind w:left="17"/>
              <w:jc w:val="center"/>
              <w:rPr>
                <w:sz w:val="20"/>
              </w:rPr>
            </w:pPr>
            <w:r>
              <w:rPr>
                <w:w w:val="99"/>
                <w:sz w:val="20"/>
              </w:rPr>
              <w:t>−</w:t>
            </w:r>
          </w:p>
        </w:tc>
        <w:tc>
          <w:tcPr>
            <w:tcW w:w="606" w:type="dxa"/>
            <w:tcBorders>
              <w:top w:val="single" w:sz="6" w:space="0" w:color="000000"/>
              <w:bottom w:val="single" w:sz="6" w:space="0" w:color="000000"/>
            </w:tcBorders>
          </w:tcPr>
          <w:p>
            <w:pPr>
              <w:pStyle w:val="TableParagraph"/>
              <w:spacing w:before="135"/>
              <w:ind w:left="26"/>
              <w:jc w:val="center"/>
              <w:rPr>
                <w:sz w:val="20"/>
              </w:rPr>
            </w:pPr>
            <w:r>
              <w:rPr>
                <w:w w:val="99"/>
                <w:sz w:val="20"/>
              </w:rPr>
              <w:t>−</w:t>
            </w:r>
          </w:p>
        </w:tc>
        <w:tc>
          <w:tcPr>
            <w:tcW w:w="875" w:type="dxa"/>
            <w:tcBorders>
              <w:top w:val="single" w:sz="6" w:space="0" w:color="000000"/>
              <w:bottom w:val="single" w:sz="6" w:space="0" w:color="000000"/>
            </w:tcBorders>
          </w:tcPr>
          <w:p>
            <w:pPr>
              <w:pStyle w:val="TableParagraph"/>
              <w:spacing w:before="135"/>
              <w:ind w:left="23"/>
              <w:jc w:val="center"/>
              <w:rPr>
                <w:sz w:val="20"/>
              </w:rPr>
            </w:pPr>
            <w:r>
              <w:rPr>
                <w:w w:val="99"/>
                <w:sz w:val="20"/>
              </w:rPr>
              <w:t>−</w:t>
            </w:r>
          </w:p>
        </w:tc>
      </w:tr>
    </w:tbl>
    <w:p>
      <w:pPr>
        <w:pStyle w:val="BodyText"/>
        <w:spacing w:before="1"/>
        <w:rPr>
          <w:sz w:val="9"/>
        </w:rPr>
      </w:pPr>
    </w:p>
    <w:p>
      <w:pPr>
        <w:spacing w:before="70"/>
        <w:ind w:left="1001" w:right="1255" w:firstLine="0"/>
        <w:jc w:val="center"/>
        <w:rPr>
          <w:rFonts w:ascii="Corbel"/>
          <w:sz w:val="15"/>
        </w:rPr>
      </w:pPr>
      <w:r>
        <w:rPr>
          <w:rFonts w:ascii="Corbel"/>
          <w:w w:val="100"/>
          <w:sz w:val="15"/>
        </w:rPr>
        <w:t>Fu</w:t>
      </w:r>
      <w:r>
        <w:rPr>
          <w:rFonts w:ascii="Corbel"/>
          <w:spacing w:val="-1"/>
          <w:w w:val="100"/>
          <w:sz w:val="15"/>
        </w:rPr>
        <w:t>ent</w:t>
      </w:r>
      <w:r>
        <w:rPr>
          <w:rFonts w:ascii="Corbel"/>
          <w:spacing w:val="-4"/>
          <w:w w:val="100"/>
          <w:sz w:val="15"/>
        </w:rPr>
        <w:t>e</w:t>
      </w:r>
      <w:r>
        <w:rPr>
          <w:rFonts w:ascii="Corbel"/>
          <w:w w:val="100"/>
          <w:sz w:val="15"/>
        </w:rPr>
        <w:t>:</w:t>
      </w:r>
      <w:r>
        <w:rPr>
          <w:rFonts w:ascii="Corbel"/>
          <w:sz w:val="15"/>
        </w:rPr>
        <w:t> </w:t>
      </w:r>
      <w:r>
        <w:rPr>
          <w:rFonts w:ascii="Corbel"/>
          <w:w w:val="100"/>
          <w:sz w:val="15"/>
        </w:rPr>
        <w:t>c</w:t>
      </w:r>
      <w:r>
        <w:rPr>
          <w:rFonts w:ascii="Corbel"/>
          <w:spacing w:val="-2"/>
          <w:w w:val="100"/>
          <w:sz w:val="15"/>
        </w:rPr>
        <w:t>l</w:t>
      </w:r>
      <w:r>
        <w:rPr>
          <w:rFonts w:ascii="Corbel"/>
          <w:w w:val="100"/>
          <w:sz w:val="15"/>
        </w:rPr>
        <w:t>i</w:t>
      </w:r>
      <w:r>
        <w:rPr>
          <w:rFonts w:ascii="Corbel"/>
          <w:spacing w:val="-1"/>
          <w:w w:val="100"/>
          <w:sz w:val="15"/>
        </w:rPr>
        <w:t>m</w:t>
      </w:r>
      <w:r>
        <w:rPr>
          <w:rFonts w:ascii="Corbel"/>
          <w:spacing w:val="-3"/>
          <w:w w:val="100"/>
          <w:sz w:val="15"/>
        </w:rPr>
        <w:t>a</w:t>
      </w:r>
      <w:r>
        <w:rPr>
          <w:rFonts w:ascii="Corbel"/>
          <w:spacing w:val="-1"/>
          <w:w w:val="100"/>
          <w:sz w:val="15"/>
        </w:rPr>
        <w:t>t</w:t>
      </w:r>
      <w:r>
        <w:rPr>
          <w:rFonts w:ascii="Corbel"/>
          <w:w w:val="100"/>
          <w:sz w:val="15"/>
        </w:rPr>
        <w:t>e-</w:t>
      </w:r>
      <w:r>
        <w:rPr>
          <w:rFonts w:ascii="Corbel"/>
          <w:spacing w:val="-2"/>
          <w:w w:val="100"/>
          <w:sz w:val="15"/>
        </w:rPr>
        <w:t>d</w:t>
      </w:r>
      <w:r>
        <w:rPr>
          <w:rFonts w:ascii="Corbel"/>
          <w:w w:val="100"/>
          <w:sz w:val="15"/>
        </w:rPr>
        <w:t>at</w:t>
      </w:r>
      <w:r>
        <w:rPr>
          <w:rFonts w:ascii="Corbel"/>
          <w:spacing w:val="-3"/>
          <w:w w:val="100"/>
          <w:sz w:val="15"/>
        </w:rPr>
        <w:t>a</w:t>
      </w:r>
      <w:r>
        <w:rPr>
          <w:rFonts w:ascii="Corbel"/>
          <w:spacing w:val="-2"/>
          <w:w w:val="100"/>
          <w:sz w:val="15"/>
        </w:rPr>
        <w:t>.</w:t>
      </w:r>
      <w:r>
        <w:rPr>
          <w:rFonts w:ascii="Corbel"/>
          <w:w w:val="100"/>
          <w:sz w:val="15"/>
        </w:rPr>
        <w:t>org</w:t>
      </w:r>
      <w:r>
        <w:rPr>
          <w:rFonts w:ascii="Corbel"/>
          <w:sz w:val="15"/>
        </w:rPr>
        <w:t> </w:t>
      </w:r>
      <w:r>
        <w:rPr>
          <w:rFonts w:ascii="Corbel"/>
          <w:spacing w:val="-1"/>
          <w:w w:val="100"/>
          <w:sz w:val="15"/>
        </w:rPr>
        <w:t>e</w:t>
      </w:r>
      <w:r>
        <w:rPr>
          <w:rFonts w:ascii="Corbel"/>
          <w:w w:val="100"/>
          <w:sz w:val="15"/>
        </w:rPr>
        <w:t>n</w:t>
      </w:r>
      <w:r>
        <w:rPr>
          <w:rFonts w:ascii="Corbel"/>
          <w:spacing w:val="-2"/>
          <w:sz w:val="15"/>
        </w:rPr>
        <w:t> </w:t>
      </w:r>
      <w:hyperlink r:id="rId16">
        <w:r>
          <w:rPr>
            <w:rFonts w:ascii="Corbel"/>
            <w:color w:val="0000FF"/>
            <w:spacing w:val="1"/>
            <w:w w:val="100"/>
            <w:sz w:val="15"/>
            <w:u w:val="single" w:color="0000FF"/>
          </w:rPr>
          <w:t>h</w:t>
        </w:r>
        <w:r>
          <w:rPr>
            <w:rFonts w:ascii="Corbel"/>
            <w:color w:val="0000FF"/>
            <w:spacing w:val="-3"/>
            <w:w w:val="100"/>
            <w:sz w:val="15"/>
            <w:u w:val="single" w:color="0000FF"/>
          </w:rPr>
          <w:t>t</w:t>
        </w:r>
        <w:r>
          <w:rPr>
            <w:rFonts w:ascii="Corbel"/>
            <w:color w:val="0000FF"/>
            <w:spacing w:val="-1"/>
            <w:w w:val="100"/>
            <w:sz w:val="15"/>
            <w:u w:val="single" w:color="0000FF"/>
          </w:rPr>
          <w:t>tp</w:t>
        </w:r>
        <w:r>
          <w:rPr>
            <w:rFonts w:ascii="Corbel"/>
            <w:color w:val="0000FF"/>
            <w:spacing w:val="-2"/>
            <w:w w:val="100"/>
            <w:sz w:val="15"/>
            <w:u w:val="single" w:color="0000FF"/>
          </w:rPr>
          <w:t>s</w:t>
        </w:r>
        <w:r>
          <w:rPr>
            <w:rFonts w:ascii="Corbel"/>
            <w:color w:val="0000FF"/>
            <w:w w:val="100"/>
            <w:sz w:val="15"/>
            <w:u w:val="single" w:color="0000FF"/>
          </w:rPr>
          <w:t>:</w:t>
        </w:r>
        <w:r>
          <w:rPr>
            <w:rFonts w:ascii="Corbel"/>
            <w:color w:val="0000FF"/>
            <w:spacing w:val="-1"/>
            <w:w w:val="100"/>
            <w:sz w:val="15"/>
            <w:u w:val="single" w:color="0000FF"/>
          </w:rPr>
          <w:t>//e</w:t>
        </w:r>
        <w:r>
          <w:rPr>
            <w:rFonts w:ascii="Corbel"/>
            <w:color w:val="0000FF"/>
            <w:spacing w:val="-2"/>
            <w:w w:val="100"/>
            <w:sz w:val="15"/>
            <w:u w:val="single" w:color="0000FF"/>
          </w:rPr>
          <w:t>s</w:t>
        </w:r>
        <w:r>
          <w:rPr>
            <w:rFonts w:ascii="Corbel"/>
            <w:color w:val="0000FF"/>
            <w:w w:val="100"/>
            <w:sz w:val="15"/>
            <w:u w:val="single" w:color="0000FF"/>
          </w:rPr>
          <w:t>.</w:t>
        </w:r>
        <w:r>
          <w:rPr>
            <w:rFonts w:ascii="Corbel"/>
            <w:color w:val="0000FF"/>
            <w:spacing w:val="-2"/>
            <w:w w:val="100"/>
            <w:sz w:val="15"/>
            <w:u w:val="single" w:color="0000FF"/>
          </w:rPr>
          <w:t>c</w:t>
        </w:r>
        <w:r>
          <w:rPr>
            <w:rFonts w:ascii="Corbel"/>
            <w:color w:val="0000FF"/>
            <w:w w:val="100"/>
            <w:sz w:val="15"/>
            <w:u w:val="single" w:color="0000FF"/>
          </w:rPr>
          <w:t>li</w:t>
        </w:r>
        <w:r>
          <w:rPr>
            <w:rFonts w:ascii="Corbel"/>
            <w:color w:val="0000FF"/>
            <w:spacing w:val="-3"/>
            <w:w w:val="100"/>
            <w:sz w:val="15"/>
            <w:u w:val="single" w:color="0000FF"/>
          </w:rPr>
          <w:t>m</w:t>
        </w:r>
        <w:r>
          <w:rPr>
            <w:rFonts w:ascii="Corbel"/>
            <w:color w:val="0000FF"/>
            <w:w w:val="100"/>
            <w:sz w:val="15"/>
            <w:u w:val="single" w:color="0000FF"/>
          </w:rPr>
          <w:t>at</w:t>
        </w:r>
        <w:r>
          <w:rPr>
            <w:rFonts w:ascii="Corbel"/>
            <w:color w:val="0000FF"/>
            <w:spacing w:val="-1"/>
            <w:w w:val="100"/>
            <w:sz w:val="15"/>
            <w:u w:val="single" w:color="0000FF"/>
          </w:rPr>
          <w:t>e</w:t>
        </w:r>
        <w:r>
          <w:rPr>
            <w:rFonts w:ascii="Corbel"/>
            <w:color w:val="0000FF"/>
            <w:spacing w:val="-3"/>
            <w:w w:val="100"/>
            <w:sz w:val="15"/>
            <w:u w:val="single" w:color="0000FF"/>
          </w:rPr>
          <w:t>-</w:t>
        </w:r>
        <w:r>
          <w:rPr>
            <w:rFonts w:ascii="Corbel"/>
            <w:color w:val="0000FF"/>
            <w:w w:val="100"/>
            <w:sz w:val="15"/>
            <w:u w:val="single" w:color="0000FF"/>
          </w:rPr>
          <w:t>da</w:t>
        </w:r>
        <w:r>
          <w:rPr>
            <w:rFonts w:ascii="Corbel"/>
            <w:color w:val="0000FF"/>
            <w:spacing w:val="-2"/>
            <w:w w:val="100"/>
            <w:sz w:val="15"/>
            <w:u w:val="single" w:color="0000FF"/>
          </w:rPr>
          <w:t>t</w:t>
        </w:r>
        <w:r>
          <w:rPr>
            <w:rFonts w:ascii="Corbel"/>
            <w:color w:val="0000FF"/>
            <w:w w:val="100"/>
            <w:sz w:val="15"/>
            <w:u w:val="single" w:color="0000FF"/>
          </w:rPr>
          <w:t>a</w:t>
        </w:r>
        <w:r>
          <w:rPr>
            <w:rFonts w:ascii="Corbel"/>
            <w:color w:val="0000FF"/>
            <w:spacing w:val="-2"/>
            <w:w w:val="100"/>
            <w:sz w:val="15"/>
            <w:u w:val="single" w:color="0000FF"/>
          </w:rPr>
          <w:t>.</w:t>
        </w:r>
        <w:r>
          <w:rPr>
            <w:rFonts w:ascii="Corbel"/>
            <w:color w:val="0000FF"/>
            <w:w w:val="100"/>
            <w:sz w:val="15"/>
            <w:u w:val="single" w:color="0000FF"/>
          </w:rPr>
          <w:t>or</w:t>
        </w:r>
        <w:r>
          <w:rPr>
            <w:rFonts w:ascii="Corbel"/>
            <w:color w:val="0000FF"/>
            <w:spacing w:val="-2"/>
            <w:w w:val="100"/>
            <w:sz w:val="15"/>
            <w:u w:val="single" w:color="0000FF"/>
          </w:rPr>
          <w:t>g</w:t>
        </w:r>
        <w:r>
          <w:rPr>
            <w:rFonts w:ascii="Corbel"/>
            <w:color w:val="0000FF"/>
            <w:spacing w:val="-1"/>
            <w:w w:val="100"/>
            <w:sz w:val="15"/>
            <w:u w:val="single" w:color="0000FF"/>
          </w:rPr>
          <w:t>/</w:t>
        </w:r>
        <w:r>
          <w:rPr>
            <w:rFonts w:ascii="Corbel"/>
            <w:color w:val="0000FF"/>
            <w:w w:val="100"/>
            <w:sz w:val="15"/>
            <w:u w:val="single" w:color="0000FF"/>
          </w:rPr>
          <w:t>am</w:t>
        </w:r>
        <w:r>
          <w:rPr>
            <w:rFonts w:ascii="Corbel"/>
            <w:color w:val="0000FF"/>
            <w:spacing w:val="-2"/>
            <w:w w:val="100"/>
            <w:sz w:val="15"/>
            <w:u w:val="single" w:color="0000FF"/>
          </w:rPr>
          <w:t>e</w:t>
        </w:r>
        <w:r>
          <w:rPr>
            <w:rFonts w:ascii="Corbel"/>
            <w:color w:val="0000FF"/>
            <w:spacing w:val="-3"/>
            <w:w w:val="100"/>
            <w:sz w:val="15"/>
            <w:u w:val="single" w:color="0000FF"/>
          </w:rPr>
          <w:t>r</w:t>
        </w:r>
        <w:r>
          <w:rPr>
            <w:rFonts w:ascii="Corbel"/>
            <w:color w:val="0000FF"/>
            <w:w w:val="100"/>
            <w:sz w:val="15"/>
            <w:u w:val="single" w:color="0000FF"/>
          </w:rPr>
          <w:t>i</w:t>
        </w:r>
        <w:r>
          <w:rPr>
            <w:rFonts w:ascii="Corbel"/>
            <w:color w:val="0000FF"/>
            <w:spacing w:val="-2"/>
            <w:w w:val="100"/>
            <w:sz w:val="15"/>
            <w:u w:val="single" w:color="0000FF"/>
          </w:rPr>
          <w:t>c</w:t>
        </w:r>
        <w:r>
          <w:rPr>
            <w:rFonts w:ascii="Corbel"/>
            <w:color w:val="0000FF"/>
            <w:spacing w:val="1"/>
            <w:w w:val="100"/>
            <w:sz w:val="15"/>
            <w:u w:val="single" w:color="0000FF"/>
          </w:rPr>
          <w:t>a</w:t>
        </w:r>
        <w:r>
          <w:rPr>
            <w:rFonts w:ascii="Corbel"/>
            <w:color w:val="0000FF"/>
            <w:w w:val="100"/>
            <w:sz w:val="15"/>
            <w:u w:val="single" w:color="0000FF"/>
          </w:rPr>
          <w:t>-d</w:t>
        </w:r>
        <w:r>
          <w:rPr>
            <w:rFonts w:ascii="Corbel"/>
            <w:color w:val="0000FF"/>
            <w:spacing w:val="-4"/>
            <w:w w:val="100"/>
            <w:sz w:val="15"/>
            <w:u w:val="single" w:color="0000FF"/>
          </w:rPr>
          <w:t>e</w:t>
        </w:r>
        <w:r>
          <w:rPr>
            <w:rFonts w:ascii="Corbel"/>
            <w:color w:val="0000FF"/>
            <w:spacing w:val="1"/>
            <w:w w:val="100"/>
            <w:sz w:val="15"/>
            <w:u w:val="single" w:color="0000FF"/>
          </w:rPr>
          <w:t>l</w:t>
        </w:r>
        <w:r>
          <w:rPr>
            <w:rFonts w:ascii="Corbel"/>
            <w:color w:val="0000FF"/>
            <w:w w:val="100"/>
            <w:sz w:val="15"/>
            <w:u w:val="single" w:color="0000FF"/>
          </w:rPr>
          <w:t>-</w:t>
        </w:r>
        <w:r>
          <w:rPr>
            <w:rFonts w:ascii="Corbel"/>
            <w:color w:val="0000FF"/>
            <w:spacing w:val="-3"/>
            <w:w w:val="100"/>
            <w:sz w:val="15"/>
            <w:u w:val="single" w:color="0000FF"/>
          </w:rPr>
          <w:t>n</w:t>
        </w:r>
        <w:r>
          <w:rPr>
            <w:rFonts w:ascii="Corbel"/>
            <w:color w:val="0000FF"/>
            <w:w w:val="100"/>
            <w:sz w:val="15"/>
            <w:u w:val="single" w:color="0000FF"/>
          </w:rPr>
          <w:t>ort</w:t>
        </w:r>
        <w:r>
          <w:rPr>
            <w:rFonts w:ascii="Corbel"/>
            <w:color w:val="0000FF"/>
            <w:spacing w:val="-1"/>
            <w:w w:val="100"/>
            <w:sz w:val="15"/>
            <w:u w:val="single" w:color="0000FF"/>
          </w:rPr>
          <w:t>e/me</w:t>
        </w:r>
        <w:r>
          <w:rPr>
            <w:rFonts w:ascii="Corbel"/>
            <w:color w:val="0000FF"/>
            <w:spacing w:val="-2"/>
            <w:w w:val="100"/>
            <w:sz w:val="15"/>
            <w:u w:val="single" w:color="0000FF"/>
          </w:rPr>
          <w:t>x</w:t>
        </w:r>
        <w:r>
          <w:rPr>
            <w:rFonts w:ascii="Corbel"/>
            <w:color w:val="0000FF"/>
            <w:w w:val="100"/>
            <w:sz w:val="15"/>
            <w:u w:val="single" w:color="0000FF"/>
          </w:rPr>
          <w:t>i</w:t>
        </w:r>
        <w:r>
          <w:rPr>
            <w:rFonts w:ascii="Corbel"/>
            <w:color w:val="0000FF"/>
            <w:spacing w:val="-2"/>
            <w:w w:val="100"/>
            <w:sz w:val="15"/>
            <w:u w:val="single" w:color="0000FF"/>
          </w:rPr>
          <w:t>c</w:t>
        </w:r>
        <w:r>
          <w:rPr>
            <w:rFonts w:ascii="Corbel"/>
            <w:color w:val="0000FF"/>
            <w:w w:val="100"/>
            <w:sz w:val="15"/>
            <w:u w:val="single" w:color="0000FF"/>
          </w:rPr>
          <w:t>o</w:t>
        </w:r>
        <w:r>
          <w:rPr>
            <w:rFonts w:ascii="Corbel"/>
            <w:color w:val="0000FF"/>
            <w:spacing w:val="-1"/>
            <w:w w:val="100"/>
            <w:sz w:val="15"/>
            <w:u w:val="single" w:color="0000FF"/>
          </w:rPr>
          <w:t>/ja</w:t>
        </w:r>
        <w:r>
          <w:rPr>
            <w:rFonts w:ascii="Corbel"/>
            <w:color w:val="0000FF"/>
            <w:spacing w:val="-2"/>
            <w:w w:val="100"/>
            <w:sz w:val="15"/>
            <w:u w:val="single" w:color="0000FF"/>
          </w:rPr>
          <w:t>l</w:t>
        </w:r>
        <w:r>
          <w:rPr>
            <w:rFonts w:ascii="Corbel"/>
            <w:color w:val="0000FF"/>
            <w:w w:val="100"/>
            <w:sz w:val="15"/>
            <w:u w:val="single" w:color="0000FF"/>
          </w:rPr>
          <w:t>i</w:t>
        </w:r>
        <w:r>
          <w:rPr>
            <w:rFonts w:ascii="Corbel"/>
            <w:color w:val="0000FF"/>
            <w:spacing w:val="-2"/>
            <w:w w:val="100"/>
            <w:sz w:val="15"/>
            <w:u w:val="single" w:color="0000FF"/>
          </w:rPr>
          <w:t>sc</w:t>
        </w:r>
        <w:r>
          <w:rPr>
            <w:rFonts w:ascii="Corbel"/>
            <w:color w:val="0000FF"/>
            <w:w w:val="100"/>
            <w:sz w:val="15"/>
            <w:u w:val="single" w:color="0000FF"/>
          </w:rPr>
          <w:t>o</w:t>
        </w:r>
        <w:r>
          <w:rPr>
            <w:rFonts w:ascii="Corbel"/>
            <w:color w:val="0000FF"/>
            <w:spacing w:val="-1"/>
            <w:w w:val="100"/>
            <w:sz w:val="15"/>
            <w:u w:val="single" w:color="0000FF"/>
          </w:rPr>
          <w:t>/m</w:t>
        </w:r>
        <w:r>
          <w:rPr>
            <w:rFonts w:ascii="Corbel"/>
            <w:color w:val="0000FF"/>
            <w:w w:val="100"/>
            <w:sz w:val="15"/>
            <w:u w:val="single" w:color="0000FF"/>
          </w:rPr>
          <w:t>a</w:t>
        </w:r>
        <w:r>
          <w:rPr>
            <w:rFonts w:ascii="Corbel"/>
            <w:color w:val="0000FF"/>
            <w:spacing w:val="-4"/>
            <w:w w:val="100"/>
            <w:sz w:val="15"/>
            <w:u w:val="single" w:color="0000FF"/>
          </w:rPr>
          <w:t>g</w:t>
        </w:r>
        <w:r>
          <w:rPr>
            <w:rFonts w:ascii="Corbel"/>
            <w:color w:val="0000FF"/>
            <w:w w:val="100"/>
            <w:sz w:val="15"/>
            <w:u w:val="single" w:color="0000FF"/>
          </w:rPr>
          <w:t>d</w:t>
        </w:r>
        <w:r>
          <w:rPr>
            <w:rFonts w:ascii="Corbel"/>
            <w:color w:val="0000FF"/>
            <w:spacing w:val="-3"/>
            <w:w w:val="100"/>
            <w:sz w:val="15"/>
            <w:u w:val="single" w:color="0000FF"/>
          </w:rPr>
          <w:t>a</w:t>
        </w:r>
        <w:r>
          <w:rPr>
            <w:rFonts w:ascii="Corbel"/>
            <w:color w:val="0000FF"/>
            <w:w w:val="100"/>
            <w:sz w:val="15"/>
            <w:u w:val="single" w:color="0000FF"/>
          </w:rPr>
          <w:t>l</w:t>
        </w:r>
        <w:r>
          <w:rPr>
            <w:rFonts w:ascii="Corbel"/>
            <w:color w:val="0000FF"/>
            <w:spacing w:val="-1"/>
            <w:w w:val="100"/>
            <w:sz w:val="15"/>
            <w:u w:val="single" w:color="0000FF"/>
          </w:rPr>
          <w:t>en</w:t>
        </w:r>
        <w:r>
          <w:rPr>
            <w:rFonts w:ascii="Corbel"/>
            <w:color w:val="0000FF"/>
            <w:spacing w:val="1"/>
            <w:w w:val="100"/>
            <w:sz w:val="15"/>
            <w:u w:val="single" w:color="0000FF"/>
          </w:rPr>
          <w:t>a</w:t>
        </w:r>
        <w:r>
          <w:rPr>
            <w:rFonts w:ascii="Corbel"/>
            <w:color w:val="0000FF"/>
            <w:w w:val="100"/>
            <w:sz w:val="15"/>
            <w:u w:val="single" w:color="0000FF"/>
          </w:rPr>
          <w:t>-</w:t>
        </w:r>
        <w:r>
          <w:rPr>
            <w:rFonts w:ascii="Corbel"/>
            <w:color w:val="0000FF"/>
            <w:spacing w:val="-1"/>
            <w:w w:val="100"/>
            <w:sz w:val="15"/>
            <w:u w:val="single" w:color="0000FF"/>
          </w:rPr>
          <w:t>8</w:t>
        </w:r>
        <w:r>
          <w:rPr>
            <w:rFonts w:ascii="Corbel"/>
            <w:smallCaps/>
            <w:color w:val="0000FF"/>
            <w:w w:val="100"/>
            <w:sz w:val="15"/>
            <w:u w:val="single" w:color="0000FF"/>
          </w:rPr>
          <w:t>72</w:t>
        </w:r>
        <w:r>
          <w:rPr>
            <w:rFonts w:ascii="Corbel"/>
            <w:smallCaps/>
            <w:color w:val="0000FF"/>
            <w:spacing w:val="-1"/>
            <w:w w:val="100"/>
            <w:sz w:val="15"/>
            <w:u w:val="single" w:color="0000FF"/>
          </w:rPr>
          <w:t>52</w:t>
        </w:r>
        <w:r>
          <w:rPr>
            <w:rFonts w:ascii="Corbel"/>
            <w:smallCaps w:val="0"/>
            <w:color w:val="0000FF"/>
            <w:spacing w:val="-1"/>
            <w:w w:val="100"/>
            <w:sz w:val="15"/>
            <w:u w:val="single" w:color="0000FF"/>
          </w:rPr>
          <w:t>0</w:t>
        </w:r>
        <w:r>
          <w:rPr>
            <w:rFonts w:ascii="Corbel"/>
            <w:smallCaps w:val="0"/>
            <w:color w:val="0000FF"/>
            <w:w w:val="100"/>
            <w:sz w:val="15"/>
          </w:rPr>
          <w:t>/</w:t>
        </w:r>
      </w:hyperlink>
    </w:p>
    <w:p>
      <w:pPr>
        <w:pStyle w:val="BodyText"/>
        <w:spacing w:before="1"/>
        <w:rPr>
          <w:rFonts w:ascii="Corbel"/>
          <w:sz w:val="16"/>
        </w:rPr>
      </w:pPr>
    </w:p>
    <w:p>
      <w:pPr>
        <w:pStyle w:val="Heading4"/>
        <w:spacing w:before="101"/>
      </w:pPr>
      <w:r>
        <w:rPr/>
        <w:t>SIMBOLOGÍA:</w:t>
      </w:r>
    </w:p>
    <w:p>
      <w:pPr>
        <w:pStyle w:val="BodyText"/>
        <w:spacing w:before="2"/>
        <w:rPr>
          <w:b/>
          <w:sz w:val="25"/>
        </w:rPr>
      </w:pPr>
    </w:p>
    <w:p>
      <w:pPr>
        <w:pStyle w:val="BodyText"/>
        <w:spacing w:line="276" w:lineRule="auto" w:before="1"/>
        <w:ind w:left="901" w:right="5762"/>
      </w:pPr>
      <w:r>
        <w:rPr/>
        <w:t>1.- Precipitación Pluvial Media en milímetros. 2.- Precipitación Pluvial Máxima en milímetros. 3.- Precipitación Pluvial Mínima en milímetros. 4.- Promedio de días despejados.</w:t>
      </w:r>
    </w:p>
    <w:p>
      <w:pPr>
        <w:pStyle w:val="BodyText"/>
        <w:ind w:left="901"/>
      </w:pPr>
      <w:r>
        <w:rPr/>
        <w:t>5.- Dirección y velocidad de los vientos dominantes.</w:t>
      </w:r>
    </w:p>
    <w:p>
      <w:pPr>
        <w:pStyle w:val="BodyText"/>
        <w:spacing w:line="276" w:lineRule="auto" w:before="39"/>
        <w:ind w:left="901" w:right="4377"/>
        <w:rPr>
          <w:rFonts w:ascii="Calibri" w:hAnsi="Calibri"/>
          <w:sz w:val="24"/>
        </w:rPr>
      </w:pPr>
      <w:r>
        <w:rPr/>
        <w:t>6.- Temperatura máxima promedio en grados centígrados. 7.- Temperatura mínima promedio en grados centígrados. 8.- Evaporación total en milímetros</w:t>
      </w:r>
      <w:r>
        <w:rPr>
          <w:rFonts w:ascii="Calibri" w:hAnsi="Calibri"/>
          <w:sz w:val="24"/>
        </w:rPr>
        <w:t>.</w:t>
      </w:r>
    </w:p>
    <w:p>
      <w:pPr>
        <w:pStyle w:val="BodyText"/>
        <w:rPr>
          <w:rFonts w:ascii="Calibri"/>
          <w:sz w:val="28"/>
        </w:rPr>
      </w:pPr>
    </w:p>
    <w:p>
      <w:pPr>
        <w:pStyle w:val="BodyText"/>
        <w:spacing w:before="11"/>
        <w:rPr>
          <w:rFonts w:ascii="Calibri"/>
          <w:sz w:val="23"/>
        </w:rPr>
      </w:pPr>
    </w:p>
    <w:p>
      <w:pPr>
        <w:pStyle w:val="Heading2"/>
        <w:rPr>
          <w:rFonts w:ascii="Century Gothic" w:hAnsi="Century Gothic"/>
        </w:rPr>
      </w:pPr>
      <w:r>
        <w:rPr>
          <w:rFonts w:ascii="Century Gothic" w:hAnsi="Century Gothic"/>
        </w:rPr>
        <w:t>Geología</w:t>
      </w:r>
    </w:p>
    <w:p>
      <w:pPr>
        <w:pStyle w:val="BodyText"/>
        <w:spacing w:before="11"/>
        <w:rPr>
          <w:b/>
          <w:sz w:val="21"/>
        </w:rPr>
      </w:pPr>
    </w:p>
    <w:p>
      <w:pPr>
        <w:pStyle w:val="BodyText"/>
        <w:spacing w:line="276" w:lineRule="auto"/>
        <w:ind w:left="901" w:right="1155"/>
        <w:jc w:val="both"/>
      </w:pPr>
      <w:r>
        <w:rPr/>
        <w:t>El municipio se encuentra localizado básicamente en lo que se llama provincia Eje Neo volcánico. El relieve característico es de valles y cuencas endorreicas rellenas de ceniza limitadas por sierras, en las que existen abundantes conos volcánicos, y derrames lávicos. La geología en el municipio es muy homogénea, ya que la mayor parte se conforma de placas geológicas del cuaternario, donde predominan las de tipo ígnea extrusiva básica y la ígnea extrusiva ácida. Las rocas ígneas intrusivas ácidas del cretácico superior, que afloran en los cerros de San Andrés, fueron cubiertas por derrames volcánicos y productos piro clásticos del</w:t>
      </w:r>
      <w:r>
        <w:rPr>
          <w:spacing w:val="-10"/>
        </w:rPr>
        <w:t> </w:t>
      </w:r>
      <w:r>
        <w:rPr/>
        <w:t>terciario.</w:t>
      </w:r>
    </w:p>
    <w:p>
      <w:pPr>
        <w:pStyle w:val="BodyText"/>
        <w:spacing w:before="4"/>
        <w:rPr>
          <w:sz w:val="25"/>
        </w:rPr>
      </w:pPr>
    </w:p>
    <w:p>
      <w:pPr>
        <w:pStyle w:val="BodyText"/>
        <w:spacing w:line="276" w:lineRule="auto"/>
        <w:ind w:left="901" w:right="1155"/>
        <w:jc w:val="both"/>
      </w:pPr>
      <w:r>
        <w:rPr/>
        <w:t>El municipio se ha destacado por su producción de minerales no metálicos importantes como son: ópalo, caolín, cal, feldespato, obsidiana, cuarzo, sílice, bentonita, arena, talco y jal.</w:t>
      </w:r>
    </w:p>
    <w:p>
      <w:pPr>
        <w:pStyle w:val="BodyText"/>
        <w:spacing w:before="3"/>
        <w:rPr>
          <w:sz w:val="25"/>
        </w:rPr>
      </w:pPr>
    </w:p>
    <w:p>
      <w:pPr>
        <w:pStyle w:val="BodyText"/>
        <w:spacing w:line="276" w:lineRule="auto"/>
        <w:ind w:left="901" w:right="1155"/>
        <w:jc w:val="both"/>
      </w:pPr>
      <w:r>
        <w:rPr/>
        <w:t>En cuanto a la minería no metálica, los impactos negativos al medio ambiente son los relacionados con el hecho de que se realiza a cielo abierto por lo que genera: contaminación por polvos y ruido, disminución de la calidad de paisaje, modificación a la geomorfología, generación de residuos, pérdida de capa orgánica, modificación de</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la topografía natural, caminos de penetración, pérdida de cubierta vegetal y modificación del hábitat, como sucede con la mina de caolín localizada en el cerro viejo y todas las minas de ópalo dentro de municipio.</w:t>
      </w:r>
    </w:p>
    <w:p>
      <w:pPr>
        <w:pStyle w:val="BodyText"/>
        <w:spacing w:before="10"/>
        <w:rPr>
          <w:sz w:val="21"/>
        </w:rPr>
      </w:pPr>
    </w:p>
    <w:p>
      <w:pPr>
        <w:pStyle w:val="Heading2"/>
      </w:pPr>
      <w:r>
        <w:rPr/>
        <w:t>Suelos</w:t>
      </w:r>
    </w:p>
    <w:p>
      <w:pPr>
        <w:pStyle w:val="BodyText"/>
        <w:spacing w:before="2"/>
        <w:rPr>
          <w:rFonts w:ascii="Corbel"/>
          <w:b/>
          <w:sz w:val="24"/>
        </w:rPr>
      </w:pPr>
    </w:p>
    <w:p>
      <w:pPr>
        <w:pStyle w:val="BodyText"/>
        <w:ind w:left="901" w:right="1155"/>
        <w:jc w:val="both"/>
      </w:pPr>
      <w:r>
        <w:rPr/>
        <w:t>En la región se presenta un predominio de feozem (básicamente háplico), suelo caracterizado por su gran fertilidad, derivada del nivel de madurez de los horizontes, se caracteriza por presentar una superficie oscura, suave, y rica en materiales nutrientes, con alta permeabilidad, que favorece las actividades agropecuarias, principalmente en las zonas altas como los ejidos de Ojo Zarco, San Andrés, La Quemada, Julián Medina.</w:t>
      </w:r>
    </w:p>
    <w:p>
      <w:pPr>
        <w:pStyle w:val="BodyText"/>
        <w:spacing w:before="1"/>
      </w:pPr>
    </w:p>
    <w:p>
      <w:pPr>
        <w:pStyle w:val="BodyText"/>
        <w:ind w:left="901" w:right="1155"/>
        <w:jc w:val="both"/>
      </w:pPr>
      <w:r>
        <w:rPr/>
        <w:t>Regosol eútrico, correspondiente a suelos fértiles, con horizontes insuficientemente desarrollados. Se presenta principalmente en asociación con cambisol eútrico y feozem háplico, localizado en el noroeste del municipio en las zonas boscosas.</w:t>
      </w:r>
    </w:p>
    <w:p>
      <w:pPr>
        <w:pStyle w:val="BodyText"/>
        <w:spacing w:before="1"/>
      </w:pPr>
    </w:p>
    <w:p>
      <w:pPr>
        <w:pStyle w:val="BodyText"/>
        <w:ind w:left="901" w:right="1153"/>
        <w:jc w:val="both"/>
      </w:pPr>
      <w:r>
        <w:rPr/>
        <w:t>Vertí sol pélico, se desarrolla en relieves planos y posee un grado de fertilidad muy alto; son suelos pesados, con elevados contenidos de arcilla y con un potencial agrícola muy importante, es un suelo muy arcilloso de color negro o gris oscuro, pegajoso cuando </w:t>
      </w:r>
      <w:r>
        <w:rPr>
          <w:spacing w:val="-5"/>
        </w:rPr>
        <w:t>se </w:t>
      </w:r>
      <w:r>
        <w:rPr/>
        <w:t>encuentra mojado o muy duro cuando está seco, por lo que al deshidratarse se forman grandes grietas y fisura, localizado en las tierras de cultivo de riego en las partes bajas de la flora de la ex</w:t>
      </w:r>
      <w:r>
        <w:rPr>
          <w:spacing w:val="-9"/>
        </w:rPr>
        <w:t> </w:t>
      </w:r>
      <w:r>
        <w:rPr/>
        <w:t>laguna.</w:t>
      </w:r>
    </w:p>
    <w:p>
      <w:pPr>
        <w:pStyle w:val="BodyText"/>
        <w:rPr>
          <w:sz w:val="26"/>
        </w:rPr>
      </w:pPr>
    </w:p>
    <w:p>
      <w:pPr>
        <w:pStyle w:val="BodyText"/>
        <w:spacing w:before="10"/>
        <w:rPr>
          <w:sz w:val="21"/>
        </w:rPr>
      </w:pPr>
    </w:p>
    <w:p>
      <w:pPr>
        <w:pStyle w:val="Heading2"/>
        <w:spacing w:before="1"/>
        <w:jc w:val="both"/>
        <w:rPr>
          <w:rFonts w:ascii="Century Gothic"/>
        </w:rPr>
      </w:pPr>
      <w:r>
        <w:rPr>
          <w:rFonts w:ascii="Century Gothic"/>
        </w:rPr>
        <w:t>Flora y fauna</w:t>
      </w:r>
    </w:p>
    <w:p>
      <w:pPr>
        <w:pStyle w:val="BodyText"/>
        <w:spacing w:before="10"/>
        <w:rPr>
          <w:b/>
          <w:sz w:val="23"/>
        </w:rPr>
      </w:pPr>
    </w:p>
    <w:p>
      <w:pPr>
        <w:pStyle w:val="BodyText"/>
        <w:spacing w:line="276" w:lineRule="auto"/>
        <w:ind w:left="901" w:right="1154"/>
        <w:jc w:val="both"/>
      </w:pPr>
      <w:r>
        <w:rPr/>
        <w:t>El municipio tiene una gran cantidad de flora y fauna, contando con bosques de pino y encino en el cerro viejo y el potrero grande (Huitzizilapa), bosques de encino abierto en el noroeste del municipio, bosques de mezquitales y huizachales, contando con una gran variedad de árboles y arbustos entre los que destacan, encino, roble, pirul, nopal, huizache, sauce, eucalipto, pino, pastizales naturales y otras especies, cabe aclarar que en ninguna dependencia federal, estatal o municipal existe un inventario de la cantidad de flora que hay en el</w:t>
      </w:r>
      <w:r>
        <w:rPr>
          <w:spacing w:val="-9"/>
        </w:rPr>
        <w:t> </w:t>
      </w:r>
      <w:r>
        <w:rPr/>
        <w:t>municipio.</w:t>
      </w:r>
    </w:p>
    <w:p>
      <w:pPr>
        <w:pStyle w:val="BodyText"/>
        <w:spacing w:before="3"/>
        <w:rPr>
          <w:sz w:val="25"/>
        </w:rPr>
      </w:pPr>
    </w:p>
    <w:p>
      <w:pPr>
        <w:pStyle w:val="BodyText"/>
        <w:spacing w:line="276" w:lineRule="auto"/>
        <w:ind w:left="901" w:right="1155"/>
        <w:jc w:val="both"/>
      </w:pPr>
      <w:r>
        <w:rPr/>
        <w:t>La fauna está representada por especies como el venado, liebre, conejo, ardilla, algunos reptiles y otras especies menores.</w:t>
      </w:r>
    </w:p>
    <w:p>
      <w:pPr>
        <w:pStyle w:val="BodyText"/>
        <w:spacing w:before="3"/>
        <w:rPr>
          <w:sz w:val="25"/>
        </w:rPr>
      </w:pPr>
    </w:p>
    <w:p>
      <w:pPr>
        <w:pStyle w:val="BodyText"/>
        <w:spacing w:line="276" w:lineRule="auto"/>
        <w:ind w:left="901" w:right="1152"/>
        <w:jc w:val="both"/>
      </w:pPr>
      <w:r>
        <w:rPr/>
        <w:t>Con relación a aves, se encontró que no existen especies endémicas para Jalisco; en cuanto al aprovechamiento cinegético, las especies más aprovechadas son la paloma de alas blancas, la güilota, la codorniz común, el pato, el pato canadiense, pelícano y el</w:t>
      </w:r>
      <w:r>
        <w:rPr>
          <w:spacing w:val="-1"/>
        </w:rPr>
        <w:t> </w:t>
      </w:r>
      <w:r>
        <w:rPr/>
        <w:t>áncera.</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7"/>
        <w:jc w:val="both"/>
      </w:pPr>
      <w:r>
        <w:rPr/>
        <w:t>Un instrumento crucial para mantener las especies de flora y fauna, son las áreas de protección de flora y fauna, donde en nuestra investigación nos encontramos que en el municipio no se tienen ninguna área registrada con este fin; estas son de vital importancia para mantener los hábitats de las especies, el equilibrio, la preservación y el desarrollo de las especies silvestres.</w:t>
      </w:r>
    </w:p>
    <w:p>
      <w:pPr>
        <w:pStyle w:val="BodyText"/>
        <w:spacing w:before="5"/>
        <w:rPr>
          <w:sz w:val="25"/>
        </w:rPr>
      </w:pPr>
    </w:p>
    <w:p>
      <w:pPr>
        <w:pStyle w:val="BodyText"/>
        <w:spacing w:line="276" w:lineRule="auto"/>
        <w:ind w:left="901" w:right="1155"/>
        <w:jc w:val="both"/>
      </w:pPr>
      <w:r>
        <w:rPr/>
        <w:t>Un instrumento normativo para preservar las especies de fauna es el Calendario Cinegético, el cual fue creado para dar a conocer las épocas hábiles de cacería en México. Incluye definiciones, requisitos, regulaciones, vedas, prohibiciones, sanciones, cuadros de aprovechamiento y épocas hábiles.</w:t>
      </w:r>
    </w:p>
    <w:p>
      <w:pPr>
        <w:pStyle w:val="BodyText"/>
        <w:spacing w:before="4"/>
        <w:rPr>
          <w:sz w:val="25"/>
        </w:rPr>
      </w:pPr>
    </w:p>
    <w:p>
      <w:pPr>
        <w:pStyle w:val="BodyText"/>
        <w:spacing w:line="276" w:lineRule="auto"/>
        <w:ind w:left="901" w:right="1156"/>
        <w:jc w:val="both"/>
      </w:pPr>
      <w:r>
        <w:rPr/>
        <w:t>Entre las leyes aplicables tenemos la Ley General del Equilibrio Ecológico y la Protección al Ambiente, de las Leyes Federal de Caza, de Pesca y de las demás leyes aplicables.</w:t>
      </w:r>
    </w:p>
    <w:p>
      <w:pPr>
        <w:pStyle w:val="BodyText"/>
        <w:spacing w:before="4"/>
        <w:rPr>
          <w:sz w:val="25"/>
        </w:rPr>
      </w:pPr>
    </w:p>
    <w:p>
      <w:pPr>
        <w:pStyle w:val="BodyText"/>
        <w:spacing w:line="276" w:lineRule="auto"/>
        <w:ind w:left="901" w:right="1154"/>
        <w:jc w:val="both"/>
      </w:pPr>
      <w:r>
        <w:rPr/>
        <w:t>La protección ambiental en el estado de Jalisco tiene como marco jurídico la Ley Estatal del Equilibrio Ecológico y la Protección al Ambiente, emitida por el Gobierno </w:t>
      </w:r>
      <w:r>
        <w:rPr>
          <w:spacing w:val="-3"/>
        </w:rPr>
        <w:t>de </w:t>
      </w:r>
      <w:r>
        <w:rPr/>
        <w:t>Jalisco en el Decreto N° 13,596 y cuyo primer Artículo señala que “la presente Ley es de interés público y tiene por objeto regular la preservación y restauración del equilibrio ecológico, así como la protección del ambiente en el estado de Jalisco, en el ámbito de competencia de los gobiernos estatal y</w:t>
      </w:r>
      <w:r>
        <w:rPr>
          <w:spacing w:val="-7"/>
        </w:rPr>
        <w:t> </w:t>
      </w:r>
      <w:r>
        <w:rPr/>
        <w:t>municipales.</w:t>
      </w:r>
    </w:p>
    <w:p>
      <w:pPr>
        <w:pStyle w:val="BodyText"/>
        <w:spacing w:before="2"/>
        <w:rPr>
          <w:sz w:val="25"/>
        </w:rPr>
      </w:pPr>
    </w:p>
    <w:p>
      <w:pPr>
        <w:pStyle w:val="BodyText"/>
        <w:spacing w:line="276" w:lineRule="auto"/>
        <w:ind w:left="901" w:right="1152"/>
        <w:jc w:val="both"/>
      </w:pPr>
      <w:r>
        <w:rPr/>
        <w:t>Expresamente en su Artículo 4°, la Ley ordena que las atribuciones gubernamentales en materia ambiental sean ejercidas de manera concurrente por el gobierno del estado y los gobiernos de los municipios, lo cual incluye la formulación de políticas y criterios ecológicos, la preservación, restauración y protección al ambiente, la prevención y control de emergencias ecológicas, la prevención y control de la contaminación ambiental y de las aguas, el ordenamiento ecológico de los municipios, la expedición y aplicación de normas y reglamentos, la supervisión y vigilancia en la aplicación de la Ley, y en general las medidas necesarias para garantizar un ambiente sano en el ámbito del</w:t>
      </w:r>
      <w:r>
        <w:rPr>
          <w:spacing w:val="-3"/>
        </w:rPr>
        <w:t> </w:t>
      </w:r>
      <w:r>
        <w:rPr/>
        <w:t>municipio.</w:t>
      </w:r>
    </w:p>
    <w:p>
      <w:pPr>
        <w:pStyle w:val="BodyText"/>
        <w:spacing w:before="2"/>
        <w:rPr>
          <w:sz w:val="24"/>
        </w:rPr>
      </w:pPr>
    </w:p>
    <w:p>
      <w:pPr>
        <w:pStyle w:val="Heading2"/>
        <w:jc w:val="both"/>
        <w:rPr>
          <w:rFonts w:ascii="Century Gothic" w:hAnsi="Century Gothic"/>
        </w:rPr>
      </w:pPr>
      <w:r>
        <w:rPr>
          <w:rFonts w:ascii="Century Gothic" w:hAnsi="Century Gothic"/>
        </w:rPr>
        <w:t>Ecología y Medio Ambiente</w:t>
      </w:r>
    </w:p>
    <w:p>
      <w:pPr>
        <w:pStyle w:val="BodyText"/>
        <w:spacing w:before="9"/>
        <w:rPr>
          <w:b/>
          <w:sz w:val="23"/>
        </w:rPr>
      </w:pPr>
    </w:p>
    <w:p>
      <w:pPr>
        <w:pStyle w:val="BodyText"/>
        <w:ind w:left="901" w:right="1155"/>
        <w:jc w:val="both"/>
      </w:pPr>
      <w:r>
        <w:rPr/>
        <w:t>En el municipio los problemas más graves con relación al medio ambiente se presentan en los siguientes aspectos, la contaminación de las aguas superficiales y los acuíferos; la deforestación y pérdida de biodiversidad; la erosión de los suelos; y la contaminación atmosférica.</w:t>
      </w:r>
    </w:p>
    <w:p>
      <w:pPr>
        <w:pStyle w:val="BodyText"/>
      </w:pPr>
    </w:p>
    <w:p>
      <w:pPr>
        <w:pStyle w:val="BodyText"/>
        <w:ind w:left="901" w:right="1155"/>
        <w:jc w:val="both"/>
      </w:pPr>
      <w:r>
        <w:rPr/>
        <w:t>Este problema proviene principalmente, entre otras cosas, de la baja participación y pocos recursos humanos, técnicos y legales que se destina a los municipios para incidir en la protección ambiental. A lo que debe sumarse el desconocimiento de los</w:t>
      </w:r>
    </w:p>
    <w:p>
      <w:pPr>
        <w:spacing w:after="0"/>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ind w:left="901" w:right="1156"/>
        <w:jc w:val="both"/>
      </w:pPr>
      <w:r>
        <w:rPr/>
        <w:t>conceptos del medio ambiente y la poca o nula capacidad de la sociedad para movilizarse en pro de los recursos naturales.</w:t>
      </w:r>
    </w:p>
    <w:p>
      <w:pPr>
        <w:pStyle w:val="BodyText"/>
        <w:rPr>
          <w:sz w:val="26"/>
        </w:rPr>
      </w:pPr>
    </w:p>
    <w:p>
      <w:pPr>
        <w:pStyle w:val="BodyText"/>
        <w:spacing w:before="7"/>
        <w:rPr>
          <w:sz w:val="21"/>
        </w:rPr>
      </w:pPr>
    </w:p>
    <w:p>
      <w:pPr>
        <w:pStyle w:val="Heading2"/>
        <w:spacing w:before="1"/>
        <w:jc w:val="both"/>
      </w:pPr>
      <w:r>
        <w:rPr/>
        <w:t>Contaminación de aguas superficiales, y subterráneas</w:t>
      </w:r>
    </w:p>
    <w:p>
      <w:pPr>
        <w:pStyle w:val="BodyText"/>
        <w:spacing w:before="2"/>
        <w:rPr>
          <w:rFonts w:ascii="Corbel"/>
          <w:b/>
        </w:rPr>
      </w:pPr>
    </w:p>
    <w:p>
      <w:pPr>
        <w:pStyle w:val="BodyText"/>
        <w:ind w:left="901" w:right="1154"/>
        <w:jc w:val="both"/>
      </w:pPr>
      <w:r>
        <w:rPr/>
        <w:t>Sin duda alguna, la contaminación de los cuerpos de agua superficiales y los acuíferos, son los principales problemas ambientales dentro del municipio. En esto convergen diferentes procesos: la falta de tratamiento de las aguas residuales de origen doméstico principalmente; el uso ineficiente (desperdicio y pérdidas) del agua de uso agrícola y de consumo humano, la contaminación del agua por prácticas agrícolas y por los jugos de lixiviados del basurero ubicado en El Potrero El</w:t>
      </w:r>
      <w:r>
        <w:rPr>
          <w:spacing w:val="-12"/>
        </w:rPr>
        <w:t> </w:t>
      </w:r>
      <w:r>
        <w:rPr/>
        <w:t>Quemadero.</w:t>
      </w:r>
    </w:p>
    <w:p>
      <w:pPr>
        <w:pStyle w:val="BodyText"/>
        <w:spacing w:before="1"/>
      </w:pPr>
    </w:p>
    <w:p>
      <w:pPr>
        <w:pStyle w:val="BodyText"/>
        <w:ind w:left="901" w:right="1154"/>
        <w:jc w:val="both"/>
      </w:pPr>
      <w:r>
        <w:rPr/>
        <w:t>El problema más grave se presenta por el esporádico tratamiento de las aguas de tipo domestico principalmente que son la causa de contaminación de las aguas superficiales y subterráneas. Debe considerarse que la población actual de Magdalena es de 22,643 habitantes, con una tendencia de crecimiento baja, pero que en el año 2020 se estima una población de 28,201 habitantes y que se considera que cada habitante utiliza un promedio de 200 litros diarios de agua y que el 80% se convierte en agua residual, lo que da una idea de la magnitud del problema que hay que</w:t>
      </w:r>
      <w:r>
        <w:rPr>
          <w:spacing w:val="-20"/>
        </w:rPr>
        <w:t> </w:t>
      </w:r>
      <w:r>
        <w:rPr/>
        <w:t>enfrentar.</w:t>
      </w:r>
    </w:p>
    <w:p>
      <w:pPr>
        <w:pStyle w:val="BodyText"/>
        <w:rPr>
          <w:sz w:val="26"/>
        </w:rPr>
      </w:pPr>
    </w:p>
    <w:p>
      <w:pPr>
        <w:pStyle w:val="BodyText"/>
        <w:spacing w:before="222"/>
        <w:ind w:left="901" w:right="1155"/>
        <w:jc w:val="both"/>
      </w:pPr>
      <w:r>
        <w:rPr/>
        <w:t>Como se mencionó anteriormente, el consumo de agua del municipio es de, aproximadamente, 4,528 metros cúbicos diarios o 1.652 millones de metros cúbicos anuales, equivalente a la mitad del agua que almacena la Laguna del Trigo en Magdalena durante toda la época de lluvias.</w:t>
      </w:r>
    </w:p>
    <w:p>
      <w:pPr>
        <w:pStyle w:val="BodyText"/>
        <w:spacing w:before="1"/>
      </w:pPr>
    </w:p>
    <w:p>
      <w:pPr>
        <w:pStyle w:val="Heading4"/>
        <w:jc w:val="both"/>
      </w:pPr>
      <w:r>
        <w:rPr/>
        <w:t>Planta de tratamiento de aguas negras</w:t>
      </w:r>
    </w:p>
    <w:p>
      <w:pPr>
        <w:pStyle w:val="BodyText"/>
        <w:spacing w:before="10"/>
        <w:rPr>
          <w:b/>
          <w:sz w:val="21"/>
        </w:rPr>
      </w:pPr>
    </w:p>
    <w:p>
      <w:pPr>
        <w:pStyle w:val="BodyText"/>
        <w:ind w:left="901" w:right="1155"/>
        <w:jc w:val="both"/>
      </w:pPr>
      <w:r>
        <w:rPr/>
        <w:t>En la cabecera municipal, donde se concentra al 70% de la población municipal ya se cuenta con una PLANTA DE TRATAMIENTO DE AGUAS NEGRAS con una capacidad de tratamiento de 120 lts/seg. Aproximadamente, la cabecera municipal aporta 78.92 lts/seg. Actualmente la planta opera constantemente durante todo el año, con parámetros dentro de norma.</w:t>
      </w:r>
    </w:p>
    <w:p>
      <w:pPr>
        <w:pStyle w:val="BodyText"/>
        <w:spacing w:before="2"/>
      </w:pPr>
    </w:p>
    <w:p>
      <w:pPr>
        <w:pStyle w:val="BodyText"/>
        <w:ind w:left="901" w:right="1155"/>
        <w:jc w:val="both"/>
      </w:pPr>
      <w:r>
        <w:rPr/>
        <w:t>La contaminación por aguas residuales también se presenta en el resto de las localidades del municipio donde se vierten las aguas residuales a las presas y los arroyos sin ningún previo tratamiento, propiciando esto contaminación en las presas de San Andrés y La Quemada; que si bien, no descarga en sus presas si lo hacen en la del trigo. En los arroyos San Gregorio en Santa María, y el arroyo el cuate en San Simón, y además las presas y los canales del municipio también se encuentran contaminados por lirio acuático en dimensiones considerables.</w:t>
      </w:r>
    </w:p>
    <w:p>
      <w:pPr>
        <w:pStyle w:val="BodyText"/>
      </w:pPr>
    </w:p>
    <w:p>
      <w:pPr>
        <w:pStyle w:val="BodyText"/>
        <w:ind w:left="901" w:right="1156"/>
        <w:jc w:val="both"/>
      </w:pPr>
      <w:r>
        <w:rPr/>
        <w:t>Otro foco de contaminación grave de aguas superficiales y subterráneas lo encontramos en La Quemada, este lo causan las fosas de asfalto que se encuentran en la estación de ferrocarril.</w:t>
      </w:r>
    </w:p>
    <w:p>
      <w:pPr>
        <w:spacing w:after="0"/>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ind w:left="901" w:right="1156"/>
        <w:jc w:val="both"/>
      </w:pPr>
      <w:r>
        <w:rPr/>
        <w:t>La contaminación de aguas superficiales proveniente de los desechos de la industria tequilera, la cual generan grandes cantidades de vinazas, que al ser vertidas a los cuerpos acuáticos y corrientes localizados en el potrero de San Miguel y San Lorenzo constituyen uno de los factores contaminantes más severos, de los recursos hídricos del municipio.</w:t>
      </w:r>
    </w:p>
    <w:p>
      <w:pPr>
        <w:pStyle w:val="BodyText"/>
        <w:spacing w:before="11"/>
        <w:rPr>
          <w:sz w:val="21"/>
        </w:rPr>
      </w:pPr>
    </w:p>
    <w:p>
      <w:pPr>
        <w:pStyle w:val="BodyText"/>
        <w:spacing w:before="1"/>
        <w:ind w:left="901" w:right="1156"/>
        <w:jc w:val="both"/>
      </w:pPr>
      <w:r>
        <w:rPr/>
        <w:t>En la actividad agropecuaria existe una limitada regulación ambiental que no controla la creciente utilización de pesticidas. Los agroquímicos y plaguicidas empleados en la agricultura, destacando en este sentido los generados por el cultivo de la caña de azúcar y el maíz, son arrastrados por las aguas junto con los botes y empaques de los pesticidas utilizados, y son drenados hacia las corrientes y cuerpos de agua en las partes bajas de las tierras agrícolas.</w:t>
      </w:r>
    </w:p>
    <w:p>
      <w:pPr>
        <w:pStyle w:val="BodyText"/>
        <w:spacing w:before="1"/>
      </w:pPr>
    </w:p>
    <w:p>
      <w:pPr>
        <w:pStyle w:val="BodyText"/>
        <w:ind w:left="901" w:right="1152"/>
        <w:jc w:val="both"/>
      </w:pPr>
      <w:r>
        <w:rPr/>
        <w:t>El uso ineficiente del agua de uso de consumo humano se da principalmente en la mala utilización, de este vital liquido, y el uso inadecuado del agua de uso agrícola se da en las técnicas utilizadas para el riego como son el agua rodada donde se desperdicia más del 70% del agua por filtraciones y por evaporaciones, dependiendo del tipo </w:t>
      </w:r>
      <w:r>
        <w:rPr>
          <w:spacing w:val="-3"/>
        </w:rPr>
        <w:t>de</w:t>
      </w:r>
      <w:r>
        <w:rPr>
          <w:spacing w:val="54"/>
        </w:rPr>
        <w:t> </w:t>
      </w:r>
      <w:r>
        <w:rPr/>
        <w:t>suelo. En este sentido, sería conveniente la utilización de sistema de riego por aspersión o de riego por</w:t>
      </w:r>
      <w:r>
        <w:rPr>
          <w:spacing w:val="-5"/>
        </w:rPr>
        <w:t> </w:t>
      </w:r>
      <w:r>
        <w:rPr/>
        <w:t>goteo.</w:t>
      </w:r>
    </w:p>
    <w:p>
      <w:pPr>
        <w:pStyle w:val="BodyText"/>
      </w:pPr>
    </w:p>
    <w:p>
      <w:pPr>
        <w:pStyle w:val="BodyText"/>
        <w:spacing w:before="1"/>
        <w:ind w:left="901" w:right="1159"/>
        <w:jc w:val="both"/>
      </w:pPr>
      <w:r>
        <w:rPr/>
        <w:t>Según datos de SEMARNAT, el municipio se encuentra entre los más contaminados de la región, situación que es grave ya que dicha contaminación proviene directamente de nuestro municipio y las malas prácticas de consumo de los recursos naturales.</w:t>
      </w:r>
    </w:p>
    <w:p>
      <w:pPr>
        <w:pStyle w:val="BodyText"/>
        <w:spacing w:before="10"/>
        <w:rPr>
          <w:sz w:val="21"/>
        </w:rPr>
      </w:pPr>
    </w:p>
    <w:p>
      <w:pPr>
        <w:pStyle w:val="BodyText"/>
        <w:ind w:left="901" w:right="1156"/>
        <w:jc w:val="both"/>
      </w:pPr>
      <w:r>
        <w:rPr/>
        <w:t>Es importante mencionar el riesgo que representa depender exclusivamente de las aguas subterráneas y no contar con un río o manantial de agua cercano. Esta situación y las malas prácticas de uso de este vital liquido, puede poner al municipio en una situación de escasez de agua en el futuro.</w:t>
      </w:r>
    </w:p>
    <w:p>
      <w:pPr>
        <w:pStyle w:val="BodyText"/>
        <w:rPr>
          <w:sz w:val="26"/>
        </w:rPr>
      </w:pPr>
    </w:p>
    <w:p>
      <w:pPr>
        <w:pStyle w:val="BodyText"/>
        <w:spacing w:before="1"/>
        <w:rPr>
          <w:sz w:val="20"/>
        </w:rPr>
      </w:pPr>
    </w:p>
    <w:p>
      <w:pPr>
        <w:pStyle w:val="Heading2"/>
        <w:jc w:val="both"/>
        <w:rPr>
          <w:rFonts w:ascii="Century Gothic" w:hAnsi="Century Gothic"/>
        </w:rPr>
      </w:pPr>
      <w:r>
        <w:rPr>
          <w:rFonts w:ascii="Century Gothic" w:hAnsi="Century Gothic"/>
        </w:rPr>
        <w:t>Deforestación y pérdida de biodiversidad</w:t>
      </w:r>
    </w:p>
    <w:p>
      <w:pPr>
        <w:pStyle w:val="BodyText"/>
        <w:spacing w:before="10"/>
        <w:rPr>
          <w:b/>
          <w:sz w:val="23"/>
        </w:rPr>
      </w:pPr>
    </w:p>
    <w:p>
      <w:pPr>
        <w:pStyle w:val="BodyText"/>
        <w:ind w:left="901" w:right="1155"/>
        <w:jc w:val="both"/>
      </w:pPr>
      <w:r>
        <w:rPr/>
        <w:t>El reto principal del sector forestal es el de satisfacer la demanda de productos forestales sin afectar la capacidad de los bosques, prestar los servicios ecológicos </w:t>
      </w:r>
      <w:r>
        <w:rPr>
          <w:spacing w:val="-3"/>
        </w:rPr>
        <w:t>de </w:t>
      </w:r>
      <w:r>
        <w:rPr/>
        <w:t>conservación de diversidad biológica, el alivio al cambio climático global, la protección contra la desertificación y degradación de recursos edafológicos, proteger las cuencas, los cauces de los ríos, los sistemas de drenaje natural, así como prevenir y controlar la erosión de los suelos y procurar su</w:t>
      </w:r>
      <w:r>
        <w:rPr>
          <w:spacing w:val="-8"/>
        </w:rPr>
        <w:t> </w:t>
      </w:r>
      <w:r>
        <w:rPr/>
        <w:t>restauración.</w:t>
      </w:r>
    </w:p>
    <w:p>
      <w:pPr>
        <w:pStyle w:val="BodyText"/>
        <w:spacing w:before="1"/>
      </w:pPr>
    </w:p>
    <w:p>
      <w:pPr>
        <w:pStyle w:val="BodyText"/>
        <w:spacing w:before="1"/>
        <w:ind w:left="901" w:right="1155"/>
        <w:jc w:val="both"/>
      </w:pPr>
      <w:r>
        <w:rPr/>
        <w:t>La degradación del recurso forestal a causa de los agentes de perturbación, a generado que casi la mitad del municipio sea área perturbada de bosques a causa de incendios, plagas y enfermedades, el cambio de uso del suelo o conversión de tierras con fines agropecuarios, el sobre pastoreo, los aprovechamiento no planeados o ilegales, talas clandestinas y comercialización de productos forestales a pequeña escala, así como la producción de importantes volúmenes de carbón.</w:t>
      </w:r>
    </w:p>
    <w:p>
      <w:pPr>
        <w:spacing w:after="0"/>
        <w:jc w:val="both"/>
        <w:sectPr>
          <w:pgSz w:w="12240" w:h="15840"/>
          <w:pgMar w:header="178" w:footer="1076" w:top="1120" w:bottom="1360" w:left="460" w:right="220"/>
        </w:sectPr>
      </w:pPr>
    </w:p>
    <w:p>
      <w:pPr>
        <w:pStyle w:val="BodyText"/>
        <w:rPr>
          <w:sz w:val="20"/>
        </w:rPr>
      </w:pPr>
    </w:p>
    <w:p>
      <w:pPr>
        <w:pStyle w:val="BodyText"/>
        <w:rPr>
          <w:sz w:val="20"/>
        </w:rPr>
      </w:pPr>
    </w:p>
    <w:p>
      <w:pPr>
        <w:pStyle w:val="BodyText"/>
        <w:spacing w:before="1"/>
        <w:rPr>
          <w:sz w:val="17"/>
        </w:rPr>
      </w:pPr>
    </w:p>
    <w:p>
      <w:pPr>
        <w:pStyle w:val="Heading2"/>
        <w:spacing w:before="100"/>
        <w:jc w:val="both"/>
        <w:rPr>
          <w:rFonts w:ascii="Century Gothic"/>
        </w:rPr>
      </w:pPr>
      <w:r>
        <w:rPr>
          <w:rFonts w:ascii="Century Gothic"/>
        </w:rPr>
        <w:t>Potencial forestal</w:t>
      </w:r>
    </w:p>
    <w:p>
      <w:pPr>
        <w:pStyle w:val="BodyText"/>
        <w:spacing w:before="10"/>
        <w:rPr>
          <w:b/>
          <w:sz w:val="23"/>
        </w:rPr>
      </w:pPr>
    </w:p>
    <w:p>
      <w:pPr>
        <w:pStyle w:val="BodyText"/>
        <w:spacing w:line="276" w:lineRule="auto" w:before="1"/>
        <w:ind w:left="901" w:right="1157"/>
        <w:jc w:val="both"/>
      </w:pPr>
      <w:r>
        <w:rPr/>
        <w:t>De acuerdo con los datos del Programa de Desarrollo Forestal de Jalisco (Prodefo) y de la Secretaría de Desarrollo Rural, que tienen como base el Inventario Forestal de 1994, la superficie por tipo de vegetación de Valles se presenta en el cuadro siguiente.</w:t>
      </w:r>
    </w:p>
    <w:p>
      <w:pPr>
        <w:pStyle w:val="BodyText"/>
        <w:spacing w:before="3"/>
        <w:rPr>
          <w:sz w:val="25"/>
        </w:rPr>
      </w:pPr>
    </w:p>
    <w:p>
      <w:pPr>
        <w:pStyle w:val="BodyText"/>
        <w:spacing w:line="276" w:lineRule="auto"/>
        <w:ind w:left="901" w:right="1157"/>
        <w:jc w:val="both"/>
      </w:pPr>
      <w:r>
        <w:rPr/>
        <w:t>El potencial forestal del municipio de Magdalena se evidencia a partir de los datos del siguiente cuadro, en los que, de acuerdo con el Prodefo, 63.10% de la superficie total del municipio se considera forestal. Esta superficie forestal se distribuye en el cerro </w:t>
      </w:r>
      <w:r>
        <w:rPr>
          <w:spacing w:val="-3"/>
        </w:rPr>
        <w:t>de </w:t>
      </w:r>
      <w:r>
        <w:rPr/>
        <w:t>Tequila, el Cerro Viejo y en el Cerro los Vértigos (rumbo a la mina La</w:t>
      </w:r>
      <w:r>
        <w:rPr>
          <w:spacing w:val="-21"/>
        </w:rPr>
        <w:t> </w:t>
      </w:r>
      <w:r>
        <w:rPr/>
        <w:t>Mora).</w:t>
      </w:r>
    </w:p>
    <w:p>
      <w:pPr>
        <w:pStyle w:val="BodyText"/>
        <w:spacing w:before="10"/>
        <w:rPr>
          <w:sz w:val="35"/>
        </w:rPr>
      </w:pPr>
    </w:p>
    <w:p>
      <w:pPr>
        <w:spacing w:before="0"/>
        <w:ind w:left="1001" w:right="1256" w:firstLine="0"/>
        <w:jc w:val="center"/>
        <w:rPr>
          <w:sz w:val="18"/>
        </w:rPr>
      </w:pPr>
      <w:r>
        <w:rPr>
          <w:sz w:val="18"/>
        </w:rPr>
        <w:t>TABLA 2. SUPERFICIE FORESTAL A NIVEL MUNICIPAL DE LA REGIÓN VALLES, JALISCO (HECTÁREAS Y %)</w:t>
      </w:r>
    </w:p>
    <w:p>
      <w:pPr>
        <w:pStyle w:val="BodyText"/>
        <w:spacing w:before="1" w:after="1"/>
        <w:rPr>
          <w:sz w:val="18"/>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14"/>
        <w:gridCol w:w="1234"/>
        <w:gridCol w:w="690"/>
        <w:gridCol w:w="1112"/>
        <w:gridCol w:w="690"/>
        <w:gridCol w:w="993"/>
        <w:gridCol w:w="565"/>
        <w:gridCol w:w="1115"/>
        <w:gridCol w:w="756"/>
        <w:gridCol w:w="1235"/>
        <w:gridCol w:w="690"/>
      </w:tblGrid>
      <w:tr>
        <w:trPr>
          <w:trHeight w:val="1277" w:hRule="atLeast"/>
        </w:trPr>
        <w:tc>
          <w:tcPr>
            <w:tcW w:w="2014" w:type="dxa"/>
            <w:vMerge w:val="restart"/>
            <w:tcBorders>
              <w:bottom w:val="single" w:sz="12" w:space="0" w:color="000000"/>
            </w:tcBorders>
            <w:shd w:val="clear" w:color="auto" w:fill="D7E3BB"/>
          </w:tcPr>
          <w:p>
            <w:pPr>
              <w:pStyle w:val="TableParagraph"/>
              <w:rPr>
                <w:sz w:val="20"/>
              </w:rPr>
            </w:pPr>
          </w:p>
          <w:p>
            <w:pPr>
              <w:pStyle w:val="TableParagraph"/>
              <w:rPr>
                <w:sz w:val="20"/>
              </w:rPr>
            </w:pPr>
          </w:p>
          <w:p>
            <w:pPr>
              <w:pStyle w:val="TableParagraph"/>
              <w:spacing w:before="12"/>
              <w:rPr>
                <w:sz w:val="23"/>
              </w:rPr>
            </w:pPr>
          </w:p>
          <w:p>
            <w:pPr>
              <w:pStyle w:val="TableParagraph"/>
              <w:ind w:left="585"/>
              <w:rPr>
                <w:sz w:val="16"/>
              </w:rPr>
            </w:pPr>
            <w:r>
              <w:rPr>
                <w:color w:val="4F6128"/>
                <w:sz w:val="16"/>
              </w:rPr>
              <w:t>MUNICIPIO</w:t>
            </w:r>
          </w:p>
        </w:tc>
        <w:tc>
          <w:tcPr>
            <w:tcW w:w="1924" w:type="dxa"/>
            <w:gridSpan w:val="2"/>
            <w:tcBorders>
              <w:bottom w:val="single" w:sz="6" w:space="0" w:color="000000"/>
            </w:tcBorders>
            <w:shd w:val="clear" w:color="auto" w:fill="D7E3BB"/>
          </w:tcPr>
          <w:p>
            <w:pPr>
              <w:pStyle w:val="TableParagraph"/>
              <w:rPr>
                <w:sz w:val="20"/>
              </w:rPr>
            </w:pPr>
          </w:p>
          <w:p>
            <w:pPr>
              <w:pStyle w:val="TableParagraph"/>
              <w:spacing w:before="7"/>
              <w:rPr>
                <w:sz w:val="24"/>
              </w:rPr>
            </w:pPr>
          </w:p>
          <w:p>
            <w:pPr>
              <w:pStyle w:val="TableParagraph"/>
              <w:ind w:left="602"/>
              <w:rPr>
                <w:sz w:val="16"/>
              </w:rPr>
            </w:pPr>
            <w:r>
              <w:rPr>
                <w:color w:val="4F6128"/>
                <w:sz w:val="16"/>
              </w:rPr>
              <w:t>BOSQUES</w:t>
            </w:r>
          </w:p>
        </w:tc>
        <w:tc>
          <w:tcPr>
            <w:tcW w:w="1802" w:type="dxa"/>
            <w:gridSpan w:val="2"/>
            <w:tcBorders>
              <w:bottom w:val="single" w:sz="6" w:space="0" w:color="000000"/>
            </w:tcBorders>
            <w:shd w:val="clear" w:color="auto" w:fill="D7E3BB"/>
          </w:tcPr>
          <w:p>
            <w:pPr>
              <w:pStyle w:val="TableParagraph"/>
              <w:rPr>
                <w:sz w:val="20"/>
              </w:rPr>
            </w:pPr>
          </w:p>
          <w:p>
            <w:pPr>
              <w:pStyle w:val="TableParagraph"/>
              <w:spacing w:before="7"/>
              <w:rPr>
                <w:sz w:val="24"/>
              </w:rPr>
            </w:pPr>
          </w:p>
          <w:p>
            <w:pPr>
              <w:pStyle w:val="TableParagraph"/>
              <w:ind w:left="601" w:right="600"/>
              <w:jc w:val="center"/>
              <w:rPr>
                <w:sz w:val="16"/>
              </w:rPr>
            </w:pPr>
            <w:r>
              <w:rPr>
                <w:color w:val="4F6128"/>
                <w:sz w:val="16"/>
              </w:rPr>
              <w:t>SELVAS</w:t>
            </w:r>
          </w:p>
        </w:tc>
        <w:tc>
          <w:tcPr>
            <w:tcW w:w="1558" w:type="dxa"/>
            <w:gridSpan w:val="2"/>
            <w:tcBorders>
              <w:bottom w:val="single" w:sz="6" w:space="0" w:color="000000"/>
            </w:tcBorders>
            <w:shd w:val="clear" w:color="auto" w:fill="D7E3BB"/>
          </w:tcPr>
          <w:p>
            <w:pPr>
              <w:pStyle w:val="TableParagraph"/>
              <w:rPr>
                <w:sz w:val="20"/>
              </w:rPr>
            </w:pPr>
          </w:p>
          <w:p>
            <w:pPr>
              <w:pStyle w:val="TableParagraph"/>
              <w:spacing w:before="7"/>
              <w:rPr>
                <w:sz w:val="16"/>
              </w:rPr>
            </w:pPr>
          </w:p>
          <w:p>
            <w:pPr>
              <w:pStyle w:val="TableParagraph"/>
              <w:ind w:left="462" w:right="102" w:hanging="344"/>
              <w:rPr>
                <w:sz w:val="16"/>
              </w:rPr>
            </w:pPr>
            <w:r>
              <w:rPr>
                <w:color w:val="4F6128"/>
                <w:sz w:val="16"/>
              </w:rPr>
              <w:t>ARBUSTOS Y HER- BÁCEAS</w:t>
            </w:r>
          </w:p>
        </w:tc>
        <w:tc>
          <w:tcPr>
            <w:tcW w:w="1871" w:type="dxa"/>
            <w:gridSpan w:val="2"/>
            <w:tcBorders>
              <w:bottom w:val="single" w:sz="6" w:space="0" w:color="000000"/>
            </w:tcBorders>
            <w:shd w:val="clear" w:color="auto" w:fill="D7E3BB"/>
          </w:tcPr>
          <w:p>
            <w:pPr>
              <w:pStyle w:val="TableParagraph"/>
              <w:rPr>
                <w:sz w:val="20"/>
              </w:rPr>
            </w:pPr>
          </w:p>
          <w:p>
            <w:pPr>
              <w:pStyle w:val="TableParagraph"/>
              <w:spacing w:before="7"/>
              <w:rPr>
                <w:sz w:val="24"/>
              </w:rPr>
            </w:pPr>
          </w:p>
          <w:p>
            <w:pPr>
              <w:pStyle w:val="TableParagraph"/>
              <w:ind w:left="119"/>
              <w:rPr>
                <w:sz w:val="16"/>
              </w:rPr>
            </w:pPr>
            <w:r>
              <w:rPr>
                <w:color w:val="4F6128"/>
                <w:sz w:val="16"/>
              </w:rPr>
              <w:t>ÁREAS PERTURBADAS</w:t>
            </w:r>
          </w:p>
        </w:tc>
        <w:tc>
          <w:tcPr>
            <w:tcW w:w="1925" w:type="dxa"/>
            <w:gridSpan w:val="2"/>
            <w:tcBorders>
              <w:bottom w:val="single" w:sz="6" w:space="0" w:color="000000"/>
            </w:tcBorders>
            <w:shd w:val="clear" w:color="auto" w:fill="D7E3BB"/>
          </w:tcPr>
          <w:p>
            <w:pPr>
              <w:pStyle w:val="TableParagraph"/>
              <w:rPr>
                <w:sz w:val="20"/>
              </w:rPr>
            </w:pPr>
          </w:p>
          <w:p>
            <w:pPr>
              <w:pStyle w:val="TableParagraph"/>
              <w:spacing w:before="7"/>
              <w:rPr>
                <w:sz w:val="24"/>
              </w:rPr>
            </w:pPr>
          </w:p>
          <w:p>
            <w:pPr>
              <w:pStyle w:val="TableParagraph"/>
              <w:ind w:left="327"/>
              <w:rPr>
                <w:sz w:val="16"/>
              </w:rPr>
            </w:pPr>
            <w:r>
              <w:rPr>
                <w:color w:val="4F6128"/>
                <w:sz w:val="16"/>
              </w:rPr>
              <w:t>TOTAL FORESTAL</w:t>
            </w:r>
          </w:p>
        </w:tc>
      </w:tr>
      <w:tr>
        <w:trPr>
          <w:trHeight w:val="450" w:hRule="atLeast"/>
        </w:trPr>
        <w:tc>
          <w:tcPr>
            <w:tcW w:w="2014" w:type="dxa"/>
            <w:vMerge/>
            <w:tcBorders>
              <w:top w:val="nil"/>
              <w:bottom w:val="single" w:sz="12" w:space="0" w:color="000000"/>
            </w:tcBorders>
            <w:shd w:val="clear" w:color="auto" w:fill="D7E3BB"/>
          </w:tcPr>
          <w:p>
            <w:pPr>
              <w:rPr>
                <w:sz w:val="2"/>
                <w:szCs w:val="2"/>
              </w:rPr>
            </w:pPr>
          </w:p>
        </w:tc>
        <w:tc>
          <w:tcPr>
            <w:tcW w:w="1234" w:type="dxa"/>
            <w:tcBorders>
              <w:top w:val="single" w:sz="6" w:space="0" w:color="000000"/>
              <w:bottom w:val="single" w:sz="12" w:space="0" w:color="000000"/>
            </w:tcBorders>
            <w:shd w:val="clear" w:color="auto" w:fill="D7E3BB"/>
          </w:tcPr>
          <w:p>
            <w:pPr>
              <w:pStyle w:val="TableParagraph"/>
              <w:spacing w:before="125"/>
              <w:ind w:left="197" w:right="187"/>
              <w:jc w:val="center"/>
              <w:rPr>
                <w:sz w:val="16"/>
              </w:rPr>
            </w:pPr>
            <w:r>
              <w:rPr>
                <w:color w:val="4F6128"/>
                <w:sz w:val="16"/>
              </w:rPr>
              <w:t>SUP</w:t>
            </w:r>
          </w:p>
        </w:tc>
        <w:tc>
          <w:tcPr>
            <w:tcW w:w="690" w:type="dxa"/>
            <w:tcBorders>
              <w:top w:val="single" w:sz="6" w:space="0" w:color="000000"/>
              <w:bottom w:val="single" w:sz="12" w:space="0" w:color="000000"/>
            </w:tcBorders>
            <w:shd w:val="clear" w:color="auto" w:fill="D7E3BB"/>
          </w:tcPr>
          <w:p>
            <w:pPr>
              <w:pStyle w:val="TableParagraph"/>
              <w:spacing w:before="8"/>
              <w:rPr>
                <w:sz w:val="14"/>
              </w:rPr>
            </w:pPr>
          </w:p>
          <w:p>
            <w:pPr>
              <w:pStyle w:val="TableParagraph"/>
              <w:spacing w:before="1"/>
              <w:ind w:left="11"/>
              <w:jc w:val="center"/>
              <w:rPr>
                <w:sz w:val="16"/>
              </w:rPr>
            </w:pPr>
            <w:r>
              <w:rPr>
                <w:color w:val="4F6128"/>
                <w:w w:val="100"/>
                <w:sz w:val="16"/>
              </w:rPr>
              <w:t>%</w:t>
            </w:r>
          </w:p>
        </w:tc>
        <w:tc>
          <w:tcPr>
            <w:tcW w:w="1112" w:type="dxa"/>
            <w:tcBorders>
              <w:top w:val="single" w:sz="6" w:space="0" w:color="000000"/>
              <w:bottom w:val="single" w:sz="12" w:space="0" w:color="000000"/>
            </w:tcBorders>
            <w:shd w:val="clear" w:color="auto" w:fill="D7E3BB"/>
          </w:tcPr>
          <w:p>
            <w:pPr>
              <w:pStyle w:val="TableParagraph"/>
              <w:spacing w:before="8"/>
              <w:rPr>
                <w:sz w:val="14"/>
              </w:rPr>
            </w:pPr>
          </w:p>
          <w:p>
            <w:pPr>
              <w:pStyle w:val="TableParagraph"/>
              <w:spacing w:before="1"/>
              <w:ind w:left="177" w:right="172"/>
              <w:jc w:val="center"/>
              <w:rPr>
                <w:sz w:val="16"/>
              </w:rPr>
            </w:pPr>
            <w:r>
              <w:rPr>
                <w:color w:val="4F6128"/>
                <w:sz w:val="16"/>
              </w:rPr>
              <w:t>SUP</w:t>
            </w:r>
          </w:p>
        </w:tc>
        <w:tc>
          <w:tcPr>
            <w:tcW w:w="690" w:type="dxa"/>
            <w:tcBorders>
              <w:top w:val="single" w:sz="6" w:space="0" w:color="000000"/>
              <w:bottom w:val="single" w:sz="12" w:space="0" w:color="000000"/>
            </w:tcBorders>
            <w:shd w:val="clear" w:color="auto" w:fill="D7E3BB"/>
          </w:tcPr>
          <w:p>
            <w:pPr>
              <w:pStyle w:val="TableParagraph"/>
              <w:spacing w:before="8"/>
              <w:rPr>
                <w:sz w:val="14"/>
              </w:rPr>
            </w:pPr>
          </w:p>
          <w:p>
            <w:pPr>
              <w:pStyle w:val="TableParagraph"/>
              <w:spacing w:before="1"/>
              <w:ind w:left="7"/>
              <w:jc w:val="center"/>
              <w:rPr>
                <w:sz w:val="16"/>
              </w:rPr>
            </w:pPr>
            <w:r>
              <w:rPr>
                <w:color w:val="4F6128"/>
                <w:w w:val="100"/>
                <w:sz w:val="16"/>
              </w:rPr>
              <w:t>%</w:t>
            </w:r>
          </w:p>
        </w:tc>
        <w:tc>
          <w:tcPr>
            <w:tcW w:w="993" w:type="dxa"/>
            <w:tcBorders>
              <w:top w:val="single" w:sz="6" w:space="0" w:color="000000"/>
              <w:bottom w:val="single" w:sz="12" w:space="0" w:color="000000"/>
            </w:tcBorders>
            <w:shd w:val="clear" w:color="auto" w:fill="D7E3BB"/>
          </w:tcPr>
          <w:p>
            <w:pPr>
              <w:pStyle w:val="TableParagraph"/>
              <w:spacing w:before="8"/>
              <w:rPr>
                <w:sz w:val="14"/>
              </w:rPr>
            </w:pPr>
          </w:p>
          <w:p>
            <w:pPr>
              <w:pStyle w:val="TableParagraph"/>
              <w:spacing w:before="1"/>
              <w:ind w:left="160" w:right="161"/>
              <w:jc w:val="center"/>
              <w:rPr>
                <w:sz w:val="16"/>
              </w:rPr>
            </w:pPr>
            <w:r>
              <w:rPr>
                <w:color w:val="4F6128"/>
                <w:sz w:val="16"/>
              </w:rPr>
              <w:t>SUP</w:t>
            </w:r>
          </w:p>
        </w:tc>
        <w:tc>
          <w:tcPr>
            <w:tcW w:w="565" w:type="dxa"/>
            <w:tcBorders>
              <w:top w:val="single" w:sz="6" w:space="0" w:color="000000"/>
              <w:bottom w:val="single" w:sz="12" w:space="0" w:color="000000"/>
            </w:tcBorders>
            <w:shd w:val="clear" w:color="auto" w:fill="D7E3BB"/>
          </w:tcPr>
          <w:p>
            <w:pPr>
              <w:pStyle w:val="TableParagraph"/>
              <w:spacing w:before="8"/>
              <w:rPr>
                <w:sz w:val="14"/>
              </w:rPr>
            </w:pPr>
          </w:p>
          <w:p>
            <w:pPr>
              <w:pStyle w:val="TableParagraph"/>
              <w:spacing w:before="1"/>
              <w:jc w:val="center"/>
              <w:rPr>
                <w:sz w:val="16"/>
              </w:rPr>
            </w:pPr>
            <w:r>
              <w:rPr>
                <w:color w:val="4F6128"/>
                <w:w w:val="100"/>
                <w:sz w:val="16"/>
              </w:rPr>
              <w:t>%</w:t>
            </w:r>
          </w:p>
        </w:tc>
        <w:tc>
          <w:tcPr>
            <w:tcW w:w="1115" w:type="dxa"/>
            <w:tcBorders>
              <w:top w:val="single" w:sz="6" w:space="0" w:color="000000"/>
              <w:bottom w:val="single" w:sz="12" w:space="0" w:color="000000"/>
            </w:tcBorders>
            <w:shd w:val="clear" w:color="auto" w:fill="D7E3BB"/>
          </w:tcPr>
          <w:p>
            <w:pPr>
              <w:pStyle w:val="TableParagraph"/>
              <w:spacing w:before="8"/>
              <w:rPr>
                <w:sz w:val="14"/>
              </w:rPr>
            </w:pPr>
          </w:p>
          <w:p>
            <w:pPr>
              <w:pStyle w:val="TableParagraph"/>
              <w:spacing w:before="1"/>
              <w:ind w:left="176" w:right="177"/>
              <w:jc w:val="center"/>
              <w:rPr>
                <w:sz w:val="16"/>
              </w:rPr>
            </w:pPr>
            <w:r>
              <w:rPr>
                <w:color w:val="4F6128"/>
                <w:sz w:val="16"/>
              </w:rPr>
              <w:t>SUP</w:t>
            </w:r>
          </w:p>
        </w:tc>
        <w:tc>
          <w:tcPr>
            <w:tcW w:w="756" w:type="dxa"/>
            <w:tcBorders>
              <w:top w:val="single" w:sz="6" w:space="0" w:color="000000"/>
              <w:bottom w:val="single" w:sz="12" w:space="0" w:color="000000"/>
            </w:tcBorders>
            <w:shd w:val="clear" w:color="auto" w:fill="D7E3BB"/>
          </w:tcPr>
          <w:p>
            <w:pPr>
              <w:pStyle w:val="TableParagraph"/>
              <w:spacing w:before="8"/>
              <w:rPr>
                <w:sz w:val="14"/>
              </w:rPr>
            </w:pPr>
          </w:p>
          <w:p>
            <w:pPr>
              <w:pStyle w:val="TableParagraph"/>
              <w:spacing w:before="1"/>
              <w:ind w:right="3"/>
              <w:jc w:val="center"/>
              <w:rPr>
                <w:sz w:val="16"/>
              </w:rPr>
            </w:pPr>
            <w:r>
              <w:rPr>
                <w:color w:val="4F6128"/>
                <w:w w:val="100"/>
                <w:sz w:val="16"/>
              </w:rPr>
              <w:t>%</w:t>
            </w:r>
          </w:p>
        </w:tc>
        <w:tc>
          <w:tcPr>
            <w:tcW w:w="1235" w:type="dxa"/>
            <w:tcBorders>
              <w:top w:val="single" w:sz="6" w:space="0" w:color="000000"/>
              <w:bottom w:val="single" w:sz="12" w:space="0" w:color="000000"/>
            </w:tcBorders>
            <w:shd w:val="clear" w:color="auto" w:fill="D7E3BB"/>
          </w:tcPr>
          <w:p>
            <w:pPr>
              <w:pStyle w:val="TableParagraph"/>
              <w:spacing w:before="8"/>
              <w:rPr>
                <w:sz w:val="14"/>
              </w:rPr>
            </w:pPr>
          </w:p>
          <w:p>
            <w:pPr>
              <w:pStyle w:val="TableParagraph"/>
              <w:spacing w:before="1"/>
              <w:ind w:left="190" w:right="195"/>
              <w:jc w:val="center"/>
              <w:rPr>
                <w:sz w:val="16"/>
              </w:rPr>
            </w:pPr>
            <w:r>
              <w:rPr>
                <w:color w:val="4F6128"/>
                <w:sz w:val="16"/>
              </w:rPr>
              <w:t>SUP</w:t>
            </w:r>
          </w:p>
        </w:tc>
        <w:tc>
          <w:tcPr>
            <w:tcW w:w="690" w:type="dxa"/>
            <w:tcBorders>
              <w:top w:val="single" w:sz="6" w:space="0" w:color="000000"/>
              <w:bottom w:val="single" w:sz="12" w:space="0" w:color="000000"/>
            </w:tcBorders>
            <w:shd w:val="clear" w:color="auto" w:fill="D7E3BB"/>
          </w:tcPr>
          <w:p>
            <w:pPr>
              <w:pStyle w:val="TableParagraph"/>
              <w:spacing w:before="8"/>
              <w:rPr>
                <w:sz w:val="14"/>
              </w:rPr>
            </w:pPr>
          </w:p>
          <w:p>
            <w:pPr>
              <w:pStyle w:val="TableParagraph"/>
              <w:spacing w:before="1"/>
              <w:ind w:right="7"/>
              <w:jc w:val="center"/>
              <w:rPr>
                <w:sz w:val="16"/>
              </w:rPr>
            </w:pPr>
            <w:r>
              <w:rPr>
                <w:color w:val="4F6128"/>
                <w:w w:val="100"/>
                <w:sz w:val="16"/>
              </w:rPr>
              <w:t>%</w:t>
            </w:r>
          </w:p>
        </w:tc>
      </w:tr>
      <w:tr>
        <w:trPr>
          <w:trHeight w:val="459" w:hRule="atLeast"/>
        </w:trPr>
        <w:tc>
          <w:tcPr>
            <w:tcW w:w="2014" w:type="dxa"/>
            <w:tcBorders>
              <w:top w:val="single" w:sz="12" w:space="0" w:color="000000"/>
              <w:bottom w:val="single" w:sz="6" w:space="0" w:color="000000"/>
            </w:tcBorders>
            <w:shd w:val="clear" w:color="auto" w:fill="D7E3BB"/>
          </w:tcPr>
          <w:p>
            <w:pPr>
              <w:pStyle w:val="TableParagraph"/>
              <w:spacing w:before="3"/>
              <w:rPr>
                <w:sz w:val="15"/>
              </w:rPr>
            </w:pPr>
          </w:p>
          <w:p>
            <w:pPr>
              <w:pStyle w:val="TableParagraph"/>
              <w:ind w:left="81"/>
              <w:rPr>
                <w:sz w:val="16"/>
              </w:rPr>
            </w:pPr>
            <w:r>
              <w:rPr>
                <w:color w:val="4F6128"/>
                <w:sz w:val="16"/>
              </w:rPr>
              <w:t>AHUALULCO DE M.</w:t>
            </w:r>
          </w:p>
        </w:tc>
        <w:tc>
          <w:tcPr>
            <w:tcW w:w="1234" w:type="dxa"/>
            <w:tcBorders>
              <w:top w:val="single" w:sz="12" w:space="0" w:color="000000"/>
              <w:bottom w:val="single" w:sz="6" w:space="0" w:color="000000"/>
            </w:tcBorders>
          </w:tcPr>
          <w:p>
            <w:pPr>
              <w:pStyle w:val="TableParagraph"/>
              <w:spacing w:before="3"/>
              <w:rPr>
                <w:sz w:val="15"/>
              </w:rPr>
            </w:pPr>
          </w:p>
          <w:p>
            <w:pPr>
              <w:pStyle w:val="TableParagraph"/>
              <w:ind w:right="295"/>
              <w:jc w:val="right"/>
              <w:rPr>
                <w:sz w:val="16"/>
              </w:rPr>
            </w:pPr>
            <w:r>
              <w:rPr>
                <w:sz w:val="16"/>
              </w:rPr>
              <w:t>4,086.39</w:t>
            </w:r>
          </w:p>
        </w:tc>
        <w:tc>
          <w:tcPr>
            <w:tcW w:w="690" w:type="dxa"/>
            <w:tcBorders>
              <w:top w:val="single" w:sz="12" w:space="0" w:color="000000"/>
              <w:bottom w:val="single" w:sz="6" w:space="0" w:color="000000"/>
            </w:tcBorders>
          </w:tcPr>
          <w:p>
            <w:pPr>
              <w:pStyle w:val="TableParagraph"/>
              <w:spacing w:before="3"/>
              <w:rPr>
                <w:sz w:val="15"/>
              </w:rPr>
            </w:pPr>
          </w:p>
          <w:p>
            <w:pPr>
              <w:pStyle w:val="TableParagraph"/>
              <w:ind w:left="146"/>
              <w:rPr>
                <w:sz w:val="16"/>
              </w:rPr>
            </w:pPr>
            <w:r>
              <w:rPr>
                <w:sz w:val="16"/>
              </w:rPr>
              <w:t>17.27</w:t>
            </w:r>
          </w:p>
        </w:tc>
        <w:tc>
          <w:tcPr>
            <w:tcW w:w="1112" w:type="dxa"/>
            <w:tcBorders>
              <w:top w:val="single" w:sz="12" w:space="0" w:color="000000"/>
              <w:bottom w:val="single" w:sz="6" w:space="0" w:color="000000"/>
            </w:tcBorders>
          </w:tcPr>
          <w:p>
            <w:pPr>
              <w:pStyle w:val="TableParagraph"/>
              <w:spacing w:before="3"/>
              <w:rPr>
                <w:sz w:val="15"/>
              </w:rPr>
            </w:pPr>
          </w:p>
          <w:p>
            <w:pPr>
              <w:pStyle w:val="TableParagraph"/>
              <w:ind w:left="177" w:right="170"/>
              <w:jc w:val="center"/>
              <w:rPr>
                <w:sz w:val="16"/>
              </w:rPr>
            </w:pPr>
            <w:r>
              <w:rPr>
                <w:sz w:val="16"/>
              </w:rPr>
              <w:t>1.16</w:t>
            </w:r>
          </w:p>
        </w:tc>
        <w:tc>
          <w:tcPr>
            <w:tcW w:w="690" w:type="dxa"/>
            <w:tcBorders>
              <w:top w:val="single" w:sz="12" w:space="0" w:color="000000"/>
              <w:bottom w:val="single" w:sz="6" w:space="0" w:color="000000"/>
            </w:tcBorders>
          </w:tcPr>
          <w:p>
            <w:pPr>
              <w:pStyle w:val="TableParagraph"/>
              <w:spacing w:before="3"/>
              <w:rPr>
                <w:sz w:val="15"/>
              </w:rPr>
            </w:pPr>
          </w:p>
          <w:p>
            <w:pPr>
              <w:pStyle w:val="TableParagraph"/>
              <w:ind w:left="117" w:right="110"/>
              <w:jc w:val="center"/>
              <w:rPr>
                <w:sz w:val="16"/>
              </w:rPr>
            </w:pPr>
            <w:r>
              <w:rPr>
                <w:sz w:val="16"/>
              </w:rPr>
              <w:t>0.0</w:t>
            </w:r>
          </w:p>
        </w:tc>
        <w:tc>
          <w:tcPr>
            <w:tcW w:w="993" w:type="dxa"/>
            <w:tcBorders>
              <w:top w:val="single" w:sz="12" w:space="0" w:color="000000"/>
              <w:bottom w:val="single" w:sz="6" w:space="0" w:color="000000"/>
            </w:tcBorders>
          </w:tcPr>
          <w:p>
            <w:pPr>
              <w:pStyle w:val="TableParagraph"/>
              <w:spacing w:before="3"/>
              <w:rPr>
                <w:sz w:val="15"/>
              </w:rPr>
            </w:pPr>
          </w:p>
          <w:p>
            <w:pPr>
              <w:pStyle w:val="TableParagraph"/>
              <w:ind w:left="160" w:right="161"/>
              <w:jc w:val="center"/>
              <w:rPr>
                <w:sz w:val="16"/>
              </w:rPr>
            </w:pPr>
            <w:r>
              <w:rPr>
                <w:sz w:val="16"/>
              </w:rPr>
              <w:t>211.94</w:t>
            </w:r>
          </w:p>
        </w:tc>
        <w:tc>
          <w:tcPr>
            <w:tcW w:w="565" w:type="dxa"/>
            <w:tcBorders>
              <w:top w:val="single" w:sz="12" w:space="0" w:color="000000"/>
              <w:bottom w:val="single" w:sz="6" w:space="0" w:color="000000"/>
            </w:tcBorders>
          </w:tcPr>
          <w:p>
            <w:pPr>
              <w:pStyle w:val="TableParagraph"/>
              <w:spacing w:before="3"/>
              <w:rPr>
                <w:sz w:val="15"/>
              </w:rPr>
            </w:pPr>
          </w:p>
          <w:p>
            <w:pPr>
              <w:pStyle w:val="TableParagraph"/>
              <w:ind w:left="102" w:right="102"/>
              <w:jc w:val="center"/>
              <w:rPr>
                <w:sz w:val="16"/>
              </w:rPr>
            </w:pPr>
            <w:r>
              <w:rPr>
                <w:sz w:val="16"/>
              </w:rPr>
              <w:t>0.9</w:t>
            </w:r>
          </w:p>
        </w:tc>
        <w:tc>
          <w:tcPr>
            <w:tcW w:w="1115" w:type="dxa"/>
            <w:tcBorders>
              <w:top w:val="single" w:sz="12" w:space="0" w:color="000000"/>
              <w:bottom w:val="single" w:sz="6" w:space="0" w:color="000000"/>
            </w:tcBorders>
          </w:tcPr>
          <w:p>
            <w:pPr>
              <w:pStyle w:val="TableParagraph"/>
              <w:spacing w:before="3"/>
              <w:rPr>
                <w:sz w:val="15"/>
              </w:rPr>
            </w:pPr>
          </w:p>
          <w:p>
            <w:pPr>
              <w:pStyle w:val="TableParagraph"/>
              <w:ind w:left="176" w:right="176"/>
              <w:jc w:val="center"/>
              <w:rPr>
                <w:sz w:val="16"/>
              </w:rPr>
            </w:pPr>
            <w:r>
              <w:rPr>
                <w:sz w:val="16"/>
              </w:rPr>
              <w:t>4,595.59</w:t>
            </w:r>
          </w:p>
        </w:tc>
        <w:tc>
          <w:tcPr>
            <w:tcW w:w="756" w:type="dxa"/>
            <w:tcBorders>
              <w:top w:val="single" w:sz="12" w:space="0" w:color="000000"/>
              <w:bottom w:val="single" w:sz="6" w:space="0" w:color="000000"/>
            </w:tcBorders>
          </w:tcPr>
          <w:p>
            <w:pPr>
              <w:pStyle w:val="TableParagraph"/>
              <w:spacing w:before="3"/>
              <w:rPr>
                <w:sz w:val="15"/>
              </w:rPr>
            </w:pPr>
          </w:p>
          <w:p>
            <w:pPr>
              <w:pStyle w:val="TableParagraph"/>
              <w:ind w:left="152" w:right="155"/>
              <w:jc w:val="center"/>
              <w:rPr>
                <w:sz w:val="16"/>
              </w:rPr>
            </w:pPr>
            <w:r>
              <w:rPr>
                <w:sz w:val="16"/>
              </w:rPr>
              <w:t>19.43</w:t>
            </w:r>
          </w:p>
        </w:tc>
        <w:tc>
          <w:tcPr>
            <w:tcW w:w="1235" w:type="dxa"/>
            <w:tcBorders>
              <w:top w:val="single" w:sz="12" w:space="0" w:color="000000"/>
              <w:bottom w:val="single" w:sz="6" w:space="0" w:color="000000"/>
            </w:tcBorders>
          </w:tcPr>
          <w:p>
            <w:pPr>
              <w:pStyle w:val="TableParagraph"/>
              <w:spacing w:before="3"/>
              <w:rPr>
                <w:sz w:val="15"/>
              </w:rPr>
            </w:pPr>
          </w:p>
          <w:p>
            <w:pPr>
              <w:pStyle w:val="TableParagraph"/>
              <w:ind w:left="190" w:right="196"/>
              <w:jc w:val="center"/>
              <w:rPr>
                <w:sz w:val="16"/>
              </w:rPr>
            </w:pPr>
            <w:r>
              <w:rPr>
                <w:sz w:val="16"/>
              </w:rPr>
              <w:t>8,895.09</w:t>
            </w:r>
          </w:p>
        </w:tc>
        <w:tc>
          <w:tcPr>
            <w:tcW w:w="690" w:type="dxa"/>
            <w:tcBorders>
              <w:top w:val="single" w:sz="12" w:space="0" w:color="000000"/>
              <w:bottom w:val="single" w:sz="6" w:space="0" w:color="000000"/>
            </w:tcBorders>
          </w:tcPr>
          <w:p>
            <w:pPr>
              <w:pStyle w:val="TableParagraph"/>
              <w:spacing w:before="3"/>
              <w:rPr>
                <w:sz w:val="15"/>
              </w:rPr>
            </w:pPr>
          </w:p>
          <w:p>
            <w:pPr>
              <w:pStyle w:val="TableParagraph"/>
              <w:ind w:left="108" w:right="117"/>
              <w:jc w:val="center"/>
              <w:rPr>
                <w:sz w:val="16"/>
              </w:rPr>
            </w:pPr>
            <w:r>
              <w:rPr>
                <w:sz w:val="16"/>
              </w:rPr>
              <w:t>37.6</w:t>
            </w:r>
          </w:p>
        </w:tc>
      </w:tr>
      <w:tr>
        <w:trPr>
          <w:trHeight w:val="551" w:hRule="atLeast"/>
        </w:trPr>
        <w:tc>
          <w:tcPr>
            <w:tcW w:w="2014" w:type="dxa"/>
            <w:tcBorders>
              <w:top w:val="single" w:sz="6" w:space="0" w:color="000000"/>
              <w:bottom w:val="single" w:sz="6" w:space="0" w:color="000000"/>
            </w:tcBorders>
            <w:shd w:val="clear" w:color="auto" w:fill="D7E3BB"/>
          </w:tcPr>
          <w:p>
            <w:pPr>
              <w:pStyle w:val="TableParagraph"/>
              <w:spacing w:before="7"/>
              <w:rPr>
                <w:sz w:val="22"/>
              </w:rPr>
            </w:pPr>
          </w:p>
          <w:p>
            <w:pPr>
              <w:pStyle w:val="TableParagraph"/>
              <w:ind w:left="81"/>
              <w:rPr>
                <w:sz w:val="16"/>
              </w:rPr>
            </w:pPr>
            <w:r>
              <w:rPr>
                <w:color w:val="4F6128"/>
                <w:sz w:val="16"/>
              </w:rPr>
              <w:t>AMATITÁN</w:t>
            </w:r>
          </w:p>
        </w:tc>
        <w:tc>
          <w:tcPr>
            <w:tcW w:w="1234" w:type="dxa"/>
            <w:tcBorders>
              <w:top w:val="single" w:sz="6" w:space="0" w:color="000000"/>
              <w:bottom w:val="single" w:sz="6" w:space="0" w:color="000000"/>
            </w:tcBorders>
          </w:tcPr>
          <w:p>
            <w:pPr>
              <w:pStyle w:val="TableParagraph"/>
              <w:spacing w:before="7"/>
              <w:rPr>
                <w:sz w:val="22"/>
              </w:rPr>
            </w:pPr>
          </w:p>
          <w:p>
            <w:pPr>
              <w:pStyle w:val="TableParagraph"/>
              <w:ind w:right="295"/>
              <w:jc w:val="right"/>
              <w:rPr>
                <w:sz w:val="16"/>
              </w:rPr>
            </w:pPr>
            <w:r>
              <w:rPr>
                <w:sz w:val="16"/>
              </w:rPr>
              <w:t>3,782.40</w:t>
            </w:r>
          </w:p>
        </w:tc>
        <w:tc>
          <w:tcPr>
            <w:tcW w:w="690" w:type="dxa"/>
            <w:tcBorders>
              <w:top w:val="single" w:sz="6" w:space="0" w:color="000000"/>
              <w:bottom w:val="single" w:sz="6" w:space="0" w:color="000000"/>
            </w:tcBorders>
          </w:tcPr>
          <w:p>
            <w:pPr>
              <w:pStyle w:val="TableParagraph"/>
              <w:spacing w:before="7"/>
              <w:rPr>
                <w:sz w:val="22"/>
              </w:rPr>
            </w:pPr>
          </w:p>
          <w:p>
            <w:pPr>
              <w:pStyle w:val="TableParagraph"/>
              <w:ind w:left="146"/>
              <w:rPr>
                <w:sz w:val="16"/>
              </w:rPr>
            </w:pPr>
            <w:r>
              <w:rPr>
                <w:sz w:val="16"/>
              </w:rPr>
              <w:t>13.98</w:t>
            </w:r>
          </w:p>
        </w:tc>
        <w:tc>
          <w:tcPr>
            <w:tcW w:w="1112" w:type="dxa"/>
            <w:tcBorders>
              <w:top w:val="single" w:sz="6" w:space="0" w:color="000000"/>
              <w:bottom w:val="single" w:sz="6" w:space="0" w:color="000000"/>
            </w:tcBorders>
          </w:tcPr>
          <w:p>
            <w:pPr>
              <w:pStyle w:val="TableParagraph"/>
              <w:spacing w:before="7"/>
              <w:rPr>
                <w:sz w:val="22"/>
              </w:rPr>
            </w:pPr>
          </w:p>
          <w:p>
            <w:pPr>
              <w:pStyle w:val="TableParagraph"/>
              <w:ind w:left="177" w:right="173"/>
              <w:jc w:val="center"/>
              <w:rPr>
                <w:sz w:val="16"/>
              </w:rPr>
            </w:pPr>
            <w:r>
              <w:rPr>
                <w:sz w:val="16"/>
              </w:rPr>
              <w:t>3,048.58</w:t>
            </w:r>
          </w:p>
        </w:tc>
        <w:tc>
          <w:tcPr>
            <w:tcW w:w="690" w:type="dxa"/>
            <w:tcBorders>
              <w:top w:val="single" w:sz="6" w:space="0" w:color="000000"/>
              <w:bottom w:val="single" w:sz="6" w:space="0" w:color="000000"/>
            </w:tcBorders>
          </w:tcPr>
          <w:p>
            <w:pPr>
              <w:pStyle w:val="TableParagraph"/>
              <w:spacing w:before="7"/>
              <w:rPr>
                <w:sz w:val="22"/>
              </w:rPr>
            </w:pPr>
          </w:p>
          <w:p>
            <w:pPr>
              <w:pStyle w:val="TableParagraph"/>
              <w:ind w:left="117" w:right="110"/>
              <w:jc w:val="center"/>
              <w:rPr>
                <w:sz w:val="16"/>
              </w:rPr>
            </w:pPr>
            <w:r>
              <w:rPr>
                <w:sz w:val="16"/>
              </w:rPr>
              <w:t>11.27</w:t>
            </w:r>
          </w:p>
        </w:tc>
        <w:tc>
          <w:tcPr>
            <w:tcW w:w="993" w:type="dxa"/>
            <w:tcBorders>
              <w:top w:val="single" w:sz="6" w:space="0" w:color="000000"/>
              <w:bottom w:val="single" w:sz="6" w:space="0" w:color="000000"/>
            </w:tcBorders>
          </w:tcPr>
          <w:p>
            <w:pPr>
              <w:pStyle w:val="TableParagraph"/>
              <w:spacing w:before="7"/>
              <w:rPr>
                <w:sz w:val="22"/>
              </w:rPr>
            </w:pPr>
          </w:p>
          <w:p>
            <w:pPr>
              <w:pStyle w:val="TableParagraph"/>
              <w:ind w:left="1"/>
              <w:jc w:val="center"/>
              <w:rPr>
                <w:sz w:val="16"/>
              </w:rPr>
            </w:pPr>
            <w:r>
              <w:rPr>
                <w:w w:val="100"/>
                <w:sz w:val="16"/>
              </w:rPr>
              <w:t>−</w:t>
            </w:r>
          </w:p>
        </w:tc>
        <w:tc>
          <w:tcPr>
            <w:tcW w:w="565" w:type="dxa"/>
            <w:tcBorders>
              <w:top w:val="single" w:sz="6" w:space="0" w:color="000000"/>
              <w:bottom w:val="single" w:sz="6" w:space="0" w:color="000000"/>
            </w:tcBorders>
          </w:tcPr>
          <w:p>
            <w:pPr>
              <w:pStyle w:val="TableParagraph"/>
              <w:spacing w:before="7"/>
              <w:rPr>
                <w:sz w:val="22"/>
              </w:rPr>
            </w:pPr>
          </w:p>
          <w:p>
            <w:pPr>
              <w:pStyle w:val="TableParagraph"/>
              <w:ind w:right="1"/>
              <w:jc w:val="center"/>
              <w:rPr>
                <w:sz w:val="16"/>
              </w:rPr>
            </w:pPr>
            <w:r>
              <w:rPr>
                <w:w w:val="100"/>
                <w:sz w:val="16"/>
              </w:rPr>
              <w:t>−</w:t>
            </w:r>
          </w:p>
        </w:tc>
        <w:tc>
          <w:tcPr>
            <w:tcW w:w="1115" w:type="dxa"/>
            <w:tcBorders>
              <w:top w:val="single" w:sz="6" w:space="0" w:color="000000"/>
              <w:bottom w:val="single" w:sz="6" w:space="0" w:color="000000"/>
            </w:tcBorders>
          </w:tcPr>
          <w:p>
            <w:pPr>
              <w:pStyle w:val="TableParagraph"/>
              <w:spacing w:before="7"/>
              <w:rPr>
                <w:sz w:val="22"/>
              </w:rPr>
            </w:pPr>
          </w:p>
          <w:p>
            <w:pPr>
              <w:pStyle w:val="TableParagraph"/>
              <w:ind w:left="176" w:right="176"/>
              <w:jc w:val="center"/>
              <w:rPr>
                <w:sz w:val="16"/>
              </w:rPr>
            </w:pPr>
            <w:r>
              <w:rPr>
                <w:sz w:val="16"/>
              </w:rPr>
              <w:t>7,172.90</w:t>
            </w:r>
          </w:p>
        </w:tc>
        <w:tc>
          <w:tcPr>
            <w:tcW w:w="756" w:type="dxa"/>
            <w:tcBorders>
              <w:top w:val="single" w:sz="6" w:space="0" w:color="000000"/>
              <w:bottom w:val="single" w:sz="6" w:space="0" w:color="000000"/>
            </w:tcBorders>
          </w:tcPr>
          <w:p>
            <w:pPr>
              <w:pStyle w:val="TableParagraph"/>
              <w:spacing w:before="7"/>
              <w:rPr>
                <w:sz w:val="22"/>
              </w:rPr>
            </w:pPr>
          </w:p>
          <w:p>
            <w:pPr>
              <w:pStyle w:val="TableParagraph"/>
              <w:ind w:left="152" w:right="155"/>
              <w:jc w:val="center"/>
              <w:rPr>
                <w:sz w:val="16"/>
              </w:rPr>
            </w:pPr>
            <w:r>
              <w:rPr>
                <w:sz w:val="16"/>
              </w:rPr>
              <w:t>26.51</w:t>
            </w:r>
          </w:p>
        </w:tc>
        <w:tc>
          <w:tcPr>
            <w:tcW w:w="1235" w:type="dxa"/>
            <w:tcBorders>
              <w:top w:val="single" w:sz="6" w:space="0" w:color="000000"/>
              <w:bottom w:val="single" w:sz="6" w:space="0" w:color="000000"/>
            </w:tcBorders>
          </w:tcPr>
          <w:p>
            <w:pPr>
              <w:pStyle w:val="TableParagraph"/>
              <w:spacing w:before="7"/>
              <w:rPr>
                <w:sz w:val="22"/>
              </w:rPr>
            </w:pPr>
          </w:p>
          <w:p>
            <w:pPr>
              <w:pStyle w:val="TableParagraph"/>
              <w:ind w:left="188" w:right="196"/>
              <w:jc w:val="center"/>
              <w:rPr>
                <w:sz w:val="16"/>
              </w:rPr>
            </w:pPr>
            <w:r>
              <w:rPr>
                <w:sz w:val="16"/>
              </w:rPr>
              <w:t>14,003.88</w:t>
            </w:r>
          </w:p>
        </w:tc>
        <w:tc>
          <w:tcPr>
            <w:tcW w:w="690" w:type="dxa"/>
            <w:tcBorders>
              <w:top w:val="single" w:sz="6" w:space="0" w:color="000000"/>
              <w:bottom w:val="single" w:sz="6" w:space="0" w:color="000000"/>
            </w:tcBorders>
          </w:tcPr>
          <w:p>
            <w:pPr>
              <w:pStyle w:val="TableParagraph"/>
              <w:spacing w:before="7"/>
              <w:rPr>
                <w:sz w:val="22"/>
              </w:rPr>
            </w:pPr>
          </w:p>
          <w:p>
            <w:pPr>
              <w:pStyle w:val="TableParagraph"/>
              <w:ind w:left="111" w:right="117"/>
              <w:jc w:val="center"/>
              <w:rPr>
                <w:sz w:val="16"/>
              </w:rPr>
            </w:pPr>
            <w:r>
              <w:rPr>
                <w:sz w:val="16"/>
              </w:rPr>
              <w:t>51.75</w:t>
            </w:r>
          </w:p>
        </w:tc>
      </w:tr>
      <w:tr>
        <w:trPr>
          <w:trHeight w:val="556" w:hRule="atLeast"/>
        </w:trPr>
        <w:tc>
          <w:tcPr>
            <w:tcW w:w="2014" w:type="dxa"/>
            <w:tcBorders>
              <w:top w:val="single" w:sz="6" w:space="0" w:color="000000"/>
              <w:bottom w:val="single" w:sz="6" w:space="0" w:color="000000"/>
            </w:tcBorders>
            <w:shd w:val="clear" w:color="auto" w:fill="D7E3BB"/>
          </w:tcPr>
          <w:p>
            <w:pPr>
              <w:pStyle w:val="TableParagraph"/>
              <w:spacing w:before="1"/>
              <w:rPr>
                <w:sz w:val="23"/>
              </w:rPr>
            </w:pPr>
          </w:p>
          <w:p>
            <w:pPr>
              <w:pStyle w:val="TableParagraph"/>
              <w:spacing w:before="1"/>
              <w:ind w:left="81"/>
              <w:rPr>
                <w:sz w:val="16"/>
              </w:rPr>
            </w:pPr>
            <w:r>
              <w:rPr>
                <w:color w:val="4F6128"/>
                <w:sz w:val="16"/>
              </w:rPr>
              <w:t>AMECA</w:t>
            </w:r>
          </w:p>
        </w:tc>
        <w:tc>
          <w:tcPr>
            <w:tcW w:w="1234" w:type="dxa"/>
            <w:tcBorders>
              <w:top w:val="single" w:sz="6" w:space="0" w:color="000000"/>
              <w:bottom w:val="single" w:sz="6" w:space="0" w:color="000000"/>
            </w:tcBorders>
          </w:tcPr>
          <w:p>
            <w:pPr>
              <w:pStyle w:val="TableParagraph"/>
              <w:spacing w:before="1"/>
              <w:rPr>
                <w:sz w:val="23"/>
              </w:rPr>
            </w:pPr>
          </w:p>
          <w:p>
            <w:pPr>
              <w:pStyle w:val="TableParagraph"/>
              <w:spacing w:before="1"/>
              <w:ind w:right="252"/>
              <w:jc w:val="right"/>
              <w:rPr>
                <w:sz w:val="16"/>
              </w:rPr>
            </w:pPr>
            <w:r>
              <w:rPr>
                <w:sz w:val="16"/>
              </w:rPr>
              <w:t>25,637.29</w:t>
            </w:r>
          </w:p>
        </w:tc>
        <w:tc>
          <w:tcPr>
            <w:tcW w:w="690" w:type="dxa"/>
            <w:tcBorders>
              <w:top w:val="single" w:sz="6" w:space="0" w:color="000000"/>
              <w:bottom w:val="single" w:sz="6" w:space="0" w:color="000000"/>
            </w:tcBorders>
          </w:tcPr>
          <w:p>
            <w:pPr>
              <w:pStyle w:val="TableParagraph"/>
              <w:spacing w:before="1"/>
              <w:rPr>
                <w:sz w:val="23"/>
              </w:rPr>
            </w:pPr>
          </w:p>
          <w:p>
            <w:pPr>
              <w:pStyle w:val="TableParagraph"/>
              <w:spacing w:before="1"/>
              <w:ind w:left="146"/>
              <w:rPr>
                <w:sz w:val="16"/>
              </w:rPr>
            </w:pPr>
            <w:r>
              <w:rPr>
                <w:sz w:val="16"/>
              </w:rPr>
              <w:t>27.54</w:t>
            </w:r>
          </w:p>
        </w:tc>
        <w:tc>
          <w:tcPr>
            <w:tcW w:w="1112" w:type="dxa"/>
            <w:tcBorders>
              <w:top w:val="single" w:sz="6" w:space="0" w:color="000000"/>
              <w:bottom w:val="single" w:sz="6" w:space="0" w:color="000000"/>
            </w:tcBorders>
          </w:tcPr>
          <w:p>
            <w:pPr>
              <w:pStyle w:val="TableParagraph"/>
              <w:spacing w:before="1"/>
              <w:rPr>
                <w:sz w:val="23"/>
              </w:rPr>
            </w:pPr>
          </w:p>
          <w:p>
            <w:pPr>
              <w:pStyle w:val="TableParagraph"/>
              <w:spacing w:before="1"/>
              <w:ind w:left="177" w:right="175"/>
              <w:jc w:val="center"/>
              <w:rPr>
                <w:sz w:val="16"/>
              </w:rPr>
            </w:pPr>
            <w:r>
              <w:rPr>
                <w:sz w:val="16"/>
              </w:rPr>
              <w:t>14,350.27</w:t>
            </w:r>
          </w:p>
        </w:tc>
        <w:tc>
          <w:tcPr>
            <w:tcW w:w="690" w:type="dxa"/>
            <w:tcBorders>
              <w:top w:val="single" w:sz="6" w:space="0" w:color="000000"/>
              <w:bottom w:val="single" w:sz="6" w:space="0" w:color="000000"/>
            </w:tcBorders>
          </w:tcPr>
          <w:p>
            <w:pPr>
              <w:pStyle w:val="TableParagraph"/>
              <w:spacing w:before="1"/>
              <w:rPr>
                <w:sz w:val="23"/>
              </w:rPr>
            </w:pPr>
          </w:p>
          <w:p>
            <w:pPr>
              <w:pStyle w:val="TableParagraph"/>
              <w:spacing w:before="1"/>
              <w:ind w:left="117" w:right="110"/>
              <w:jc w:val="center"/>
              <w:rPr>
                <w:sz w:val="16"/>
              </w:rPr>
            </w:pPr>
            <w:r>
              <w:rPr>
                <w:sz w:val="16"/>
              </w:rPr>
              <w:t>15.42</w:t>
            </w:r>
          </w:p>
        </w:tc>
        <w:tc>
          <w:tcPr>
            <w:tcW w:w="993" w:type="dxa"/>
            <w:tcBorders>
              <w:top w:val="single" w:sz="6" w:space="0" w:color="000000"/>
              <w:bottom w:val="single" w:sz="6" w:space="0" w:color="000000"/>
            </w:tcBorders>
          </w:tcPr>
          <w:p>
            <w:pPr>
              <w:pStyle w:val="TableParagraph"/>
              <w:spacing w:before="1"/>
              <w:rPr>
                <w:sz w:val="23"/>
              </w:rPr>
            </w:pPr>
          </w:p>
          <w:p>
            <w:pPr>
              <w:pStyle w:val="TableParagraph"/>
              <w:spacing w:before="1"/>
              <w:ind w:left="1"/>
              <w:jc w:val="center"/>
              <w:rPr>
                <w:sz w:val="16"/>
              </w:rPr>
            </w:pPr>
            <w:r>
              <w:rPr>
                <w:w w:val="100"/>
                <w:sz w:val="16"/>
              </w:rPr>
              <w:t>−</w:t>
            </w:r>
          </w:p>
        </w:tc>
        <w:tc>
          <w:tcPr>
            <w:tcW w:w="565" w:type="dxa"/>
            <w:tcBorders>
              <w:top w:val="single" w:sz="6" w:space="0" w:color="000000"/>
              <w:bottom w:val="single" w:sz="6" w:space="0" w:color="000000"/>
            </w:tcBorders>
          </w:tcPr>
          <w:p>
            <w:pPr>
              <w:pStyle w:val="TableParagraph"/>
              <w:spacing w:before="1"/>
              <w:rPr>
                <w:sz w:val="23"/>
              </w:rPr>
            </w:pPr>
          </w:p>
          <w:p>
            <w:pPr>
              <w:pStyle w:val="TableParagraph"/>
              <w:spacing w:before="1"/>
              <w:ind w:right="1"/>
              <w:jc w:val="center"/>
              <w:rPr>
                <w:sz w:val="16"/>
              </w:rPr>
            </w:pPr>
            <w:r>
              <w:rPr>
                <w:w w:val="100"/>
                <w:sz w:val="16"/>
              </w:rPr>
              <w:t>−</w:t>
            </w:r>
          </w:p>
        </w:tc>
        <w:tc>
          <w:tcPr>
            <w:tcW w:w="1115" w:type="dxa"/>
            <w:tcBorders>
              <w:top w:val="single" w:sz="6" w:space="0" w:color="000000"/>
              <w:bottom w:val="single" w:sz="6" w:space="0" w:color="000000"/>
            </w:tcBorders>
          </w:tcPr>
          <w:p>
            <w:pPr>
              <w:pStyle w:val="TableParagraph"/>
              <w:spacing w:before="1"/>
              <w:rPr>
                <w:sz w:val="23"/>
              </w:rPr>
            </w:pPr>
          </w:p>
          <w:p>
            <w:pPr>
              <w:pStyle w:val="TableParagraph"/>
              <w:spacing w:before="1"/>
              <w:ind w:left="176" w:right="176"/>
              <w:jc w:val="center"/>
              <w:rPr>
                <w:sz w:val="16"/>
              </w:rPr>
            </w:pPr>
            <w:r>
              <w:rPr>
                <w:sz w:val="16"/>
              </w:rPr>
              <w:t>9,306.00</w:t>
            </w:r>
          </w:p>
        </w:tc>
        <w:tc>
          <w:tcPr>
            <w:tcW w:w="756" w:type="dxa"/>
            <w:tcBorders>
              <w:top w:val="single" w:sz="6" w:space="0" w:color="000000"/>
              <w:bottom w:val="single" w:sz="6" w:space="0" w:color="000000"/>
            </w:tcBorders>
          </w:tcPr>
          <w:p>
            <w:pPr>
              <w:pStyle w:val="TableParagraph"/>
              <w:spacing w:before="1"/>
              <w:rPr>
                <w:sz w:val="23"/>
              </w:rPr>
            </w:pPr>
          </w:p>
          <w:p>
            <w:pPr>
              <w:pStyle w:val="TableParagraph"/>
              <w:spacing w:before="1"/>
              <w:ind w:left="152" w:right="155"/>
              <w:jc w:val="center"/>
              <w:rPr>
                <w:sz w:val="16"/>
              </w:rPr>
            </w:pPr>
            <w:r>
              <w:rPr>
                <w:sz w:val="16"/>
              </w:rPr>
              <w:t>10</w:t>
            </w:r>
          </w:p>
        </w:tc>
        <w:tc>
          <w:tcPr>
            <w:tcW w:w="1235" w:type="dxa"/>
            <w:tcBorders>
              <w:top w:val="single" w:sz="6" w:space="0" w:color="000000"/>
              <w:bottom w:val="single" w:sz="6" w:space="0" w:color="000000"/>
            </w:tcBorders>
          </w:tcPr>
          <w:p>
            <w:pPr>
              <w:pStyle w:val="TableParagraph"/>
              <w:spacing w:before="1"/>
              <w:rPr>
                <w:sz w:val="23"/>
              </w:rPr>
            </w:pPr>
          </w:p>
          <w:p>
            <w:pPr>
              <w:pStyle w:val="TableParagraph"/>
              <w:spacing w:before="1"/>
              <w:ind w:left="188" w:right="196"/>
              <w:jc w:val="center"/>
              <w:rPr>
                <w:sz w:val="16"/>
              </w:rPr>
            </w:pPr>
            <w:r>
              <w:rPr>
                <w:sz w:val="16"/>
              </w:rPr>
              <w:t>49,293.56</w:t>
            </w:r>
          </w:p>
        </w:tc>
        <w:tc>
          <w:tcPr>
            <w:tcW w:w="690" w:type="dxa"/>
            <w:tcBorders>
              <w:top w:val="single" w:sz="6" w:space="0" w:color="000000"/>
              <w:bottom w:val="single" w:sz="6" w:space="0" w:color="000000"/>
            </w:tcBorders>
          </w:tcPr>
          <w:p>
            <w:pPr>
              <w:pStyle w:val="TableParagraph"/>
              <w:spacing w:before="1"/>
              <w:rPr>
                <w:sz w:val="23"/>
              </w:rPr>
            </w:pPr>
          </w:p>
          <w:p>
            <w:pPr>
              <w:pStyle w:val="TableParagraph"/>
              <w:spacing w:before="1"/>
              <w:ind w:left="111" w:right="117"/>
              <w:jc w:val="center"/>
              <w:rPr>
                <w:sz w:val="16"/>
              </w:rPr>
            </w:pPr>
            <w:r>
              <w:rPr>
                <w:sz w:val="16"/>
              </w:rPr>
              <w:t>52.95</w:t>
            </w:r>
          </w:p>
        </w:tc>
      </w:tr>
      <w:tr>
        <w:trPr>
          <w:trHeight w:val="553" w:hRule="atLeast"/>
        </w:trPr>
        <w:tc>
          <w:tcPr>
            <w:tcW w:w="2014" w:type="dxa"/>
            <w:tcBorders>
              <w:top w:val="single" w:sz="6" w:space="0" w:color="000000"/>
              <w:bottom w:val="single" w:sz="6" w:space="0" w:color="000000"/>
            </w:tcBorders>
            <w:shd w:val="clear" w:color="auto" w:fill="D7E3BB"/>
          </w:tcPr>
          <w:p>
            <w:pPr>
              <w:pStyle w:val="TableParagraph"/>
              <w:spacing w:before="9"/>
              <w:rPr>
                <w:sz w:val="22"/>
              </w:rPr>
            </w:pPr>
          </w:p>
          <w:p>
            <w:pPr>
              <w:pStyle w:val="TableParagraph"/>
              <w:ind w:left="81"/>
              <w:rPr>
                <w:sz w:val="16"/>
              </w:rPr>
            </w:pPr>
            <w:r>
              <w:rPr>
                <w:color w:val="4F6128"/>
                <w:sz w:val="16"/>
              </w:rPr>
              <w:t>COCULA</w:t>
            </w:r>
          </w:p>
        </w:tc>
        <w:tc>
          <w:tcPr>
            <w:tcW w:w="1234" w:type="dxa"/>
            <w:tcBorders>
              <w:top w:val="single" w:sz="6" w:space="0" w:color="000000"/>
              <w:bottom w:val="single" w:sz="6" w:space="0" w:color="000000"/>
            </w:tcBorders>
          </w:tcPr>
          <w:p>
            <w:pPr>
              <w:pStyle w:val="TableParagraph"/>
              <w:spacing w:before="9"/>
              <w:rPr>
                <w:sz w:val="22"/>
              </w:rPr>
            </w:pPr>
          </w:p>
          <w:p>
            <w:pPr>
              <w:pStyle w:val="TableParagraph"/>
              <w:ind w:right="295"/>
              <w:jc w:val="right"/>
              <w:rPr>
                <w:sz w:val="16"/>
              </w:rPr>
            </w:pPr>
            <w:r>
              <w:rPr>
                <w:sz w:val="16"/>
              </w:rPr>
              <w:t>7,125.55</w:t>
            </w:r>
          </w:p>
        </w:tc>
        <w:tc>
          <w:tcPr>
            <w:tcW w:w="690" w:type="dxa"/>
            <w:tcBorders>
              <w:top w:val="single" w:sz="6" w:space="0" w:color="000000"/>
              <w:bottom w:val="single" w:sz="6" w:space="0" w:color="000000"/>
            </w:tcBorders>
          </w:tcPr>
          <w:p>
            <w:pPr>
              <w:pStyle w:val="TableParagraph"/>
              <w:spacing w:before="9"/>
              <w:rPr>
                <w:sz w:val="22"/>
              </w:rPr>
            </w:pPr>
          </w:p>
          <w:p>
            <w:pPr>
              <w:pStyle w:val="TableParagraph"/>
              <w:ind w:left="146"/>
              <w:rPr>
                <w:sz w:val="16"/>
              </w:rPr>
            </w:pPr>
            <w:r>
              <w:rPr>
                <w:sz w:val="16"/>
              </w:rPr>
              <w:t>20.88</w:t>
            </w:r>
          </w:p>
        </w:tc>
        <w:tc>
          <w:tcPr>
            <w:tcW w:w="1112" w:type="dxa"/>
            <w:tcBorders>
              <w:top w:val="single" w:sz="6" w:space="0" w:color="000000"/>
              <w:bottom w:val="single" w:sz="6" w:space="0" w:color="000000"/>
            </w:tcBorders>
          </w:tcPr>
          <w:p>
            <w:pPr>
              <w:pStyle w:val="TableParagraph"/>
              <w:spacing w:before="9"/>
              <w:rPr>
                <w:sz w:val="22"/>
              </w:rPr>
            </w:pPr>
          </w:p>
          <w:p>
            <w:pPr>
              <w:pStyle w:val="TableParagraph"/>
              <w:ind w:left="5"/>
              <w:jc w:val="center"/>
              <w:rPr>
                <w:sz w:val="16"/>
              </w:rPr>
            </w:pPr>
            <w:r>
              <w:rPr>
                <w:w w:val="100"/>
                <w:sz w:val="16"/>
              </w:rPr>
              <w:t>−</w:t>
            </w:r>
          </w:p>
        </w:tc>
        <w:tc>
          <w:tcPr>
            <w:tcW w:w="690" w:type="dxa"/>
            <w:tcBorders>
              <w:top w:val="single" w:sz="6" w:space="0" w:color="000000"/>
              <w:bottom w:val="single" w:sz="6" w:space="0" w:color="000000"/>
            </w:tcBorders>
          </w:tcPr>
          <w:p>
            <w:pPr>
              <w:pStyle w:val="TableParagraph"/>
              <w:spacing w:before="9"/>
              <w:rPr>
                <w:sz w:val="22"/>
              </w:rPr>
            </w:pPr>
          </w:p>
          <w:p>
            <w:pPr>
              <w:pStyle w:val="TableParagraph"/>
              <w:ind w:left="8"/>
              <w:jc w:val="center"/>
              <w:rPr>
                <w:sz w:val="16"/>
              </w:rPr>
            </w:pPr>
            <w:r>
              <w:rPr>
                <w:w w:val="100"/>
                <w:sz w:val="16"/>
              </w:rPr>
              <w:t>−</w:t>
            </w:r>
          </w:p>
        </w:tc>
        <w:tc>
          <w:tcPr>
            <w:tcW w:w="993" w:type="dxa"/>
            <w:tcBorders>
              <w:top w:val="single" w:sz="6" w:space="0" w:color="000000"/>
              <w:bottom w:val="single" w:sz="6" w:space="0" w:color="000000"/>
            </w:tcBorders>
          </w:tcPr>
          <w:p>
            <w:pPr>
              <w:pStyle w:val="TableParagraph"/>
              <w:spacing w:before="9"/>
              <w:rPr>
                <w:sz w:val="22"/>
              </w:rPr>
            </w:pPr>
          </w:p>
          <w:p>
            <w:pPr>
              <w:pStyle w:val="TableParagraph"/>
              <w:ind w:left="160" w:right="162"/>
              <w:jc w:val="center"/>
              <w:rPr>
                <w:sz w:val="16"/>
              </w:rPr>
            </w:pPr>
            <w:r>
              <w:rPr>
                <w:sz w:val="16"/>
              </w:rPr>
              <w:t>6,244.87</w:t>
            </w:r>
          </w:p>
        </w:tc>
        <w:tc>
          <w:tcPr>
            <w:tcW w:w="565" w:type="dxa"/>
            <w:tcBorders>
              <w:top w:val="single" w:sz="6" w:space="0" w:color="000000"/>
              <w:bottom w:val="single" w:sz="6" w:space="0" w:color="000000"/>
            </w:tcBorders>
          </w:tcPr>
          <w:p>
            <w:pPr>
              <w:pStyle w:val="TableParagraph"/>
              <w:spacing w:before="9"/>
              <w:rPr>
                <w:sz w:val="22"/>
              </w:rPr>
            </w:pPr>
          </w:p>
          <w:p>
            <w:pPr>
              <w:pStyle w:val="TableParagraph"/>
              <w:ind w:left="102" w:right="102"/>
              <w:jc w:val="center"/>
              <w:rPr>
                <w:sz w:val="16"/>
              </w:rPr>
            </w:pPr>
            <w:r>
              <w:rPr>
                <w:sz w:val="16"/>
              </w:rPr>
              <w:t>18.3</w:t>
            </w:r>
          </w:p>
        </w:tc>
        <w:tc>
          <w:tcPr>
            <w:tcW w:w="1115" w:type="dxa"/>
            <w:tcBorders>
              <w:top w:val="single" w:sz="6" w:space="0" w:color="000000"/>
              <w:bottom w:val="single" w:sz="6" w:space="0" w:color="000000"/>
            </w:tcBorders>
          </w:tcPr>
          <w:p>
            <w:pPr>
              <w:pStyle w:val="TableParagraph"/>
              <w:spacing w:before="9"/>
              <w:rPr>
                <w:sz w:val="22"/>
              </w:rPr>
            </w:pPr>
          </w:p>
          <w:p>
            <w:pPr>
              <w:pStyle w:val="TableParagraph"/>
              <w:ind w:left="176" w:right="176"/>
              <w:jc w:val="center"/>
              <w:rPr>
                <w:sz w:val="16"/>
              </w:rPr>
            </w:pPr>
            <w:r>
              <w:rPr>
                <w:sz w:val="16"/>
              </w:rPr>
              <w:t>1,876.45</w:t>
            </w:r>
          </w:p>
        </w:tc>
        <w:tc>
          <w:tcPr>
            <w:tcW w:w="756" w:type="dxa"/>
            <w:tcBorders>
              <w:top w:val="single" w:sz="6" w:space="0" w:color="000000"/>
              <w:bottom w:val="single" w:sz="6" w:space="0" w:color="000000"/>
            </w:tcBorders>
          </w:tcPr>
          <w:p>
            <w:pPr>
              <w:pStyle w:val="TableParagraph"/>
              <w:spacing w:before="9"/>
              <w:rPr>
                <w:sz w:val="22"/>
              </w:rPr>
            </w:pPr>
          </w:p>
          <w:p>
            <w:pPr>
              <w:pStyle w:val="TableParagraph"/>
              <w:ind w:left="152" w:right="154"/>
              <w:jc w:val="center"/>
              <w:rPr>
                <w:sz w:val="16"/>
              </w:rPr>
            </w:pPr>
            <w:r>
              <w:rPr>
                <w:sz w:val="16"/>
              </w:rPr>
              <w:t>5.5</w:t>
            </w:r>
          </w:p>
        </w:tc>
        <w:tc>
          <w:tcPr>
            <w:tcW w:w="1235" w:type="dxa"/>
            <w:tcBorders>
              <w:top w:val="single" w:sz="6" w:space="0" w:color="000000"/>
              <w:bottom w:val="single" w:sz="6" w:space="0" w:color="000000"/>
            </w:tcBorders>
          </w:tcPr>
          <w:p>
            <w:pPr>
              <w:pStyle w:val="TableParagraph"/>
              <w:spacing w:before="9"/>
              <w:rPr>
                <w:sz w:val="22"/>
              </w:rPr>
            </w:pPr>
          </w:p>
          <w:p>
            <w:pPr>
              <w:pStyle w:val="TableParagraph"/>
              <w:ind w:left="188" w:right="196"/>
              <w:jc w:val="center"/>
              <w:rPr>
                <w:sz w:val="16"/>
              </w:rPr>
            </w:pPr>
            <w:r>
              <w:rPr>
                <w:sz w:val="16"/>
              </w:rPr>
              <w:t>15,246.87</w:t>
            </w:r>
          </w:p>
        </w:tc>
        <w:tc>
          <w:tcPr>
            <w:tcW w:w="690" w:type="dxa"/>
            <w:tcBorders>
              <w:top w:val="single" w:sz="6" w:space="0" w:color="000000"/>
              <w:bottom w:val="single" w:sz="6" w:space="0" w:color="000000"/>
            </w:tcBorders>
          </w:tcPr>
          <w:p>
            <w:pPr>
              <w:pStyle w:val="TableParagraph"/>
              <w:spacing w:before="9"/>
              <w:rPr>
                <w:sz w:val="22"/>
              </w:rPr>
            </w:pPr>
          </w:p>
          <w:p>
            <w:pPr>
              <w:pStyle w:val="TableParagraph"/>
              <w:ind w:left="111" w:right="117"/>
              <w:jc w:val="center"/>
              <w:rPr>
                <w:sz w:val="16"/>
              </w:rPr>
            </w:pPr>
            <w:r>
              <w:rPr>
                <w:sz w:val="16"/>
              </w:rPr>
              <w:t>44.67</w:t>
            </w:r>
          </w:p>
        </w:tc>
      </w:tr>
      <w:tr>
        <w:trPr>
          <w:trHeight w:val="544" w:hRule="atLeast"/>
        </w:trPr>
        <w:tc>
          <w:tcPr>
            <w:tcW w:w="2014" w:type="dxa"/>
            <w:tcBorders>
              <w:top w:val="single" w:sz="6" w:space="0" w:color="000000"/>
              <w:bottom w:val="single" w:sz="6" w:space="0" w:color="000000"/>
            </w:tcBorders>
            <w:shd w:val="clear" w:color="auto" w:fill="D7E3BB"/>
          </w:tcPr>
          <w:p>
            <w:pPr>
              <w:pStyle w:val="TableParagraph"/>
              <w:spacing w:before="2"/>
              <w:rPr>
                <w:sz w:val="22"/>
              </w:rPr>
            </w:pPr>
          </w:p>
          <w:p>
            <w:pPr>
              <w:pStyle w:val="TableParagraph"/>
              <w:ind w:left="81"/>
              <w:rPr>
                <w:sz w:val="16"/>
              </w:rPr>
            </w:pPr>
            <w:r>
              <w:rPr>
                <w:color w:val="4F6128"/>
                <w:sz w:val="16"/>
              </w:rPr>
              <w:t>EL ARENAL</w:t>
            </w:r>
          </w:p>
        </w:tc>
        <w:tc>
          <w:tcPr>
            <w:tcW w:w="1234" w:type="dxa"/>
            <w:tcBorders>
              <w:top w:val="single" w:sz="6" w:space="0" w:color="000000"/>
              <w:bottom w:val="single" w:sz="6" w:space="0" w:color="000000"/>
            </w:tcBorders>
          </w:tcPr>
          <w:p>
            <w:pPr>
              <w:pStyle w:val="TableParagraph"/>
              <w:spacing w:before="2"/>
              <w:rPr>
                <w:sz w:val="22"/>
              </w:rPr>
            </w:pPr>
          </w:p>
          <w:p>
            <w:pPr>
              <w:pStyle w:val="TableParagraph"/>
              <w:ind w:right="295"/>
              <w:jc w:val="right"/>
              <w:rPr>
                <w:sz w:val="16"/>
              </w:rPr>
            </w:pPr>
            <w:r>
              <w:rPr>
                <w:sz w:val="16"/>
              </w:rPr>
              <w:t>1,784.73</w:t>
            </w:r>
          </w:p>
        </w:tc>
        <w:tc>
          <w:tcPr>
            <w:tcW w:w="690" w:type="dxa"/>
            <w:tcBorders>
              <w:top w:val="single" w:sz="6" w:space="0" w:color="000000"/>
              <w:bottom w:val="single" w:sz="6" w:space="0" w:color="000000"/>
            </w:tcBorders>
          </w:tcPr>
          <w:p>
            <w:pPr>
              <w:pStyle w:val="TableParagraph"/>
              <w:spacing w:before="2"/>
              <w:rPr>
                <w:sz w:val="22"/>
              </w:rPr>
            </w:pPr>
          </w:p>
          <w:p>
            <w:pPr>
              <w:pStyle w:val="TableParagraph"/>
              <w:ind w:left="146"/>
              <w:rPr>
                <w:sz w:val="16"/>
              </w:rPr>
            </w:pPr>
            <w:r>
              <w:rPr>
                <w:sz w:val="16"/>
              </w:rPr>
              <w:t>16.57</w:t>
            </w:r>
          </w:p>
        </w:tc>
        <w:tc>
          <w:tcPr>
            <w:tcW w:w="1112" w:type="dxa"/>
            <w:tcBorders>
              <w:top w:val="single" w:sz="6" w:space="0" w:color="000000"/>
              <w:bottom w:val="single" w:sz="6" w:space="0" w:color="000000"/>
            </w:tcBorders>
          </w:tcPr>
          <w:p>
            <w:pPr>
              <w:pStyle w:val="TableParagraph"/>
              <w:spacing w:before="2"/>
              <w:rPr>
                <w:sz w:val="22"/>
              </w:rPr>
            </w:pPr>
          </w:p>
          <w:p>
            <w:pPr>
              <w:pStyle w:val="TableParagraph"/>
              <w:ind w:left="5"/>
              <w:jc w:val="center"/>
              <w:rPr>
                <w:sz w:val="16"/>
              </w:rPr>
            </w:pPr>
            <w:r>
              <w:rPr>
                <w:w w:val="100"/>
                <w:sz w:val="16"/>
              </w:rPr>
              <w:t>−</w:t>
            </w:r>
          </w:p>
        </w:tc>
        <w:tc>
          <w:tcPr>
            <w:tcW w:w="690" w:type="dxa"/>
            <w:tcBorders>
              <w:top w:val="single" w:sz="6" w:space="0" w:color="000000"/>
              <w:bottom w:val="single" w:sz="6" w:space="0" w:color="000000"/>
            </w:tcBorders>
          </w:tcPr>
          <w:p>
            <w:pPr>
              <w:pStyle w:val="TableParagraph"/>
              <w:spacing w:before="2"/>
              <w:rPr>
                <w:sz w:val="22"/>
              </w:rPr>
            </w:pPr>
          </w:p>
          <w:p>
            <w:pPr>
              <w:pStyle w:val="TableParagraph"/>
              <w:ind w:left="8"/>
              <w:jc w:val="center"/>
              <w:rPr>
                <w:sz w:val="16"/>
              </w:rPr>
            </w:pPr>
            <w:r>
              <w:rPr>
                <w:w w:val="100"/>
                <w:sz w:val="16"/>
              </w:rPr>
              <w:t>−</w:t>
            </w:r>
          </w:p>
        </w:tc>
        <w:tc>
          <w:tcPr>
            <w:tcW w:w="993" w:type="dxa"/>
            <w:tcBorders>
              <w:top w:val="single" w:sz="6" w:space="0" w:color="000000"/>
              <w:bottom w:val="single" w:sz="6" w:space="0" w:color="000000"/>
            </w:tcBorders>
          </w:tcPr>
          <w:p>
            <w:pPr>
              <w:pStyle w:val="TableParagraph"/>
              <w:spacing w:before="2"/>
              <w:rPr>
                <w:sz w:val="22"/>
              </w:rPr>
            </w:pPr>
          </w:p>
          <w:p>
            <w:pPr>
              <w:pStyle w:val="TableParagraph"/>
              <w:ind w:left="1"/>
              <w:jc w:val="center"/>
              <w:rPr>
                <w:sz w:val="16"/>
              </w:rPr>
            </w:pPr>
            <w:r>
              <w:rPr>
                <w:w w:val="100"/>
                <w:sz w:val="16"/>
              </w:rPr>
              <w:t>−</w:t>
            </w:r>
          </w:p>
        </w:tc>
        <w:tc>
          <w:tcPr>
            <w:tcW w:w="565" w:type="dxa"/>
            <w:tcBorders>
              <w:top w:val="single" w:sz="6" w:space="0" w:color="000000"/>
              <w:bottom w:val="single" w:sz="6" w:space="0" w:color="000000"/>
            </w:tcBorders>
          </w:tcPr>
          <w:p>
            <w:pPr>
              <w:pStyle w:val="TableParagraph"/>
              <w:spacing w:before="2"/>
              <w:rPr>
                <w:sz w:val="22"/>
              </w:rPr>
            </w:pPr>
          </w:p>
          <w:p>
            <w:pPr>
              <w:pStyle w:val="TableParagraph"/>
              <w:ind w:right="1"/>
              <w:jc w:val="center"/>
              <w:rPr>
                <w:sz w:val="16"/>
              </w:rPr>
            </w:pPr>
            <w:r>
              <w:rPr>
                <w:w w:val="100"/>
                <w:sz w:val="16"/>
              </w:rPr>
              <w:t>−</w:t>
            </w:r>
          </w:p>
        </w:tc>
        <w:tc>
          <w:tcPr>
            <w:tcW w:w="1115" w:type="dxa"/>
            <w:tcBorders>
              <w:top w:val="single" w:sz="6" w:space="0" w:color="000000"/>
              <w:bottom w:val="single" w:sz="6" w:space="0" w:color="000000"/>
            </w:tcBorders>
          </w:tcPr>
          <w:p>
            <w:pPr>
              <w:pStyle w:val="TableParagraph"/>
              <w:spacing w:before="2"/>
              <w:rPr>
                <w:sz w:val="22"/>
              </w:rPr>
            </w:pPr>
          </w:p>
          <w:p>
            <w:pPr>
              <w:pStyle w:val="TableParagraph"/>
              <w:ind w:left="176" w:right="176"/>
              <w:jc w:val="center"/>
              <w:rPr>
                <w:sz w:val="16"/>
              </w:rPr>
            </w:pPr>
            <w:r>
              <w:rPr>
                <w:sz w:val="16"/>
              </w:rPr>
              <w:t>1,770.74</w:t>
            </w:r>
          </w:p>
        </w:tc>
        <w:tc>
          <w:tcPr>
            <w:tcW w:w="756" w:type="dxa"/>
            <w:tcBorders>
              <w:top w:val="single" w:sz="6" w:space="0" w:color="000000"/>
              <w:bottom w:val="single" w:sz="6" w:space="0" w:color="000000"/>
            </w:tcBorders>
          </w:tcPr>
          <w:p>
            <w:pPr>
              <w:pStyle w:val="TableParagraph"/>
              <w:spacing w:before="2"/>
              <w:rPr>
                <w:sz w:val="22"/>
              </w:rPr>
            </w:pPr>
          </w:p>
          <w:p>
            <w:pPr>
              <w:pStyle w:val="TableParagraph"/>
              <w:ind w:left="152" w:right="155"/>
              <w:jc w:val="center"/>
              <w:rPr>
                <w:sz w:val="16"/>
              </w:rPr>
            </w:pPr>
            <w:r>
              <w:rPr>
                <w:sz w:val="16"/>
              </w:rPr>
              <w:t>16.44</w:t>
            </w:r>
          </w:p>
        </w:tc>
        <w:tc>
          <w:tcPr>
            <w:tcW w:w="1235" w:type="dxa"/>
            <w:tcBorders>
              <w:top w:val="single" w:sz="6" w:space="0" w:color="000000"/>
              <w:bottom w:val="single" w:sz="6" w:space="0" w:color="000000"/>
            </w:tcBorders>
          </w:tcPr>
          <w:p>
            <w:pPr>
              <w:pStyle w:val="TableParagraph"/>
              <w:spacing w:before="2"/>
              <w:rPr>
                <w:sz w:val="22"/>
              </w:rPr>
            </w:pPr>
          </w:p>
          <w:p>
            <w:pPr>
              <w:pStyle w:val="TableParagraph"/>
              <w:ind w:left="190" w:right="196"/>
              <w:jc w:val="center"/>
              <w:rPr>
                <w:sz w:val="16"/>
              </w:rPr>
            </w:pPr>
            <w:r>
              <w:rPr>
                <w:sz w:val="16"/>
              </w:rPr>
              <w:t>3,555.47</w:t>
            </w:r>
          </w:p>
        </w:tc>
        <w:tc>
          <w:tcPr>
            <w:tcW w:w="690" w:type="dxa"/>
            <w:tcBorders>
              <w:top w:val="single" w:sz="6" w:space="0" w:color="000000"/>
              <w:bottom w:val="single" w:sz="6" w:space="0" w:color="000000"/>
            </w:tcBorders>
          </w:tcPr>
          <w:p>
            <w:pPr>
              <w:pStyle w:val="TableParagraph"/>
              <w:spacing w:before="2"/>
              <w:rPr>
                <w:sz w:val="22"/>
              </w:rPr>
            </w:pPr>
          </w:p>
          <w:p>
            <w:pPr>
              <w:pStyle w:val="TableParagraph"/>
              <w:ind w:left="111" w:right="117"/>
              <w:jc w:val="center"/>
              <w:rPr>
                <w:sz w:val="16"/>
              </w:rPr>
            </w:pPr>
            <w:r>
              <w:rPr>
                <w:sz w:val="16"/>
              </w:rPr>
              <w:t>33.01</w:t>
            </w:r>
          </w:p>
        </w:tc>
      </w:tr>
      <w:tr>
        <w:trPr>
          <w:trHeight w:val="553" w:hRule="atLeast"/>
        </w:trPr>
        <w:tc>
          <w:tcPr>
            <w:tcW w:w="2014" w:type="dxa"/>
            <w:tcBorders>
              <w:top w:val="single" w:sz="6" w:space="0" w:color="000000"/>
              <w:bottom w:val="single" w:sz="6" w:space="0" w:color="000000"/>
            </w:tcBorders>
            <w:shd w:val="clear" w:color="auto" w:fill="D7E3BB"/>
          </w:tcPr>
          <w:p>
            <w:pPr>
              <w:pStyle w:val="TableParagraph"/>
              <w:spacing w:before="11"/>
              <w:rPr>
                <w:sz w:val="22"/>
              </w:rPr>
            </w:pPr>
          </w:p>
          <w:p>
            <w:pPr>
              <w:pStyle w:val="TableParagraph"/>
              <w:spacing w:before="1"/>
              <w:ind w:left="81"/>
              <w:rPr>
                <w:sz w:val="16"/>
              </w:rPr>
            </w:pPr>
            <w:r>
              <w:rPr>
                <w:color w:val="4F6128"/>
                <w:sz w:val="16"/>
              </w:rPr>
              <w:t>ETZATLÁN</w:t>
            </w:r>
          </w:p>
        </w:tc>
        <w:tc>
          <w:tcPr>
            <w:tcW w:w="1234" w:type="dxa"/>
            <w:tcBorders>
              <w:top w:val="single" w:sz="6" w:space="0" w:color="000000"/>
              <w:bottom w:val="single" w:sz="6" w:space="0" w:color="000000"/>
            </w:tcBorders>
          </w:tcPr>
          <w:p>
            <w:pPr>
              <w:pStyle w:val="TableParagraph"/>
              <w:spacing w:before="11"/>
              <w:rPr>
                <w:sz w:val="22"/>
              </w:rPr>
            </w:pPr>
          </w:p>
          <w:p>
            <w:pPr>
              <w:pStyle w:val="TableParagraph"/>
              <w:spacing w:before="1"/>
              <w:ind w:right="295"/>
              <w:jc w:val="right"/>
              <w:rPr>
                <w:sz w:val="16"/>
              </w:rPr>
            </w:pPr>
            <w:r>
              <w:rPr>
                <w:sz w:val="16"/>
              </w:rPr>
              <w:t>8,132.37</w:t>
            </w:r>
          </w:p>
        </w:tc>
        <w:tc>
          <w:tcPr>
            <w:tcW w:w="690" w:type="dxa"/>
            <w:tcBorders>
              <w:top w:val="single" w:sz="6" w:space="0" w:color="000000"/>
              <w:bottom w:val="single" w:sz="6" w:space="0" w:color="000000"/>
            </w:tcBorders>
          </w:tcPr>
          <w:p>
            <w:pPr>
              <w:pStyle w:val="TableParagraph"/>
              <w:spacing w:before="11"/>
              <w:rPr>
                <w:sz w:val="22"/>
              </w:rPr>
            </w:pPr>
          </w:p>
          <w:p>
            <w:pPr>
              <w:pStyle w:val="TableParagraph"/>
              <w:spacing w:before="1"/>
              <w:ind w:left="189"/>
              <w:rPr>
                <w:sz w:val="16"/>
              </w:rPr>
            </w:pPr>
            <w:r>
              <w:rPr>
                <w:sz w:val="16"/>
              </w:rPr>
              <w:t>21.6</w:t>
            </w:r>
          </w:p>
        </w:tc>
        <w:tc>
          <w:tcPr>
            <w:tcW w:w="1112" w:type="dxa"/>
            <w:tcBorders>
              <w:top w:val="single" w:sz="6" w:space="0" w:color="000000"/>
              <w:bottom w:val="single" w:sz="6" w:space="0" w:color="000000"/>
            </w:tcBorders>
          </w:tcPr>
          <w:p>
            <w:pPr>
              <w:pStyle w:val="TableParagraph"/>
              <w:spacing w:before="11"/>
              <w:rPr>
                <w:sz w:val="22"/>
              </w:rPr>
            </w:pPr>
          </w:p>
          <w:p>
            <w:pPr>
              <w:pStyle w:val="TableParagraph"/>
              <w:spacing w:before="1"/>
              <w:ind w:left="177" w:right="173"/>
              <w:jc w:val="center"/>
              <w:rPr>
                <w:sz w:val="16"/>
              </w:rPr>
            </w:pPr>
            <w:r>
              <w:rPr>
                <w:sz w:val="16"/>
              </w:rPr>
              <w:t>1,365.28</w:t>
            </w:r>
          </w:p>
        </w:tc>
        <w:tc>
          <w:tcPr>
            <w:tcW w:w="690" w:type="dxa"/>
            <w:tcBorders>
              <w:top w:val="single" w:sz="6" w:space="0" w:color="000000"/>
              <w:bottom w:val="single" w:sz="6" w:space="0" w:color="000000"/>
            </w:tcBorders>
          </w:tcPr>
          <w:p>
            <w:pPr>
              <w:pStyle w:val="TableParagraph"/>
              <w:spacing w:before="11"/>
              <w:rPr>
                <w:sz w:val="22"/>
              </w:rPr>
            </w:pPr>
          </w:p>
          <w:p>
            <w:pPr>
              <w:pStyle w:val="TableParagraph"/>
              <w:spacing w:before="1"/>
              <w:ind w:left="117" w:right="112"/>
              <w:jc w:val="center"/>
              <w:rPr>
                <w:sz w:val="16"/>
              </w:rPr>
            </w:pPr>
            <w:r>
              <w:rPr>
                <w:sz w:val="16"/>
              </w:rPr>
              <w:t>3.63</w:t>
            </w:r>
          </w:p>
        </w:tc>
        <w:tc>
          <w:tcPr>
            <w:tcW w:w="993" w:type="dxa"/>
            <w:tcBorders>
              <w:top w:val="single" w:sz="6" w:space="0" w:color="000000"/>
              <w:bottom w:val="single" w:sz="6" w:space="0" w:color="000000"/>
            </w:tcBorders>
          </w:tcPr>
          <w:p>
            <w:pPr>
              <w:pStyle w:val="TableParagraph"/>
              <w:spacing w:before="11"/>
              <w:rPr>
                <w:sz w:val="22"/>
              </w:rPr>
            </w:pPr>
          </w:p>
          <w:p>
            <w:pPr>
              <w:pStyle w:val="TableParagraph"/>
              <w:spacing w:before="1"/>
              <w:ind w:left="1"/>
              <w:jc w:val="center"/>
              <w:rPr>
                <w:sz w:val="16"/>
              </w:rPr>
            </w:pPr>
            <w:r>
              <w:rPr>
                <w:w w:val="100"/>
                <w:sz w:val="16"/>
              </w:rPr>
              <w:t>−</w:t>
            </w:r>
          </w:p>
        </w:tc>
        <w:tc>
          <w:tcPr>
            <w:tcW w:w="565" w:type="dxa"/>
            <w:tcBorders>
              <w:top w:val="single" w:sz="6" w:space="0" w:color="000000"/>
              <w:bottom w:val="single" w:sz="6" w:space="0" w:color="000000"/>
            </w:tcBorders>
          </w:tcPr>
          <w:p>
            <w:pPr>
              <w:pStyle w:val="TableParagraph"/>
              <w:spacing w:before="11"/>
              <w:rPr>
                <w:sz w:val="22"/>
              </w:rPr>
            </w:pPr>
          </w:p>
          <w:p>
            <w:pPr>
              <w:pStyle w:val="TableParagraph"/>
              <w:spacing w:before="1"/>
              <w:ind w:right="1"/>
              <w:jc w:val="center"/>
              <w:rPr>
                <w:sz w:val="16"/>
              </w:rPr>
            </w:pPr>
            <w:r>
              <w:rPr>
                <w:w w:val="100"/>
                <w:sz w:val="16"/>
              </w:rPr>
              <w:t>−</w:t>
            </w:r>
          </w:p>
        </w:tc>
        <w:tc>
          <w:tcPr>
            <w:tcW w:w="1115" w:type="dxa"/>
            <w:tcBorders>
              <w:top w:val="single" w:sz="6" w:space="0" w:color="000000"/>
              <w:bottom w:val="single" w:sz="6" w:space="0" w:color="000000"/>
            </w:tcBorders>
          </w:tcPr>
          <w:p>
            <w:pPr>
              <w:pStyle w:val="TableParagraph"/>
              <w:spacing w:before="11"/>
              <w:rPr>
                <w:sz w:val="22"/>
              </w:rPr>
            </w:pPr>
          </w:p>
          <w:p>
            <w:pPr>
              <w:pStyle w:val="TableParagraph"/>
              <w:spacing w:before="1"/>
              <w:ind w:left="176" w:right="178"/>
              <w:jc w:val="center"/>
              <w:rPr>
                <w:sz w:val="16"/>
              </w:rPr>
            </w:pPr>
            <w:r>
              <w:rPr>
                <w:sz w:val="16"/>
              </w:rPr>
              <w:t>18,504.72</w:t>
            </w:r>
          </w:p>
        </w:tc>
        <w:tc>
          <w:tcPr>
            <w:tcW w:w="756" w:type="dxa"/>
            <w:tcBorders>
              <w:top w:val="single" w:sz="6" w:space="0" w:color="000000"/>
              <w:bottom w:val="single" w:sz="6" w:space="0" w:color="000000"/>
            </w:tcBorders>
          </w:tcPr>
          <w:p>
            <w:pPr>
              <w:pStyle w:val="TableParagraph"/>
              <w:spacing w:before="11"/>
              <w:rPr>
                <w:sz w:val="22"/>
              </w:rPr>
            </w:pPr>
          </w:p>
          <w:p>
            <w:pPr>
              <w:pStyle w:val="TableParagraph"/>
              <w:spacing w:before="1"/>
              <w:ind w:left="152" w:right="155"/>
              <w:jc w:val="center"/>
              <w:rPr>
                <w:sz w:val="16"/>
              </w:rPr>
            </w:pPr>
            <w:r>
              <w:rPr>
                <w:sz w:val="16"/>
              </w:rPr>
              <w:t>49.15</w:t>
            </w:r>
          </w:p>
        </w:tc>
        <w:tc>
          <w:tcPr>
            <w:tcW w:w="1235" w:type="dxa"/>
            <w:tcBorders>
              <w:top w:val="single" w:sz="6" w:space="0" w:color="000000"/>
              <w:bottom w:val="single" w:sz="6" w:space="0" w:color="000000"/>
            </w:tcBorders>
          </w:tcPr>
          <w:p>
            <w:pPr>
              <w:pStyle w:val="TableParagraph"/>
              <w:spacing w:before="11"/>
              <w:rPr>
                <w:sz w:val="22"/>
              </w:rPr>
            </w:pPr>
          </w:p>
          <w:p>
            <w:pPr>
              <w:pStyle w:val="TableParagraph"/>
              <w:spacing w:before="1"/>
              <w:ind w:left="188" w:right="196"/>
              <w:jc w:val="center"/>
              <w:rPr>
                <w:sz w:val="16"/>
              </w:rPr>
            </w:pPr>
            <w:r>
              <w:rPr>
                <w:sz w:val="16"/>
              </w:rPr>
              <w:t>28,002.36</w:t>
            </w:r>
          </w:p>
        </w:tc>
        <w:tc>
          <w:tcPr>
            <w:tcW w:w="690" w:type="dxa"/>
            <w:tcBorders>
              <w:top w:val="single" w:sz="6" w:space="0" w:color="000000"/>
              <w:bottom w:val="single" w:sz="6" w:space="0" w:color="000000"/>
            </w:tcBorders>
          </w:tcPr>
          <w:p>
            <w:pPr>
              <w:pStyle w:val="TableParagraph"/>
              <w:spacing w:before="11"/>
              <w:rPr>
                <w:sz w:val="22"/>
              </w:rPr>
            </w:pPr>
          </w:p>
          <w:p>
            <w:pPr>
              <w:pStyle w:val="TableParagraph"/>
              <w:spacing w:before="1"/>
              <w:ind w:left="111" w:right="117"/>
              <w:jc w:val="center"/>
              <w:rPr>
                <w:sz w:val="16"/>
              </w:rPr>
            </w:pPr>
            <w:r>
              <w:rPr>
                <w:sz w:val="16"/>
              </w:rPr>
              <w:t>74.38</w:t>
            </w:r>
          </w:p>
        </w:tc>
      </w:tr>
      <w:tr>
        <w:trPr>
          <w:trHeight w:val="563" w:hRule="atLeast"/>
        </w:trPr>
        <w:tc>
          <w:tcPr>
            <w:tcW w:w="2014" w:type="dxa"/>
            <w:tcBorders>
              <w:top w:val="single" w:sz="6" w:space="0" w:color="000000"/>
              <w:bottom w:val="single" w:sz="6" w:space="0" w:color="000000"/>
            </w:tcBorders>
            <w:shd w:val="clear" w:color="auto" w:fill="D7E3BB"/>
          </w:tcPr>
          <w:p>
            <w:pPr>
              <w:pStyle w:val="TableParagraph"/>
              <w:spacing w:before="9"/>
              <w:rPr>
                <w:sz w:val="23"/>
              </w:rPr>
            </w:pPr>
          </w:p>
          <w:p>
            <w:pPr>
              <w:pStyle w:val="TableParagraph"/>
              <w:ind w:left="81"/>
              <w:rPr>
                <w:sz w:val="16"/>
              </w:rPr>
            </w:pPr>
            <w:r>
              <w:rPr>
                <w:color w:val="4F6128"/>
                <w:sz w:val="16"/>
              </w:rPr>
              <w:t>HOSTOTIPAQUILLO</w:t>
            </w:r>
          </w:p>
        </w:tc>
        <w:tc>
          <w:tcPr>
            <w:tcW w:w="1234" w:type="dxa"/>
            <w:tcBorders>
              <w:top w:val="single" w:sz="6" w:space="0" w:color="000000"/>
              <w:bottom w:val="single" w:sz="6" w:space="0" w:color="000000"/>
            </w:tcBorders>
          </w:tcPr>
          <w:p>
            <w:pPr>
              <w:pStyle w:val="TableParagraph"/>
              <w:spacing w:before="9"/>
              <w:rPr>
                <w:sz w:val="23"/>
              </w:rPr>
            </w:pPr>
          </w:p>
          <w:p>
            <w:pPr>
              <w:pStyle w:val="TableParagraph"/>
              <w:ind w:right="295"/>
              <w:jc w:val="right"/>
              <w:rPr>
                <w:sz w:val="16"/>
              </w:rPr>
            </w:pPr>
            <w:r>
              <w:rPr>
                <w:sz w:val="16"/>
              </w:rPr>
              <w:t>4,752.30</w:t>
            </w:r>
          </w:p>
        </w:tc>
        <w:tc>
          <w:tcPr>
            <w:tcW w:w="690" w:type="dxa"/>
            <w:tcBorders>
              <w:top w:val="single" w:sz="6" w:space="0" w:color="000000"/>
              <w:bottom w:val="single" w:sz="6" w:space="0" w:color="000000"/>
            </w:tcBorders>
          </w:tcPr>
          <w:p>
            <w:pPr>
              <w:pStyle w:val="TableParagraph"/>
              <w:spacing w:before="9"/>
              <w:rPr>
                <w:sz w:val="23"/>
              </w:rPr>
            </w:pPr>
          </w:p>
          <w:p>
            <w:pPr>
              <w:pStyle w:val="TableParagraph"/>
              <w:ind w:left="189"/>
              <w:rPr>
                <w:sz w:val="16"/>
              </w:rPr>
            </w:pPr>
            <w:r>
              <w:rPr>
                <w:sz w:val="16"/>
              </w:rPr>
              <w:t>6.43</w:t>
            </w:r>
          </w:p>
        </w:tc>
        <w:tc>
          <w:tcPr>
            <w:tcW w:w="1112" w:type="dxa"/>
            <w:tcBorders>
              <w:top w:val="single" w:sz="6" w:space="0" w:color="000000"/>
              <w:bottom w:val="single" w:sz="6" w:space="0" w:color="000000"/>
            </w:tcBorders>
          </w:tcPr>
          <w:p>
            <w:pPr>
              <w:pStyle w:val="TableParagraph"/>
              <w:spacing w:before="9"/>
              <w:rPr>
                <w:sz w:val="23"/>
              </w:rPr>
            </w:pPr>
          </w:p>
          <w:p>
            <w:pPr>
              <w:pStyle w:val="TableParagraph"/>
              <w:ind w:left="177" w:right="173"/>
              <w:jc w:val="center"/>
              <w:rPr>
                <w:sz w:val="16"/>
              </w:rPr>
            </w:pPr>
            <w:r>
              <w:rPr>
                <w:sz w:val="16"/>
              </w:rPr>
              <w:t>7,058.27</w:t>
            </w:r>
          </w:p>
        </w:tc>
        <w:tc>
          <w:tcPr>
            <w:tcW w:w="690" w:type="dxa"/>
            <w:tcBorders>
              <w:top w:val="single" w:sz="6" w:space="0" w:color="000000"/>
              <w:bottom w:val="single" w:sz="6" w:space="0" w:color="000000"/>
            </w:tcBorders>
          </w:tcPr>
          <w:p>
            <w:pPr>
              <w:pStyle w:val="TableParagraph"/>
              <w:spacing w:before="9"/>
              <w:rPr>
                <w:sz w:val="23"/>
              </w:rPr>
            </w:pPr>
          </w:p>
          <w:p>
            <w:pPr>
              <w:pStyle w:val="TableParagraph"/>
              <w:ind w:left="117" w:right="112"/>
              <w:jc w:val="center"/>
              <w:rPr>
                <w:sz w:val="16"/>
              </w:rPr>
            </w:pPr>
            <w:r>
              <w:rPr>
                <w:sz w:val="16"/>
              </w:rPr>
              <w:t>9.54</w:t>
            </w:r>
          </w:p>
        </w:tc>
        <w:tc>
          <w:tcPr>
            <w:tcW w:w="993" w:type="dxa"/>
            <w:tcBorders>
              <w:top w:val="single" w:sz="6" w:space="0" w:color="000000"/>
              <w:bottom w:val="single" w:sz="6" w:space="0" w:color="000000"/>
            </w:tcBorders>
          </w:tcPr>
          <w:p>
            <w:pPr>
              <w:pStyle w:val="TableParagraph"/>
              <w:spacing w:before="9"/>
              <w:rPr>
                <w:sz w:val="23"/>
              </w:rPr>
            </w:pPr>
          </w:p>
          <w:p>
            <w:pPr>
              <w:pStyle w:val="TableParagraph"/>
              <w:ind w:left="1"/>
              <w:jc w:val="center"/>
              <w:rPr>
                <w:sz w:val="16"/>
              </w:rPr>
            </w:pPr>
            <w:r>
              <w:rPr>
                <w:w w:val="100"/>
                <w:sz w:val="16"/>
              </w:rPr>
              <w:t>−</w:t>
            </w:r>
          </w:p>
        </w:tc>
        <w:tc>
          <w:tcPr>
            <w:tcW w:w="565" w:type="dxa"/>
            <w:tcBorders>
              <w:top w:val="single" w:sz="6" w:space="0" w:color="000000"/>
              <w:bottom w:val="single" w:sz="6" w:space="0" w:color="000000"/>
            </w:tcBorders>
          </w:tcPr>
          <w:p>
            <w:pPr>
              <w:pStyle w:val="TableParagraph"/>
              <w:spacing w:before="9"/>
              <w:rPr>
                <w:sz w:val="23"/>
              </w:rPr>
            </w:pPr>
          </w:p>
          <w:p>
            <w:pPr>
              <w:pStyle w:val="TableParagraph"/>
              <w:ind w:right="1"/>
              <w:jc w:val="center"/>
              <w:rPr>
                <w:sz w:val="16"/>
              </w:rPr>
            </w:pPr>
            <w:r>
              <w:rPr>
                <w:w w:val="100"/>
                <w:sz w:val="16"/>
              </w:rPr>
              <w:t>−</w:t>
            </w:r>
          </w:p>
        </w:tc>
        <w:tc>
          <w:tcPr>
            <w:tcW w:w="1115" w:type="dxa"/>
            <w:tcBorders>
              <w:top w:val="single" w:sz="6" w:space="0" w:color="000000"/>
              <w:bottom w:val="single" w:sz="6" w:space="0" w:color="000000"/>
            </w:tcBorders>
          </w:tcPr>
          <w:p>
            <w:pPr>
              <w:pStyle w:val="TableParagraph"/>
              <w:spacing w:before="9"/>
              <w:rPr>
                <w:sz w:val="23"/>
              </w:rPr>
            </w:pPr>
          </w:p>
          <w:p>
            <w:pPr>
              <w:pStyle w:val="TableParagraph"/>
              <w:ind w:left="176" w:right="178"/>
              <w:jc w:val="center"/>
              <w:rPr>
                <w:sz w:val="16"/>
              </w:rPr>
            </w:pPr>
            <w:r>
              <w:rPr>
                <w:sz w:val="16"/>
              </w:rPr>
              <w:t>43,592.42</w:t>
            </w:r>
          </w:p>
        </w:tc>
        <w:tc>
          <w:tcPr>
            <w:tcW w:w="756" w:type="dxa"/>
            <w:tcBorders>
              <w:top w:val="single" w:sz="6" w:space="0" w:color="000000"/>
              <w:bottom w:val="single" w:sz="6" w:space="0" w:color="000000"/>
            </w:tcBorders>
          </w:tcPr>
          <w:p>
            <w:pPr>
              <w:pStyle w:val="TableParagraph"/>
              <w:spacing w:before="9"/>
              <w:rPr>
                <w:sz w:val="23"/>
              </w:rPr>
            </w:pPr>
          </w:p>
          <w:p>
            <w:pPr>
              <w:pStyle w:val="TableParagraph"/>
              <w:ind w:left="152" w:right="155"/>
              <w:jc w:val="center"/>
              <w:rPr>
                <w:sz w:val="16"/>
              </w:rPr>
            </w:pPr>
            <w:r>
              <w:rPr>
                <w:sz w:val="16"/>
              </w:rPr>
              <w:t>58.94</w:t>
            </w:r>
          </w:p>
        </w:tc>
        <w:tc>
          <w:tcPr>
            <w:tcW w:w="1235" w:type="dxa"/>
            <w:tcBorders>
              <w:top w:val="single" w:sz="6" w:space="0" w:color="000000"/>
              <w:bottom w:val="single" w:sz="6" w:space="0" w:color="000000"/>
            </w:tcBorders>
          </w:tcPr>
          <w:p>
            <w:pPr>
              <w:pStyle w:val="TableParagraph"/>
              <w:spacing w:before="9"/>
              <w:rPr>
                <w:sz w:val="23"/>
              </w:rPr>
            </w:pPr>
          </w:p>
          <w:p>
            <w:pPr>
              <w:pStyle w:val="TableParagraph"/>
              <w:ind w:left="188" w:right="196"/>
              <w:jc w:val="center"/>
              <w:rPr>
                <w:sz w:val="16"/>
              </w:rPr>
            </w:pPr>
            <w:r>
              <w:rPr>
                <w:sz w:val="16"/>
              </w:rPr>
              <w:t>55,402.98</w:t>
            </w:r>
          </w:p>
        </w:tc>
        <w:tc>
          <w:tcPr>
            <w:tcW w:w="690" w:type="dxa"/>
            <w:tcBorders>
              <w:top w:val="single" w:sz="6" w:space="0" w:color="000000"/>
              <w:bottom w:val="single" w:sz="6" w:space="0" w:color="000000"/>
            </w:tcBorders>
          </w:tcPr>
          <w:p>
            <w:pPr>
              <w:pStyle w:val="TableParagraph"/>
              <w:spacing w:before="9"/>
              <w:rPr>
                <w:sz w:val="23"/>
              </w:rPr>
            </w:pPr>
          </w:p>
          <w:p>
            <w:pPr>
              <w:pStyle w:val="TableParagraph"/>
              <w:ind w:left="111" w:right="117"/>
              <w:jc w:val="center"/>
              <w:rPr>
                <w:sz w:val="16"/>
              </w:rPr>
            </w:pPr>
            <w:r>
              <w:rPr>
                <w:sz w:val="16"/>
              </w:rPr>
              <w:t>74.91</w:t>
            </w:r>
          </w:p>
        </w:tc>
      </w:tr>
      <w:tr>
        <w:trPr>
          <w:trHeight w:val="542" w:hRule="atLeast"/>
        </w:trPr>
        <w:tc>
          <w:tcPr>
            <w:tcW w:w="2014" w:type="dxa"/>
            <w:tcBorders>
              <w:top w:val="single" w:sz="6" w:space="0" w:color="000000"/>
              <w:bottom w:val="single" w:sz="6" w:space="0" w:color="000000"/>
            </w:tcBorders>
            <w:shd w:val="clear" w:color="auto" w:fill="D7E3BB"/>
          </w:tcPr>
          <w:p>
            <w:pPr>
              <w:pStyle w:val="TableParagraph"/>
              <w:spacing w:before="12"/>
              <w:rPr>
                <w:sz w:val="21"/>
              </w:rPr>
            </w:pPr>
          </w:p>
          <w:p>
            <w:pPr>
              <w:pStyle w:val="TableParagraph"/>
              <w:ind w:left="81"/>
              <w:rPr>
                <w:sz w:val="16"/>
              </w:rPr>
            </w:pPr>
            <w:r>
              <w:rPr>
                <w:color w:val="4F6128"/>
                <w:sz w:val="16"/>
              </w:rPr>
              <w:t>MAGDALENA</w:t>
            </w:r>
          </w:p>
        </w:tc>
        <w:tc>
          <w:tcPr>
            <w:tcW w:w="1234" w:type="dxa"/>
            <w:tcBorders>
              <w:top w:val="single" w:sz="6" w:space="0" w:color="000000"/>
              <w:bottom w:val="single" w:sz="6" w:space="0" w:color="000000"/>
            </w:tcBorders>
          </w:tcPr>
          <w:p>
            <w:pPr>
              <w:pStyle w:val="TableParagraph"/>
              <w:spacing w:before="12"/>
              <w:rPr>
                <w:sz w:val="21"/>
              </w:rPr>
            </w:pPr>
          </w:p>
          <w:p>
            <w:pPr>
              <w:pStyle w:val="TableParagraph"/>
              <w:ind w:right="252"/>
              <w:jc w:val="right"/>
              <w:rPr>
                <w:sz w:val="16"/>
              </w:rPr>
            </w:pPr>
            <w:r>
              <w:rPr>
                <w:sz w:val="16"/>
              </w:rPr>
              <w:t>11,188.14</w:t>
            </w:r>
          </w:p>
        </w:tc>
        <w:tc>
          <w:tcPr>
            <w:tcW w:w="690" w:type="dxa"/>
            <w:tcBorders>
              <w:top w:val="single" w:sz="6" w:space="0" w:color="000000"/>
              <w:bottom w:val="single" w:sz="6" w:space="0" w:color="000000"/>
            </w:tcBorders>
          </w:tcPr>
          <w:p>
            <w:pPr>
              <w:pStyle w:val="TableParagraph"/>
              <w:spacing w:before="12"/>
              <w:rPr>
                <w:sz w:val="21"/>
              </w:rPr>
            </w:pPr>
          </w:p>
          <w:p>
            <w:pPr>
              <w:pStyle w:val="TableParagraph"/>
              <w:ind w:left="146"/>
              <w:rPr>
                <w:sz w:val="16"/>
              </w:rPr>
            </w:pPr>
            <w:r>
              <w:rPr>
                <w:sz w:val="16"/>
              </w:rPr>
              <w:t>25.51</w:t>
            </w:r>
          </w:p>
        </w:tc>
        <w:tc>
          <w:tcPr>
            <w:tcW w:w="1112" w:type="dxa"/>
            <w:tcBorders>
              <w:top w:val="single" w:sz="6" w:space="0" w:color="000000"/>
              <w:bottom w:val="single" w:sz="6" w:space="0" w:color="000000"/>
            </w:tcBorders>
          </w:tcPr>
          <w:p>
            <w:pPr>
              <w:pStyle w:val="TableParagraph"/>
              <w:spacing w:before="12"/>
              <w:rPr>
                <w:sz w:val="21"/>
              </w:rPr>
            </w:pPr>
          </w:p>
          <w:p>
            <w:pPr>
              <w:pStyle w:val="TableParagraph"/>
              <w:ind w:left="177" w:right="170"/>
              <w:jc w:val="center"/>
              <w:rPr>
                <w:sz w:val="16"/>
              </w:rPr>
            </w:pPr>
            <w:r>
              <w:rPr>
                <w:sz w:val="16"/>
              </w:rPr>
              <w:t>136.62</w:t>
            </w:r>
          </w:p>
        </w:tc>
        <w:tc>
          <w:tcPr>
            <w:tcW w:w="690" w:type="dxa"/>
            <w:tcBorders>
              <w:top w:val="single" w:sz="6" w:space="0" w:color="000000"/>
              <w:bottom w:val="single" w:sz="6" w:space="0" w:color="000000"/>
            </w:tcBorders>
          </w:tcPr>
          <w:p>
            <w:pPr>
              <w:pStyle w:val="TableParagraph"/>
              <w:spacing w:before="12"/>
              <w:rPr>
                <w:sz w:val="21"/>
              </w:rPr>
            </w:pPr>
          </w:p>
          <w:p>
            <w:pPr>
              <w:pStyle w:val="TableParagraph"/>
              <w:ind w:left="117" w:right="112"/>
              <w:jc w:val="center"/>
              <w:rPr>
                <w:sz w:val="16"/>
              </w:rPr>
            </w:pPr>
            <w:r>
              <w:rPr>
                <w:sz w:val="16"/>
              </w:rPr>
              <w:t>0.31</w:t>
            </w:r>
          </w:p>
        </w:tc>
        <w:tc>
          <w:tcPr>
            <w:tcW w:w="993" w:type="dxa"/>
            <w:tcBorders>
              <w:top w:val="single" w:sz="6" w:space="0" w:color="000000"/>
              <w:bottom w:val="single" w:sz="6" w:space="0" w:color="000000"/>
            </w:tcBorders>
          </w:tcPr>
          <w:p>
            <w:pPr>
              <w:pStyle w:val="TableParagraph"/>
              <w:spacing w:before="12"/>
              <w:rPr>
                <w:sz w:val="21"/>
              </w:rPr>
            </w:pPr>
          </w:p>
          <w:p>
            <w:pPr>
              <w:pStyle w:val="TableParagraph"/>
              <w:ind w:left="1"/>
              <w:jc w:val="center"/>
              <w:rPr>
                <w:sz w:val="16"/>
              </w:rPr>
            </w:pPr>
            <w:r>
              <w:rPr>
                <w:w w:val="100"/>
                <w:sz w:val="16"/>
              </w:rPr>
              <w:t>−</w:t>
            </w:r>
          </w:p>
        </w:tc>
        <w:tc>
          <w:tcPr>
            <w:tcW w:w="565" w:type="dxa"/>
            <w:tcBorders>
              <w:top w:val="single" w:sz="6" w:space="0" w:color="000000"/>
              <w:bottom w:val="single" w:sz="6" w:space="0" w:color="000000"/>
            </w:tcBorders>
          </w:tcPr>
          <w:p>
            <w:pPr>
              <w:pStyle w:val="TableParagraph"/>
              <w:spacing w:before="12"/>
              <w:rPr>
                <w:sz w:val="21"/>
              </w:rPr>
            </w:pPr>
          </w:p>
          <w:p>
            <w:pPr>
              <w:pStyle w:val="TableParagraph"/>
              <w:ind w:right="1"/>
              <w:jc w:val="center"/>
              <w:rPr>
                <w:sz w:val="16"/>
              </w:rPr>
            </w:pPr>
            <w:r>
              <w:rPr>
                <w:w w:val="100"/>
                <w:sz w:val="16"/>
              </w:rPr>
              <w:t>−</w:t>
            </w:r>
          </w:p>
        </w:tc>
        <w:tc>
          <w:tcPr>
            <w:tcW w:w="1115" w:type="dxa"/>
            <w:tcBorders>
              <w:top w:val="single" w:sz="6" w:space="0" w:color="000000"/>
              <w:bottom w:val="single" w:sz="6" w:space="0" w:color="000000"/>
            </w:tcBorders>
          </w:tcPr>
          <w:p>
            <w:pPr>
              <w:pStyle w:val="TableParagraph"/>
              <w:spacing w:before="12"/>
              <w:rPr>
                <w:sz w:val="21"/>
              </w:rPr>
            </w:pPr>
          </w:p>
          <w:p>
            <w:pPr>
              <w:pStyle w:val="TableParagraph"/>
              <w:ind w:left="176" w:right="178"/>
              <w:jc w:val="center"/>
              <w:rPr>
                <w:sz w:val="16"/>
              </w:rPr>
            </w:pPr>
            <w:r>
              <w:rPr>
                <w:sz w:val="16"/>
              </w:rPr>
              <w:t>16,350.57</w:t>
            </w:r>
          </w:p>
        </w:tc>
        <w:tc>
          <w:tcPr>
            <w:tcW w:w="756" w:type="dxa"/>
            <w:tcBorders>
              <w:top w:val="single" w:sz="6" w:space="0" w:color="000000"/>
              <w:bottom w:val="single" w:sz="6" w:space="0" w:color="000000"/>
            </w:tcBorders>
          </w:tcPr>
          <w:p>
            <w:pPr>
              <w:pStyle w:val="TableParagraph"/>
              <w:spacing w:before="12"/>
              <w:rPr>
                <w:sz w:val="21"/>
              </w:rPr>
            </w:pPr>
          </w:p>
          <w:p>
            <w:pPr>
              <w:pStyle w:val="TableParagraph"/>
              <w:ind w:left="152" w:right="155"/>
              <w:jc w:val="center"/>
              <w:rPr>
                <w:sz w:val="16"/>
              </w:rPr>
            </w:pPr>
            <w:r>
              <w:rPr>
                <w:sz w:val="16"/>
              </w:rPr>
              <w:t>37.28</w:t>
            </w:r>
          </w:p>
        </w:tc>
        <w:tc>
          <w:tcPr>
            <w:tcW w:w="1235" w:type="dxa"/>
            <w:tcBorders>
              <w:top w:val="single" w:sz="6" w:space="0" w:color="000000"/>
              <w:bottom w:val="single" w:sz="6" w:space="0" w:color="000000"/>
            </w:tcBorders>
          </w:tcPr>
          <w:p>
            <w:pPr>
              <w:pStyle w:val="TableParagraph"/>
              <w:spacing w:before="12"/>
              <w:rPr>
                <w:sz w:val="21"/>
              </w:rPr>
            </w:pPr>
          </w:p>
          <w:p>
            <w:pPr>
              <w:pStyle w:val="TableParagraph"/>
              <w:ind w:left="188" w:right="196"/>
              <w:jc w:val="center"/>
              <w:rPr>
                <w:sz w:val="16"/>
              </w:rPr>
            </w:pPr>
            <w:r>
              <w:rPr>
                <w:sz w:val="16"/>
              </w:rPr>
              <w:t>27,675.33</w:t>
            </w:r>
          </w:p>
        </w:tc>
        <w:tc>
          <w:tcPr>
            <w:tcW w:w="690" w:type="dxa"/>
            <w:tcBorders>
              <w:top w:val="single" w:sz="6" w:space="0" w:color="000000"/>
              <w:bottom w:val="single" w:sz="6" w:space="0" w:color="000000"/>
            </w:tcBorders>
          </w:tcPr>
          <w:p>
            <w:pPr>
              <w:pStyle w:val="TableParagraph"/>
              <w:spacing w:before="12"/>
              <w:rPr>
                <w:sz w:val="21"/>
              </w:rPr>
            </w:pPr>
          </w:p>
          <w:p>
            <w:pPr>
              <w:pStyle w:val="TableParagraph"/>
              <w:ind w:left="108" w:right="117"/>
              <w:jc w:val="center"/>
              <w:rPr>
                <w:sz w:val="16"/>
              </w:rPr>
            </w:pPr>
            <w:r>
              <w:rPr>
                <w:sz w:val="16"/>
              </w:rPr>
              <w:t>63.1</w:t>
            </w:r>
          </w:p>
        </w:tc>
      </w:tr>
      <w:tr>
        <w:trPr>
          <w:trHeight w:val="407" w:hRule="atLeast"/>
        </w:trPr>
        <w:tc>
          <w:tcPr>
            <w:tcW w:w="2014" w:type="dxa"/>
            <w:tcBorders>
              <w:top w:val="single" w:sz="6" w:space="0" w:color="000000"/>
              <w:bottom w:val="single" w:sz="6" w:space="0" w:color="000000"/>
            </w:tcBorders>
            <w:shd w:val="clear" w:color="auto" w:fill="D7E3BB"/>
          </w:tcPr>
          <w:p>
            <w:pPr>
              <w:pStyle w:val="TableParagraph"/>
              <w:spacing w:before="135"/>
              <w:ind w:left="81"/>
              <w:rPr>
                <w:sz w:val="16"/>
              </w:rPr>
            </w:pPr>
            <w:r>
              <w:rPr>
                <w:color w:val="4F6128"/>
                <w:sz w:val="16"/>
              </w:rPr>
              <w:t>SAN JUANITO DE E.</w:t>
            </w:r>
          </w:p>
        </w:tc>
        <w:tc>
          <w:tcPr>
            <w:tcW w:w="1234" w:type="dxa"/>
            <w:tcBorders>
              <w:top w:val="single" w:sz="6" w:space="0" w:color="000000"/>
              <w:bottom w:val="single" w:sz="6" w:space="0" w:color="000000"/>
            </w:tcBorders>
          </w:tcPr>
          <w:p>
            <w:pPr>
              <w:pStyle w:val="TableParagraph"/>
              <w:spacing w:before="135"/>
              <w:ind w:right="295"/>
              <w:jc w:val="right"/>
              <w:rPr>
                <w:sz w:val="16"/>
              </w:rPr>
            </w:pPr>
            <w:r>
              <w:rPr>
                <w:sz w:val="16"/>
              </w:rPr>
              <w:t>4,127.82</w:t>
            </w:r>
          </w:p>
        </w:tc>
        <w:tc>
          <w:tcPr>
            <w:tcW w:w="690" w:type="dxa"/>
            <w:tcBorders>
              <w:top w:val="single" w:sz="6" w:space="0" w:color="000000"/>
              <w:bottom w:val="single" w:sz="6" w:space="0" w:color="000000"/>
            </w:tcBorders>
          </w:tcPr>
          <w:p>
            <w:pPr>
              <w:pStyle w:val="TableParagraph"/>
              <w:spacing w:before="135"/>
              <w:ind w:left="146"/>
              <w:rPr>
                <w:sz w:val="16"/>
              </w:rPr>
            </w:pPr>
            <w:r>
              <w:rPr>
                <w:sz w:val="16"/>
              </w:rPr>
              <w:t>18.64</w:t>
            </w:r>
          </w:p>
        </w:tc>
        <w:tc>
          <w:tcPr>
            <w:tcW w:w="1112" w:type="dxa"/>
            <w:tcBorders>
              <w:top w:val="single" w:sz="6" w:space="0" w:color="000000"/>
              <w:bottom w:val="single" w:sz="6" w:space="0" w:color="000000"/>
            </w:tcBorders>
          </w:tcPr>
          <w:p>
            <w:pPr>
              <w:pStyle w:val="TableParagraph"/>
              <w:spacing w:before="135"/>
              <w:ind w:left="177" w:right="170"/>
              <w:jc w:val="center"/>
              <w:rPr>
                <w:sz w:val="16"/>
              </w:rPr>
            </w:pPr>
            <w:r>
              <w:rPr>
                <w:sz w:val="16"/>
              </w:rPr>
              <w:t>187.19</w:t>
            </w:r>
          </w:p>
        </w:tc>
        <w:tc>
          <w:tcPr>
            <w:tcW w:w="690" w:type="dxa"/>
            <w:tcBorders>
              <w:top w:val="single" w:sz="6" w:space="0" w:color="000000"/>
              <w:bottom w:val="single" w:sz="6" w:space="0" w:color="000000"/>
            </w:tcBorders>
          </w:tcPr>
          <w:p>
            <w:pPr>
              <w:pStyle w:val="TableParagraph"/>
              <w:spacing w:before="135"/>
              <w:ind w:left="117" w:right="112"/>
              <w:jc w:val="center"/>
              <w:rPr>
                <w:sz w:val="16"/>
              </w:rPr>
            </w:pPr>
            <w:r>
              <w:rPr>
                <w:sz w:val="16"/>
              </w:rPr>
              <w:t>0.83</w:t>
            </w:r>
          </w:p>
        </w:tc>
        <w:tc>
          <w:tcPr>
            <w:tcW w:w="993" w:type="dxa"/>
            <w:tcBorders>
              <w:top w:val="single" w:sz="6" w:space="0" w:color="000000"/>
              <w:bottom w:val="single" w:sz="6" w:space="0" w:color="000000"/>
            </w:tcBorders>
          </w:tcPr>
          <w:p>
            <w:pPr>
              <w:pStyle w:val="TableParagraph"/>
              <w:spacing w:before="135"/>
              <w:ind w:left="160" w:right="161"/>
              <w:jc w:val="center"/>
              <w:rPr>
                <w:sz w:val="16"/>
              </w:rPr>
            </w:pPr>
            <w:r>
              <w:rPr>
                <w:sz w:val="16"/>
              </w:rPr>
              <w:t>768.18</w:t>
            </w:r>
          </w:p>
        </w:tc>
        <w:tc>
          <w:tcPr>
            <w:tcW w:w="565" w:type="dxa"/>
            <w:tcBorders>
              <w:top w:val="single" w:sz="6" w:space="0" w:color="000000"/>
              <w:bottom w:val="single" w:sz="6" w:space="0" w:color="000000"/>
            </w:tcBorders>
          </w:tcPr>
          <w:p>
            <w:pPr>
              <w:pStyle w:val="TableParagraph"/>
              <w:spacing w:before="135"/>
              <w:ind w:left="102" w:right="102"/>
              <w:jc w:val="center"/>
              <w:rPr>
                <w:sz w:val="16"/>
              </w:rPr>
            </w:pPr>
            <w:r>
              <w:rPr>
                <w:sz w:val="16"/>
              </w:rPr>
              <w:t>3.42</w:t>
            </w:r>
          </w:p>
        </w:tc>
        <w:tc>
          <w:tcPr>
            <w:tcW w:w="1115" w:type="dxa"/>
            <w:tcBorders>
              <w:top w:val="single" w:sz="6" w:space="0" w:color="000000"/>
              <w:bottom w:val="single" w:sz="6" w:space="0" w:color="000000"/>
            </w:tcBorders>
          </w:tcPr>
          <w:p>
            <w:pPr>
              <w:pStyle w:val="TableParagraph"/>
              <w:spacing w:before="135"/>
              <w:ind w:left="176" w:right="176"/>
              <w:jc w:val="center"/>
              <w:rPr>
                <w:sz w:val="16"/>
              </w:rPr>
            </w:pPr>
            <w:r>
              <w:rPr>
                <w:sz w:val="16"/>
              </w:rPr>
              <w:t>4,716.06</w:t>
            </w:r>
          </w:p>
        </w:tc>
        <w:tc>
          <w:tcPr>
            <w:tcW w:w="756" w:type="dxa"/>
            <w:tcBorders>
              <w:top w:val="single" w:sz="6" w:space="0" w:color="000000"/>
              <w:bottom w:val="single" w:sz="6" w:space="0" w:color="000000"/>
            </w:tcBorders>
          </w:tcPr>
          <w:p>
            <w:pPr>
              <w:pStyle w:val="TableParagraph"/>
              <w:spacing w:before="135"/>
              <w:ind w:left="152" w:right="155"/>
              <w:jc w:val="center"/>
              <w:rPr>
                <w:sz w:val="16"/>
              </w:rPr>
            </w:pPr>
            <w:r>
              <w:rPr>
                <w:sz w:val="16"/>
              </w:rPr>
              <w:t>20.99</w:t>
            </w:r>
          </w:p>
        </w:tc>
        <w:tc>
          <w:tcPr>
            <w:tcW w:w="1235" w:type="dxa"/>
            <w:tcBorders>
              <w:top w:val="single" w:sz="6" w:space="0" w:color="000000"/>
              <w:bottom w:val="single" w:sz="6" w:space="0" w:color="000000"/>
            </w:tcBorders>
          </w:tcPr>
          <w:p>
            <w:pPr>
              <w:pStyle w:val="TableParagraph"/>
              <w:spacing w:before="135"/>
              <w:ind w:left="190" w:right="196"/>
              <w:jc w:val="center"/>
              <w:rPr>
                <w:sz w:val="16"/>
              </w:rPr>
            </w:pPr>
            <w:r>
              <w:rPr>
                <w:sz w:val="16"/>
              </w:rPr>
              <w:t>9,858.65</w:t>
            </w:r>
          </w:p>
        </w:tc>
        <w:tc>
          <w:tcPr>
            <w:tcW w:w="690" w:type="dxa"/>
            <w:tcBorders>
              <w:top w:val="single" w:sz="6" w:space="0" w:color="000000"/>
              <w:bottom w:val="single" w:sz="6" w:space="0" w:color="000000"/>
            </w:tcBorders>
          </w:tcPr>
          <w:p>
            <w:pPr>
              <w:pStyle w:val="TableParagraph"/>
              <w:spacing w:before="135"/>
              <w:ind w:left="111" w:right="117"/>
              <w:jc w:val="center"/>
              <w:rPr>
                <w:sz w:val="16"/>
              </w:rPr>
            </w:pPr>
            <w:r>
              <w:rPr>
                <w:sz w:val="16"/>
              </w:rPr>
              <w:t>43.89</w:t>
            </w:r>
          </w:p>
        </w:tc>
      </w:tr>
      <w:tr>
        <w:trPr>
          <w:trHeight w:val="556" w:hRule="atLeast"/>
        </w:trPr>
        <w:tc>
          <w:tcPr>
            <w:tcW w:w="2014" w:type="dxa"/>
            <w:tcBorders>
              <w:top w:val="single" w:sz="6" w:space="0" w:color="000000"/>
              <w:bottom w:val="single" w:sz="6" w:space="0" w:color="000000"/>
            </w:tcBorders>
            <w:shd w:val="clear" w:color="auto" w:fill="D7E3BB"/>
          </w:tcPr>
          <w:p>
            <w:pPr>
              <w:pStyle w:val="TableParagraph"/>
              <w:spacing w:before="1"/>
              <w:rPr>
                <w:sz w:val="23"/>
              </w:rPr>
            </w:pPr>
          </w:p>
          <w:p>
            <w:pPr>
              <w:pStyle w:val="TableParagraph"/>
              <w:spacing w:before="1"/>
              <w:ind w:left="81"/>
              <w:rPr>
                <w:sz w:val="16"/>
              </w:rPr>
            </w:pPr>
            <w:r>
              <w:rPr>
                <w:color w:val="4F6128"/>
                <w:sz w:val="16"/>
              </w:rPr>
              <w:t>SAN MARCOS</w:t>
            </w:r>
          </w:p>
        </w:tc>
        <w:tc>
          <w:tcPr>
            <w:tcW w:w="1234" w:type="dxa"/>
            <w:tcBorders>
              <w:top w:val="single" w:sz="6" w:space="0" w:color="000000"/>
              <w:bottom w:val="single" w:sz="6" w:space="0" w:color="000000"/>
            </w:tcBorders>
          </w:tcPr>
          <w:p>
            <w:pPr>
              <w:pStyle w:val="TableParagraph"/>
              <w:spacing w:before="1"/>
              <w:rPr>
                <w:sz w:val="23"/>
              </w:rPr>
            </w:pPr>
          </w:p>
          <w:p>
            <w:pPr>
              <w:pStyle w:val="TableParagraph"/>
              <w:spacing w:before="1"/>
              <w:ind w:left="374"/>
              <w:rPr>
                <w:sz w:val="16"/>
              </w:rPr>
            </w:pPr>
            <w:r>
              <w:rPr>
                <w:sz w:val="16"/>
              </w:rPr>
              <w:t>400.02</w:t>
            </w:r>
          </w:p>
        </w:tc>
        <w:tc>
          <w:tcPr>
            <w:tcW w:w="690" w:type="dxa"/>
            <w:tcBorders>
              <w:top w:val="single" w:sz="6" w:space="0" w:color="000000"/>
              <w:bottom w:val="single" w:sz="6" w:space="0" w:color="000000"/>
            </w:tcBorders>
          </w:tcPr>
          <w:p>
            <w:pPr>
              <w:pStyle w:val="TableParagraph"/>
              <w:spacing w:before="1"/>
              <w:rPr>
                <w:sz w:val="23"/>
              </w:rPr>
            </w:pPr>
          </w:p>
          <w:p>
            <w:pPr>
              <w:pStyle w:val="TableParagraph"/>
              <w:spacing w:before="1"/>
              <w:ind w:left="235"/>
              <w:rPr>
                <w:sz w:val="16"/>
              </w:rPr>
            </w:pPr>
            <w:r>
              <w:rPr>
                <w:sz w:val="16"/>
              </w:rPr>
              <w:t>1.5</w:t>
            </w:r>
          </w:p>
        </w:tc>
        <w:tc>
          <w:tcPr>
            <w:tcW w:w="1112" w:type="dxa"/>
            <w:tcBorders>
              <w:top w:val="single" w:sz="6" w:space="0" w:color="000000"/>
              <w:bottom w:val="single" w:sz="6" w:space="0" w:color="000000"/>
            </w:tcBorders>
          </w:tcPr>
          <w:p>
            <w:pPr>
              <w:pStyle w:val="TableParagraph"/>
              <w:spacing w:before="1"/>
              <w:rPr>
                <w:sz w:val="23"/>
              </w:rPr>
            </w:pPr>
          </w:p>
          <w:p>
            <w:pPr>
              <w:pStyle w:val="TableParagraph"/>
              <w:spacing w:before="1"/>
              <w:ind w:left="177" w:right="173"/>
              <w:jc w:val="center"/>
              <w:rPr>
                <w:sz w:val="16"/>
              </w:rPr>
            </w:pPr>
            <w:r>
              <w:rPr>
                <w:sz w:val="16"/>
              </w:rPr>
              <w:t>1,105.60</w:t>
            </w:r>
          </w:p>
        </w:tc>
        <w:tc>
          <w:tcPr>
            <w:tcW w:w="690" w:type="dxa"/>
            <w:tcBorders>
              <w:top w:val="single" w:sz="6" w:space="0" w:color="000000"/>
              <w:bottom w:val="single" w:sz="6" w:space="0" w:color="000000"/>
            </w:tcBorders>
          </w:tcPr>
          <w:p>
            <w:pPr>
              <w:pStyle w:val="TableParagraph"/>
              <w:spacing w:before="1"/>
              <w:rPr>
                <w:sz w:val="23"/>
              </w:rPr>
            </w:pPr>
          </w:p>
          <w:p>
            <w:pPr>
              <w:pStyle w:val="TableParagraph"/>
              <w:spacing w:before="1"/>
              <w:ind w:left="117" w:right="112"/>
              <w:jc w:val="center"/>
              <w:rPr>
                <w:sz w:val="16"/>
              </w:rPr>
            </w:pPr>
            <w:r>
              <w:rPr>
                <w:sz w:val="16"/>
              </w:rPr>
              <w:t>4.15</w:t>
            </w:r>
          </w:p>
        </w:tc>
        <w:tc>
          <w:tcPr>
            <w:tcW w:w="993" w:type="dxa"/>
            <w:tcBorders>
              <w:top w:val="single" w:sz="6" w:space="0" w:color="000000"/>
              <w:bottom w:val="single" w:sz="6" w:space="0" w:color="000000"/>
            </w:tcBorders>
          </w:tcPr>
          <w:p>
            <w:pPr>
              <w:pStyle w:val="TableParagraph"/>
              <w:spacing w:before="1"/>
              <w:rPr>
                <w:sz w:val="23"/>
              </w:rPr>
            </w:pPr>
          </w:p>
          <w:p>
            <w:pPr>
              <w:pStyle w:val="TableParagraph"/>
              <w:spacing w:before="1"/>
              <w:ind w:left="1"/>
              <w:jc w:val="center"/>
              <w:rPr>
                <w:sz w:val="16"/>
              </w:rPr>
            </w:pPr>
            <w:r>
              <w:rPr>
                <w:w w:val="100"/>
                <w:sz w:val="16"/>
              </w:rPr>
              <w:t>−</w:t>
            </w:r>
          </w:p>
        </w:tc>
        <w:tc>
          <w:tcPr>
            <w:tcW w:w="565" w:type="dxa"/>
            <w:tcBorders>
              <w:top w:val="single" w:sz="6" w:space="0" w:color="000000"/>
              <w:bottom w:val="single" w:sz="6" w:space="0" w:color="000000"/>
            </w:tcBorders>
          </w:tcPr>
          <w:p>
            <w:pPr>
              <w:pStyle w:val="TableParagraph"/>
              <w:spacing w:before="1"/>
              <w:rPr>
                <w:sz w:val="23"/>
              </w:rPr>
            </w:pPr>
          </w:p>
          <w:p>
            <w:pPr>
              <w:pStyle w:val="TableParagraph"/>
              <w:spacing w:before="1"/>
              <w:ind w:right="1"/>
              <w:jc w:val="center"/>
              <w:rPr>
                <w:sz w:val="16"/>
              </w:rPr>
            </w:pPr>
            <w:r>
              <w:rPr>
                <w:w w:val="100"/>
                <w:sz w:val="16"/>
              </w:rPr>
              <w:t>−</w:t>
            </w:r>
          </w:p>
        </w:tc>
        <w:tc>
          <w:tcPr>
            <w:tcW w:w="1115" w:type="dxa"/>
            <w:tcBorders>
              <w:top w:val="single" w:sz="6" w:space="0" w:color="000000"/>
              <w:bottom w:val="single" w:sz="6" w:space="0" w:color="000000"/>
            </w:tcBorders>
          </w:tcPr>
          <w:p>
            <w:pPr>
              <w:pStyle w:val="TableParagraph"/>
              <w:spacing w:before="1"/>
              <w:rPr>
                <w:sz w:val="23"/>
              </w:rPr>
            </w:pPr>
          </w:p>
          <w:p>
            <w:pPr>
              <w:pStyle w:val="TableParagraph"/>
              <w:spacing w:before="1"/>
              <w:ind w:left="176" w:right="178"/>
              <w:jc w:val="center"/>
              <w:rPr>
                <w:sz w:val="16"/>
              </w:rPr>
            </w:pPr>
            <w:r>
              <w:rPr>
                <w:sz w:val="16"/>
              </w:rPr>
              <w:t>11,370.65</w:t>
            </w:r>
          </w:p>
        </w:tc>
        <w:tc>
          <w:tcPr>
            <w:tcW w:w="756" w:type="dxa"/>
            <w:tcBorders>
              <w:top w:val="single" w:sz="6" w:space="0" w:color="000000"/>
              <w:bottom w:val="single" w:sz="6" w:space="0" w:color="000000"/>
            </w:tcBorders>
          </w:tcPr>
          <w:p>
            <w:pPr>
              <w:pStyle w:val="TableParagraph"/>
              <w:spacing w:before="1"/>
              <w:rPr>
                <w:sz w:val="23"/>
              </w:rPr>
            </w:pPr>
          </w:p>
          <w:p>
            <w:pPr>
              <w:pStyle w:val="TableParagraph"/>
              <w:spacing w:before="1"/>
              <w:ind w:left="152" w:right="155"/>
              <w:jc w:val="center"/>
              <w:rPr>
                <w:sz w:val="16"/>
              </w:rPr>
            </w:pPr>
            <w:r>
              <w:rPr>
                <w:sz w:val="16"/>
              </w:rPr>
              <w:t>42.66</w:t>
            </w:r>
          </w:p>
        </w:tc>
        <w:tc>
          <w:tcPr>
            <w:tcW w:w="1235" w:type="dxa"/>
            <w:tcBorders>
              <w:top w:val="single" w:sz="6" w:space="0" w:color="000000"/>
              <w:bottom w:val="single" w:sz="6" w:space="0" w:color="000000"/>
            </w:tcBorders>
          </w:tcPr>
          <w:p>
            <w:pPr>
              <w:pStyle w:val="TableParagraph"/>
              <w:spacing w:before="1"/>
              <w:rPr>
                <w:sz w:val="23"/>
              </w:rPr>
            </w:pPr>
          </w:p>
          <w:p>
            <w:pPr>
              <w:pStyle w:val="TableParagraph"/>
              <w:spacing w:before="1"/>
              <w:ind w:left="188" w:right="196"/>
              <w:jc w:val="center"/>
              <w:rPr>
                <w:sz w:val="16"/>
              </w:rPr>
            </w:pPr>
            <w:r>
              <w:rPr>
                <w:sz w:val="16"/>
              </w:rPr>
              <w:t>12,876.27</w:t>
            </w:r>
          </w:p>
        </w:tc>
        <w:tc>
          <w:tcPr>
            <w:tcW w:w="690" w:type="dxa"/>
            <w:tcBorders>
              <w:top w:val="single" w:sz="6" w:space="0" w:color="000000"/>
              <w:bottom w:val="single" w:sz="6" w:space="0" w:color="000000"/>
            </w:tcBorders>
          </w:tcPr>
          <w:p>
            <w:pPr>
              <w:pStyle w:val="TableParagraph"/>
              <w:spacing w:before="1"/>
              <w:rPr>
                <w:sz w:val="23"/>
              </w:rPr>
            </w:pPr>
          </w:p>
          <w:p>
            <w:pPr>
              <w:pStyle w:val="TableParagraph"/>
              <w:spacing w:before="1"/>
              <w:ind w:left="111" w:right="117"/>
              <w:jc w:val="center"/>
              <w:rPr>
                <w:sz w:val="16"/>
              </w:rPr>
            </w:pPr>
            <w:r>
              <w:rPr>
                <w:sz w:val="16"/>
              </w:rPr>
              <w:t>48.31</w:t>
            </w:r>
          </w:p>
        </w:tc>
      </w:tr>
      <w:tr>
        <w:trPr>
          <w:trHeight w:val="405" w:hRule="atLeast"/>
        </w:trPr>
        <w:tc>
          <w:tcPr>
            <w:tcW w:w="2014" w:type="dxa"/>
            <w:tcBorders>
              <w:top w:val="single" w:sz="6" w:space="0" w:color="000000"/>
              <w:bottom w:val="single" w:sz="6" w:space="0" w:color="000000"/>
            </w:tcBorders>
            <w:shd w:val="clear" w:color="auto" w:fill="D7E3BB"/>
          </w:tcPr>
          <w:p>
            <w:pPr>
              <w:pStyle w:val="TableParagraph"/>
              <w:spacing w:before="132"/>
              <w:ind w:left="81"/>
              <w:rPr>
                <w:sz w:val="16"/>
              </w:rPr>
            </w:pPr>
            <w:r>
              <w:rPr>
                <w:color w:val="4F6128"/>
                <w:sz w:val="16"/>
              </w:rPr>
              <w:t>SAN MARTÍN HIDALGO</w:t>
            </w:r>
          </w:p>
        </w:tc>
        <w:tc>
          <w:tcPr>
            <w:tcW w:w="1234" w:type="dxa"/>
            <w:tcBorders>
              <w:top w:val="single" w:sz="6" w:space="0" w:color="000000"/>
              <w:bottom w:val="single" w:sz="6" w:space="0" w:color="000000"/>
            </w:tcBorders>
          </w:tcPr>
          <w:p>
            <w:pPr>
              <w:pStyle w:val="TableParagraph"/>
              <w:spacing w:before="132"/>
              <w:ind w:right="295"/>
              <w:jc w:val="right"/>
              <w:rPr>
                <w:sz w:val="16"/>
              </w:rPr>
            </w:pPr>
            <w:r>
              <w:rPr>
                <w:sz w:val="16"/>
              </w:rPr>
              <w:t>6,561.89</w:t>
            </w:r>
          </w:p>
        </w:tc>
        <w:tc>
          <w:tcPr>
            <w:tcW w:w="690" w:type="dxa"/>
            <w:tcBorders>
              <w:top w:val="single" w:sz="6" w:space="0" w:color="000000"/>
              <w:bottom w:val="single" w:sz="6" w:space="0" w:color="000000"/>
            </w:tcBorders>
          </w:tcPr>
          <w:p>
            <w:pPr>
              <w:pStyle w:val="TableParagraph"/>
              <w:spacing w:before="132"/>
              <w:ind w:left="146"/>
              <w:rPr>
                <w:sz w:val="16"/>
              </w:rPr>
            </w:pPr>
            <w:r>
              <w:rPr>
                <w:sz w:val="16"/>
              </w:rPr>
              <w:t>20.33</w:t>
            </w:r>
          </w:p>
        </w:tc>
        <w:tc>
          <w:tcPr>
            <w:tcW w:w="1112" w:type="dxa"/>
            <w:tcBorders>
              <w:top w:val="single" w:sz="6" w:space="0" w:color="000000"/>
              <w:bottom w:val="single" w:sz="6" w:space="0" w:color="000000"/>
            </w:tcBorders>
          </w:tcPr>
          <w:p>
            <w:pPr>
              <w:pStyle w:val="TableParagraph"/>
              <w:spacing w:before="132"/>
              <w:ind w:left="5"/>
              <w:jc w:val="center"/>
              <w:rPr>
                <w:sz w:val="16"/>
              </w:rPr>
            </w:pPr>
            <w:r>
              <w:rPr>
                <w:w w:val="100"/>
                <w:sz w:val="16"/>
              </w:rPr>
              <w:t>−</w:t>
            </w:r>
          </w:p>
        </w:tc>
        <w:tc>
          <w:tcPr>
            <w:tcW w:w="690" w:type="dxa"/>
            <w:tcBorders>
              <w:top w:val="single" w:sz="6" w:space="0" w:color="000000"/>
              <w:bottom w:val="single" w:sz="6" w:space="0" w:color="000000"/>
            </w:tcBorders>
          </w:tcPr>
          <w:p>
            <w:pPr>
              <w:pStyle w:val="TableParagraph"/>
              <w:spacing w:before="132"/>
              <w:ind w:left="8"/>
              <w:jc w:val="center"/>
              <w:rPr>
                <w:sz w:val="16"/>
              </w:rPr>
            </w:pPr>
            <w:r>
              <w:rPr>
                <w:w w:val="100"/>
                <w:sz w:val="16"/>
              </w:rPr>
              <w:t>−</w:t>
            </w:r>
          </w:p>
        </w:tc>
        <w:tc>
          <w:tcPr>
            <w:tcW w:w="993" w:type="dxa"/>
            <w:tcBorders>
              <w:top w:val="single" w:sz="6" w:space="0" w:color="000000"/>
              <w:bottom w:val="single" w:sz="6" w:space="0" w:color="000000"/>
            </w:tcBorders>
          </w:tcPr>
          <w:p>
            <w:pPr>
              <w:pStyle w:val="TableParagraph"/>
              <w:spacing w:before="132"/>
              <w:ind w:left="160" w:right="161"/>
              <w:jc w:val="center"/>
              <w:rPr>
                <w:sz w:val="16"/>
              </w:rPr>
            </w:pPr>
            <w:r>
              <w:rPr>
                <w:sz w:val="16"/>
              </w:rPr>
              <w:t>166.35</w:t>
            </w:r>
          </w:p>
        </w:tc>
        <w:tc>
          <w:tcPr>
            <w:tcW w:w="565" w:type="dxa"/>
            <w:tcBorders>
              <w:top w:val="single" w:sz="6" w:space="0" w:color="000000"/>
              <w:bottom w:val="single" w:sz="6" w:space="0" w:color="000000"/>
            </w:tcBorders>
          </w:tcPr>
          <w:p>
            <w:pPr>
              <w:pStyle w:val="TableParagraph"/>
              <w:spacing w:before="132"/>
              <w:ind w:left="102" w:right="102"/>
              <w:jc w:val="center"/>
              <w:rPr>
                <w:sz w:val="16"/>
              </w:rPr>
            </w:pPr>
            <w:r>
              <w:rPr>
                <w:sz w:val="16"/>
              </w:rPr>
              <w:t>0.52</w:t>
            </w:r>
          </w:p>
        </w:tc>
        <w:tc>
          <w:tcPr>
            <w:tcW w:w="1115" w:type="dxa"/>
            <w:tcBorders>
              <w:top w:val="single" w:sz="6" w:space="0" w:color="000000"/>
              <w:bottom w:val="single" w:sz="6" w:space="0" w:color="000000"/>
            </w:tcBorders>
          </w:tcPr>
          <w:p>
            <w:pPr>
              <w:pStyle w:val="TableParagraph"/>
              <w:spacing w:before="132"/>
              <w:ind w:left="176" w:right="176"/>
              <w:jc w:val="center"/>
              <w:rPr>
                <w:sz w:val="16"/>
              </w:rPr>
            </w:pPr>
            <w:r>
              <w:rPr>
                <w:sz w:val="16"/>
              </w:rPr>
              <w:t>2,114.38</w:t>
            </w:r>
          </w:p>
        </w:tc>
        <w:tc>
          <w:tcPr>
            <w:tcW w:w="756" w:type="dxa"/>
            <w:tcBorders>
              <w:top w:val="single" w:sz="6" w:space="0" w:color="000000"/>
              <w:bottom w:val="single" w:sz="6" w:space="0" w:color="000000"/>
            </w:tcBorders>
          </w:tcPr>
          <w:p>
            <w:pPr>
              <w:pStyle w:val="TableParagraph"/>
              <w:spacing w:before="132"/>
              <w:ind w:left="149" w:right="155"/>
              <w:jc w:val="center"/>
              <w:rPr>
                <w:sz w:val="16"/>
              </w:rPr>
            </w:pPr>
            <w:r>
              <w:rPr>
                <w:sz w:val="16"/>
              </w:rPr>
              <w:t>6.55</w:t>
            </w:r>
          </w:p>
        </w:tc>
        <w:tc>
          <w:tcPr>
            <w:tcW w:w="1235" w:type="dxa"/>
            <w:tcBorders>
              <w:top w:val="single" w:sz="6" w:space="0" w:color="000000"/>
              <w:bottom w:val="single" w:sz="6" w:space="0" w:color="000000"/>
            </w:tcBorders>
          </w:tcPr>
          <w:p>
            <w:pPr>
              <w:pStyle w:val="TableParagraph"/>
              <w:spacing w:before="132"/>
              <w:ind w:left="190" w:right="196"/>
              <w:jc w:val="center"/>
              <w:rPr>
                <w:sz w:val="16"/>
              </w:rPr>
            </w:pPr>
            <w:r>
              <w:rPr>
                <w:sz w:val="16"/>
              </w:rPr>
              <w:t>8,842.62</w:t>
            </w:r>
          </w:p>
        </w:tc>
        <w:tc>
          <w:tcPr>
            <w:tcW w:w="690" w:type="dxa"/>
            <w:tcBorders>
              <w:top w:val="single" w:sz="6" w:space="0" w:color="000000"/>
              <w:bottom w:val="single" w:sz="6" w:space="0" w:color="000000"/>
            </w:tcBorders>
          </w:tcPr>
          <w:p>
            <w:pPr>
              <w:pStyle w:val="TableParagraph"/>
              <w:spacing w:before="132"/>
              <w:ind w:left="108" w:right="117"/>
              <w:jc w:val="center"/>
              <w:rPr>
                <w:sz w:val="16"/>
              </w:rPr>
            </w:pPr>
            <w:r>
              <w:rPr>
                <w:sz w:val="16"/>
              </w:rPr>
              <w:t>27.4</w:t>
            </w:r>
          </w:p>
        </w:tc>
      </w:tr>
      <w:tr>
        <w:trPr>
          <w:trHeight w:val="414" w:hRule="atLeast"/>
        </w:trPr>
        <w:tc>
          <w:tcPr>
            <w:tcW w:w="2014" w:type="dxa"/>
            <w:tcBorders>
              <w:top w:val="single" w:sz="6" w:space="0" w:color="000000"/>
              <w:bottom w:val="single" w:sz="6" w:space="0" w:color="000000"/>
            </w:tcBorders>
            <w:shd w:val="clear" w:color="auto" w:fill="D7E3BB"/>
          </w:tcPr>
          <w:p>
            <w:pPr>
              <w:pStyle w:val="TableParagraph"/>
              <w:spacing w:before="142"/>
              <w:ind w:left="81"/>
              <w:rPr>
                <w:sz w:val="16"/>
              </w:rPr>
            </w:pPr>
            <w:r>
              <w:rPr>
                <w:color w:val="4F6128"/>
                <w:sz w:val="16"/>
              </w:rPr>
              <w:t>TALA</w:t>
            </w:r>
          </w:p>
        </w:tc>
        <w:tc>
          <w:tcPr>
            <w:tcW w:w="1234" w:type="dxa"/>
            <w:tcBorders>
              <w:top w:val="single" w:sz="6" w:space="0" w:color="000000"/>
              <w:bottom w:val="single" w:sz="6" w:space="0" w:color="000000"/>
            </w:tcBorders>
          </w:tcPr>
          <w:p>
            <w:pPr>
              <w:pStyle w:val="TableParagraph"/>
              <w:spacing w:before="142"/>
              <w:ind w:right="252"/>
              <w:jc w:val="right"/>
              <w:rPr>
                <w:sz w:val="16"/>
              </w:rPr>
            </w:pPr>
            <w:r>
              <w:rPr>
                <w:sz w:val="16"/>
              </w:rPr>
              <w:t>14,101.63</w:t>
            </w:r>
          </w:p>
        </w:tc>
        <w:tc>
          <w:tcPr>
            <w:tcW w:w="690" w:type="dxa"/>
            <w:tcBorders>
              <w:top w:val="single" w:sz="6" w:space="0" w:color="000000"/>
              <w:bottom w:val="single" w:sz="6" w:space="0" w:color="000000"/>
            </w:tcBorders>
          </w:tcPr>
          <w:p>
            <w:pPr>
              <w:pStyle w:val="TableParagraph"/>
              <w:spacing w:before="142"/>
              <w:ind w:left="146"/>
              <w:rPr>
                <w:sz w:val="16"/>
              </w:rPr>
            </w:pPr>
            <w:r>
              <w:rPr>
                <w:sz w:val="16"/>
              </w:rPr>
              <w:t>26.69</w:t>
            </w:r>
          </w:p>
        </w:tc>
        <w:tc>
          <w:tcPr>
            <w:tcW w:w="1112" w:type="dxa"/>
            <w:tcBorders>
              <w:top w:val="single" w:sz="6" w:space="0" w:color="000000"/>
              <w:bottom w:val="single" w:sz="6" w:space="0" w:color="000000"/>
            </w:tcBorders>
          </w:tcPr>
          <w:p>
            <w:pPr>
              <w:pStyle w:val="TableParagraph"/>
              <w:spacing w:before="142"/>
              <w:ind w:left="5"/>
              <w:jc w:val="center"/>
              <w:rPr>
                <w:sz w:val="16"/>
              </w:rPr>
            </w:pPr>
            <w:r>
              <w:rPr>
                <w:w w:val="100"/>
                <w:sz w:val="16"/>
              </w:rPr>
              <w:t>−</w:t>
            </w:r>
          </w:p>
        </w:tc>
        <w:tc>
          <w:tcPr>
            <w:tcW w:w="690" w:type="dxa"/>
            <w:tcBorders>
              <w:top w:val="single" w:sz="6" w:space="0" w:color="000000"/>
              <w:bottom w:val="single" w:sz="6" w:space="0" w:color="000000"/>
            </w:tcBorders>
          </w:tcPr>
          <w:p>
            <w:pPr>
              <w:pStyle w:val="TableParagraph"/>
              <w:spacing w:before="142"/>
              <w:ind w:left="8"/>
              <w:jc w:val="center"/>
              <w:rPr>
                <w:sz w:val="16"/>
              </w:rPr>
            </w:pPr>
            <w:r>
              <w:rPr>
                <w:w w:val="100"/>
                <w:sz w:val="16"/>
              </w:rPr>
              <w:t>−</w:t>
            </w:r>
          </w:p>
        </w:tc>
        <w:tc>
          <w:tcPr>
            <w:tcW w:w="993" w:type="dxa"/>
            <w:tcBorders>
              <w:top w:val="single" w:sz="6" w:space="0" w:color="000000"/>
              <w:bottom w:val="single" w:sz="6" w:space="0" w:color="000000"/>
            </w:tcBorders>
          </w:tcPr>
          <w:p>
            <w:pPr>
              <w:pStyle w:val="TableParagraph"/>
              <w:spacing w:before="142"/>
              <w:ind w:left="160" w:right="161"/>
              <w:jc w:val="center"/>
              <w:rPr>
                <w:sz w:val="16"/>
              </w:rPr>
            </w:pPr>
            <w:r>
              <w:rPr>
                <w:sz w:val="16"/>
              </w:rPr>
              <w:t>744.81</w:t>
            </w:r>
          </w:p>
        </w:tc>
        <w:tc>
          <w:tcPr>
            <w:tcW w:w="565" w:type="dxa"/>
            <w:tcBorders>
              <w:top w:val="single" w:sz="6" w:space="0" w:color="000000"/>
              <w:bottom w:val="single" w:sz="6" w:space="0" w:color="000000"/>
            </w:tcBorders>
          </w:tcPr>
          <w:p>
            <w:pPr>
              <w:pStyle w:val="TableParagraph"/>
              <w:spacing w:before="142"/>
              <w:ind w:left="102" w:right="102"/>
              <w:jc w:val="center"/>
              <w:rPr>
                <w:sz w:val="16"/>
              </w:rPr>
            </w:pPr>
            <w:r>
              <w:rPr>
                <w:sz w:val="16"/>
              </w:rPr>
              <w:t>1.41</w:t>
            </w:r>
          </w:p>
        </w:tc>
        <w:tc>
          <w:tcPr>
            <w:tcW w:w="1115" w:type="dxa"/>
            <w:tcBorders>
              <w:top w:val="single" w:sz="6" w:space="0" w:color="000000"/>
              <w:bottom w:val="single" w:sz="6" w:space="0" w:color="000000"/>
            </w:tcBorders>
          </w:tcPr>
          <w:p>
            <w:pPr>
              <w:pStyle w:val="TableParagraph"/>
              <w:spacing w:before="142"/>
              <w:ind w:left="176" w:right="176"/>
              <w:jc w:val="center"/>
              <w:rPr>
                <w:sz w:val="16"/>
              </w:rPr>
            </w:pPr>
            <w:r>
              <w:rPr>
                <w:sz w:val="16"/>
              </w:rPr>
              <w:t>7,508.29</w:t>
            </w:r>
          </w:p>
        </w:tc>
        <w:tc>
          <w:tcPr>
            <w:tcW w:w="756" w:type="dxa"/>
            <w:tcBorders>
              <w:top w:val="single" w:sz="6" w:space="0" w:color="000000"/>
              <w:bottom w:val="single" w:sz="6" w:space="0" w:color="000000"/>
            </w:tcBorders>
          </w:tcPr>
          <w:p>
            <w:pPr>
              <w:pStyle w:val="TableParagraph"/>
              <w:spacing w:before="142"/>
              <w:ind w:left="152" w:right="155"/>
              <w:jc w:val="center"/>
              <w:rPr>
                <w:sz w:val="16"/>
              </w:rPr>
            </w:pPr>
            <w:r>
              <w:rPr>
                <w:sz w:val="16"/>
              </w:rPr>
              <w:t>14.21</w:t>
            </w:r>
          </w:p>
        </w:tc>
        <w:tc>
          <w:tcPr>
            <w:tcW w:w="1235" w:type="dxa"/>
            <w:tcBorders>
              <w:top w:val="single" w:sz="6" w:space="0" w:color="000000"/>
              <w:bottom w:val="single" w:sz="6" w:space="0" w:color="000000"/>
            </w:tcBorders>
          </w:tcPr>
          <w:p>
            <w:pPr>
              <w:pStyle w:val="TableParagraph"/>
              <w:spacing w:before="142"/>
              <w:ind w:left="188" w:right="196"/>
              <w:jc w:val="center"/>
              <w:rPr>
                <w:sz w:val="16"/>
              </w:rPr>
            </w:pPr>
            <w:r>
              <w:rPr>
                <w:sz w:val="16"/>
              </w:rPr>
              <w:t>22,354.74</w:t>
            </w:r>
          </w:p>
        </w:tc>
        <w:tc>
          <w:tcPr>
            <w:tcW w:w="690" w:type="dxa"/>
            <w:tcBorders>
              <w:top w:val="single" w:sz="6" w:space="0" w:color="000000"/>
              <w:bottom w:val="single" w:sz="6" w:space="0" w:color="000000"/>
            </w:tcBorders>
          </w:tcPr>
          <w:p>
            <w:pPr>
              <w:pStyle w:val="TableParagraph"/>
              <w:spacing w:before="142"/>
              <w:ind w:left="111" w:right="117"/>
              <w:jc w:val="center"/>
              <w:rPr>
                <w:sz w:val="16"/>
              </w:rPr>
            </w:pPr>
            <w:r>
              <w:rPr>
                <w:sz w:val="16"/>
              </w:rPr>
              <w:t>42.31</w:t>
            </w:r>
          </w:p>
        </w:tc>
      </w:tr>
      <w:tr>
        <w:trPr>
          <w:trHeight w:val="402" w:hRule="atLeast"/>
        </w:trPr>
        <w:tc>
          <w:tcPr>
            <w:tcW w:w="2014" w:type="dxa"/>
            <w:tcBorders>
              <w:top w:val="single" w:sz="6" w:space="0" w:color="000000"/>
              <w:bottom w:val="single" w:sz="6" w:space="0" w:color="000000"/>
            </w:tcBorders>
            <w:shd w:val="clear" w:color="auto" w:fill="D7E3BB"/>
          </w:tcPr>
          <w:p>
            <w:pPr>
              <w:pStyle w:val="TableParagraph"/>
              <w:spacing w:before="135"/>
              <w:ind w:left="81"/>
              <w:rPr>
                <w:sz w:val="16"/>
              </w:rPr>
            </w:pPr>
            <w:r>
              <w:rPr>
                <w:color w:val="4F6128"/>
                <w:sz w:val="16"/>
              </w:rPr>
              <w:t>TEQUILA</w:t>
            </w:r>
          </w:p>
        </w:tc>
        <w:tc>
          <w:tcPr>
            <w:tcW w:w="1234" w:type="dxa"/>
            <w:tcBorders>
              <w:top w:val="single" w:sz="6" w:space="0" w:color="000000"/>
              <w:bottom w:val="single" w:sz="6" w:space="0" w:color="000000"/>
            </w:tcBorders>
          </w:tcPr>
          <w:p>
            <w:pPr>
              <w:pStyle w:val="TableParagraph"/>
              <w:spacing w:before="135"/>
              <w:ind w:right="206"/>
              <w:jc w:val="right"/>
              <w:rPr>
                <w:sz w:val="16"/>
              </w:rPr>
            </w:pPr>
            <w:r>
              <w:rPr>
                <w:sz w:val="16"/>
              </w:rPr>
              <w:t>101,655.20</w:t>
            </w:r>
          </w:p>
        </w:tc>
        <w:tc>
          <w:tcPr>
            <w:tcW w:w="690" w:type="dxa"/>
            <w:tcBorders>
              <w:top w:val="single" w:sz="6" w:space="0" w:color="000000"/>
              <w:bottom w:val="single" w:sz="6" w:space="0" w:color="000000"/>
            </w:tcBorders>
          </w:tcPr>
          <w:p>
            <w:pPr>
              <w:pStyle w:val="TableParagraph"/>
              <w:spacing w:before="135"/>
              <w:ind w:left="146"/>
              <w:rPr>
                <w:sz w:val="16"/>
              </w:rPr>
            </w:pPr>
            <w:r>
              <w:rPr>
                <w:sz w:val="16"/>
              </w:rPr>
              <w:t>50.92</w:t>
            </w:r>
          </w:p>
        </w:tc>
        <w:tc>
          <w:tcPr>
            <w:tcW w:w="1112" w:type="dxa"/>
            <w:tcBorders>
              <w:top w:val="single" w:sz="6" w:space="0" w:color="000000"/>
              <w:bottom w:val="single" w:sz="6" w:space="0" w:color="000000"/>
            </w:tcBorders>
          </w:tcPr>
          <w:p>
            <w:pPr>
              <w:pStyle w:val="TableParagraph"/>
              <w:spacing w:before="135"/>
              <w:ind w:left="177" w:right="175"/>
              <w:jc w:val="center"/>
              <w:rPr>
                <w:sz w:val="16"/>
              </w:rPr>
            </w:pPr>
            <w:r>
              <w:rPr>
                <w:sz w:val="16"/>
              </w:rPr>
              <w:t>30,862.01</w:t>
            </w:r>
          </w:p>
        </w:tc>
        <w:tc>
          <w:tcPr>
            <w:tcW w:w="690" w:type="dxa"/>
            <w:tcBorders>
              <w:top w:val="single" w:sz="6" w:space="0" w:color="000000"/>
              <w:bottom w:val="single" w:sz="6" w:space="0" w:color="000000"/>
            </w:tcBorders>
          </w:tcPr>
          <w:p>
            <w:pPr>
              <w:pStyle w:val="TableParagraph"/>
              <w:spacing w:before="135"/>
              <w:ind w:left="117" w:right="110"/>
              <w:jc w:val="center"/>
              <w:rPr>
                <w:sz w:val="16"/>
              </w:rPr>
            </w:pPr>
            <w:r>
              <w:rPr>
                <w:sz w:val="16"/>
              </w:rPr>
              <w:t>15.46</w:t>
            </w:r>
          </w:p>
        </w:tc>
        <w:tc>
          <w:tcPr>
            <w:tcW w:w="993" w:type="dxa"/>
            <w:tcBorders>
              <w:top w:val="single" w:sz="6" w:space="0" w:color="000000"/>
              <w:bottom w:val="single" w:sz="6" w:space="0" w:color="000000"/>
            </w:tcBorders>
          </w:tcPr>
          <w:p>
            <w:pPr>
              <w:pStyle w:val="TableParagraph"/>
              <w:spacing w:before="135"/>
              <w:ind w:left="1"/>
              <w:jc w:val="center"/>
              <w:rPr>
                <w:sz w:val="16"/>
              </w:rPr>
            </w:pPr>
            <w:r>
              <w:rPr>
                <w:w w:val="100"/>
                <w:sz w:val="16"/>
              </w:rPr>
              <w:t>−</w:t>
            </w:r>
          </w:p>
        </w:tc>
        <w:tc>
          <w:tcPr>
            <w:tcW w:w="565" w:type="dxa"/>
            <w:tcBorders>
              <w:top w:val="single" w:sz="6" w:space="0" w:color="000000"/>
              <w:bottom w:val="single" w:sz="6" w:space="0" w:color="000000"/>
            </w:tcBorders>
          </w:tcPr>
          <w:p>
            <w:pPr>
              <w:pStyle w:val="TableParagraph"/>
              <w:spacing w:before="135"/>
              <w:ind w:right="1"/>
              <w:jc w:val="center"/>
              <w:rPr>
                <w:sz w:val="16"/>
              </w:rPr>
            </w:pPr>
            <w:r>
              <w:rPr>
                <w:w w:val="100"/>
                <w:sz w:val="16"/>
              </w:rPr>
              <w:t>−</w:t>
            </w:r>
          </w:p>
        </w:tc>
        <w:tc>
          <w:tcPr>
            <w:tcW w:w="1115" w:type="dxa"/>
            <w:tcBorders>
              <w:top w:val="single" w:sz="6" w:space="0" w:color="000000"/>
              <w:bottom w:val="single" w:sz="6" w:space="0" w:color="000000"/>
            </w:tcBorders>
          </w:tcPr>
          <w:p>
            <w:pPr>
              <w:pStyle w:val="TableParagraph"/>
              <w:spacing w:before="135"/>
              <w:ind w:left="176" w:right="178"/>
              <w:jc w:val="center"/>
              <w:rPr>
                <w:sz w:val="16"/>
              </w:rPr>
            </w:pPr>
            <w:r>
              <w:rPr>
                <w:sz w:val="16"/>
              </w:rPr>
              <w:t>41,203.65</w:t>
            </w:r>
          </w:p>
        </w:tc>
        <w:tc>
          <w:tcPr>
            <w:tcW w:w="756" w:type="dxa"/>
            <w:tcBorders>
              <w:top w:val="single" w:sz="6" w:space="0" w:color="000000"/>
              <w:bottom w:val="single" w:sz="6" w:space="0" w:color="000000"/>
            </w:tcBorders>
          </w:tcPr>
          <w:p>
            <w:pPr>
              <w:pStyle w:val="TableParagraph"/>
              <w:spacing w:before="135"/>
              <w:ind w:left="152" w:right="155"/>
              <w:jc w:val="center"/>
              <w:rPr>
                <w:sz w:val="16"/>
              </w:rPr>
            </w:pPr>
            <w:r>
              <w:rPr>
                <w:sz w:val="16"/>
              </w:rPr>
              <w:t>20.64</w:t>
            </w:r>
          </w:p>
        </w:tc>
        <w:tc>
          <w:tcPr>
            <w:tcW w:w="1235" w:type="dxa"/>
            <w:tcBorders>
              <w:top w:val="single" w:sz="6" w:space="0" w:color="000000"/>
              <w:bottom w:val="single" w:sz="6" w:space="0" w:color="000000"/>
            </w:tcBorders>
          </w:tcPr>
          <w:p>
            <w:pPr>
              <w:pStyle w:val="TableParagraph"/>
              <w:spacing w:before="135"/>
              <w:ind w:left="190" w:right="196"/>
              <w:jc w:val="center"/>
              <w:rPr>
                <w:sz w:val="16"/>
              </w:rPr>
            </w:pPr>
            <w:r>
              <w:rPr>
                <w:sz w:val="16"/>
              </w:rPr>
              <w:t>173,720.84</w:t>
            </w:r>
          </w:p>
        </w:tc>
        <w:tc>
          <w:tcPr>
            <w:tcW w:w="690" w:type="dxa"/>
            <w:tcBorders>
              <w:top w:val="single" w:sz="6" w:space="0" w:color="000000"/>
              <w:bottom w:val="single" w:sz="6" w:space="0" w:color="000000"/>
            </w:tcBorders>
          </w:tcPr>
          <w:p>
            <w:pPr>
              <w:pStyle w:val="TableParagraph"/>
              <w:spacing w:before="135"/>
              <w:ind w:left="111" w:right="117"/>
              <w:jc w:val="center"/>
              <w:rPr>
                <w:sz w:val="16"/>
              </w:rPr>
            </w:pPr>
            <w:r>
              <w:rPr>
                <w:sz w:val="16"/>
              </w:rPr>
              <w:t>87.03</w:t>
            </w:r>
          </w:p>
        </w:tc>
      </w:tr>
    </w:tbl>
    <w:p>
      <w:pPr>
        <w:spacing w:after="0"/>
        <w:jc w:val="center"/>
        <w:rPr>
          <w:sz w:val="16"/>
        </w:rPr>
        <w:sectPr>
          <w:pgSz w:w="12240" w:h="15840"/>
          <w:pgMar w:header="178" w:footer="1076" w:top="1120" w:bottom="1260" w:left="460" w:right="220"/>
        </w:sectPr>
      </w:pPr>
    </w:p>
    <w:p>
      <w:pPr>
        <w:pStyle w:val="BodyText"/>
        <w:rPr>
          <w:sz w:val="20"/>
        </w:rPr>
      </w:pPr>
    </w:p>
    <w:p>
      <w:pPr>
        <w:pStyle w:val="BodyText"/>
        <w:spacing w:before="1"/>
        <w:rPr>
          <w:sz w:val="21"/>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14"/>
        <w:gridCol w:w="1234"/>
        <w:gridCol w:w="690"/>
        <w:gridCol w:w="1112"/>
        <w:gridCol w:w="690"/>
        <w:gridCol w:w="993"/>
        <w:gridCol w:w="565"/>
        <w:gridCol w:w="1115"/>
        <w:gridCol w:w="756"/>
        <w:gridCol w:w="1235"/>
        <w:gridCol w:w="690"/>
      </w:tblGrid>
      <w:tr>
        <w:trPr>
          <w:trHeight w:val="410" w:hRule="atLeast"/>
        </w:trPr>
        <w:tc>
          <w:tcPr>
            <w:tcW w:w="2014" w:type="dxa"/>
            <w:tcBorders>
              <w:bottom w:val="single" w:sz="12" w:space="0" w:color="000000"/>
            </w:tcBorders>
            <w:shd w:val="clear" w:color="auto" w:fill="D7E3BB"/>
          </w:tcPr>
          <w:p>
            <w:pPr>
              <w:pStyle w:val="TableParagraph"/>
              <w:spacing w:before="141"/>
              <w:ind w:left="81"/>
              <w:rPr>
                <w:sz w:val="16"/>
              </w:rPr>
            </w:pPr>
            <w:r>
              <w:rPr>
                <w:color w:val="4F6128"/>
                <w:sz w:val="16"/>
              </w:rPr>
              <w:t>TEUCHITLÁN</w:t>
            </w:r>
          </w:p>
        </w:tc>
        <w:tc>
          <w:tcPr>
            <w:tcW w:w="1234" w:type="dxa"/>
            <w:tcBorders>
              <w:bottom w:val="single" w:sz="12" w:space="0" w:color="000000"/>
            </w:tcBorders>
          </w:tcPr>
          <w:p>
            <w:pPr>
              <w:pStyle w:val="TableParagraph"/>
              <w:spacing w:before="141"/>
              <w:ind w:left="197" w:right="188"/>
              <w:jc w:val="center"/>
              <w:rPr>
                <w:sz w:val="16"/>
              </w:rPr>
            </w:pPr>
            <w:r>
              <w:rPr>
                <w:sz w:val="16"/>
              </w:rPr>
              <w:t>49.24</w:t>
            </w:r>
          </w:p>
        </w:tc>
        <w:tc>
          <w:tcPr>
            <w:tcW w:w="690" w:type="dxa"/>
            <w:tcBorders>
              <w:bottom w:val="single" w:sz="12" w:space="0" w:color="000000"/>
            </w:tcBorders>
          </w:tcPr>
          <w:p>
            <w:pPr>
              <w:pStyle w:val="TableParagraph"/>
              <w:spacing w:before="141"/>
              <w:ind w:left="189"/>
              <w:rPr>
                <w:sz w:val="16"/>
              </w:rPr>
            </w:pPr>
            <w:r>
              <w:rPr>
                <w:sz w:val="16"/>
              </w:rPr>
              <w:t>0.37</w:t>
            </w:r>
          </w:p>
        </w:tc>
        <w:tc>
          <w:tcPr>
            <w:tcW w:w="1112" w:type="dxa"/>
            <w:tcBorders>
              <w:bottom w:val="single" w:sz="6" w:space="0" w:color="000000"/>
            </w:tcBorders>
          </w:tcPr>
          <w:p>
            <w:pPr>
              <w:pStyle w:val="TableParagraph"/>
              <w:spacing w:before="141"/>
              <w:ind w:left="5"/>
              <w:jc w:val="center"/>
              <w:rPr>
                <w:sz w:val="16"/>
              </w:rPr>
            </w:pPr>
            <w:r>
              <w:rPr>
                <w:w w:val="100"/>
                <w:sz w:val="16"/>
              </w:rPr>
              <w:t>−</w:t>
            </w:r>
          </w:p>
        </w:tc>
        <w:tc>
          <w:tcPr>
            <w:tcW w:w="690" w:type="dxa"/>
            <w:tcBorders>
              <w:bottom w:val="single" w:sz="6" w:space="0" w:color="000000"/>
            </w:tcBorders>
          </w:tcPr>
          <w:p>
            <w:pPr>
              <w:pStyle w:val="TableParagraph"/>
              <w:spacing w:before="141"/>
              <w:ind w:left="8"/>
              <w:jc w:val="center"/>
              <w:rPr>
                <w:sz w:val="16"/>
              </w:rPr>
            </w:pPr>
            <w:r>
              <w:rPr>
                <w:w w:val="100"/>
                <w:sz w:val="16"/>
              </w:rPr>
              <w:t>−</w:t>
            </w:r>
          </w:p>
        </w:tc>
        <w:tc>
          <w:tcPr>
            <w:tcW w:w="993" w:type="dxa"/>
            <w:tcBorders>
              <w:bottom w:val="single" w:sz="12" w:space="0" w:color="000000"/>
            </w:tcBorders>
          </w:tcPr>
          <w:p>
            <w:pPr>
              <w:pStyle w:val="TableParagraph"/>
              <w:spacing w:before="141"/>
              <w:ind w:left="246"/>
              <w:rPr>
                <w:sz w:val="16"/>
              </w:rPr>
            </w:pPr>
            <w:r>
              <w:rPr>
                <w:sz w:val="16"/>
              </w:rPr>
              <w:t>434.06</w:t>
            </w:r>
          </w:p>
        </w:tc>
        <w:tc>
          <w:tcPr>
            <w:tcW w:w="565" w:type="dxa"/>
            <w:tcBorders>
              <w:bottom w:val="single" w:sz="12" w:space="0" w:color="000000"/>
            </w:tcBorders>
          </w:tcPr>
          <w:p>
            <w:pPr>
              <w:pStyle w:val="TableParagraph"/>
              <w:spacing w:before="141"/>
              <w:ind w:right="120"/>
              <w:jc w:val="right"/>
              <w:rPr>
                <w:sz w:val="16"/>
              </w:rPr>
            </w:pPr>
            <w:r>
              <w:rPr>
                <w:sz w:val="16"/>
              </w:rPr>
              <w:t>3.23</w:t>
            </w:r>
          </w:p>
        </w:tc>
        <w:tc>
          <w:tcPr>
            <w:tcW w:w="1115" w:type="dxa"/>
            <w:tcBorders>
              <w:bottom w:val="single" w:sz="12" w:space="0" w:color="000000"/>
            </w:tcBorders>
          </w:tcPr>
          <w:p>
            <w:pPr>
              <w:pStyle w:val="TableParagraph"/>
              <w:spacing w:before="141"/>
              <w:ind w:left="308"/>
              <w:rPr>
                <w:sz w:val="16"/>
              </w:rPr>
            </w:pPr>
            <w:r>
              <w:rPr>
                <w:sz w:val="16"/>
              </w:rPr>
              <w:t>952.36</w:t>
            </w:r>
          </w:p>
        </w:tc>
        <w:tc>
          <w:tcPr>
            <w:tcW w:w="756" w:type="dxa"/>
            <w:tcBorders>
              <w:bottom w:val="single" w:sz="12" w:space="0" w:color="000000"/>
            </w:tcBorders>
          </w:tcPr>
          <w:p>
            <w:pPr>
              <w:pStyle w:val="TableParagraph"/>
              <w:spacing w:before="141"/>
              <w:ind w:left="213"/>
              <w:rPr>
                <w:sz w:val="16"/>
              </w:rPr>
            </w:pPr>
            <w:r>
              <w:rPr>
                <w:sz w:val="16"/>
              </w:rPr>
              <w:t>7.09</w:t>
            </w:r>
          </w:p>
        </w:tc>
        <w:tc>
          <w:tcPr>
            <w:tcW w:w="1235" w:type="dxa"/>
            <w:tcBorders>
              <w:bottom w:val="single" w:sz="12" w:space="0" w:color="000000"/>
            </w:tcBorders>
          </w:tcPr>
          <w:p>
            <w:pPr>
              <w:pStyle w:val="TableParagraph"/>
              <w:spacing w:before="141"/>
              <w:ind w:left="298"/>
              <w:rPr>
                <w:sz w:val="16"/>
              </w:rPr>
            </w:pPr>
            <w:r>
              <w:rPr>
                <w:sz w:val="16"/>
              </w:rPr>
              <w:t>1,143.66</w:t>
            </w:r>
          </w:p>
        </w:tc>
        <w:tc>
          <w:tcPr>
            <w:tcW w:w="690" w:type="dxa"/>
            <w:tcBorders>
              <w:bottom w:val="single" w:sz="12" w:space="0" w:color="000000"/>
            </w:tcBorders>
          </w:tcPr>
          <w:p>
            <w:pPr>
              <w:pStyle w:val="TableParagraph"/>
              <w:spacing w:before="141"/>
              <w:ind w:left="111" w:right="117"/>
              <w:jc w:val="center"/>
              <w:rPr>
                <w:sz w:val="16"/>
              </w:rPr>
            </w:pPr>
            <w:r>
              <w:rPr>
                <w:sz w:val="16"/>
              </w:rPr>
              <w:t>10.69</w:t>
            </w:r>
          </w:p>
        </w:tc>
      </w:tr>
      <w:tr>
        <w:trPr>
          <w:trHeight w:val="546" w:hRule="atLeast"/>
        </w:trPr>
        <w:tc>
          <w:tcPr>
            <w:tcW w:w="2014" w:type="dxa"/>
            <w:tcBorders>
              <w:top w:val="single" w:sz="12" w:space="0" w:color="000000"/>
              <w:bottom w:val="single" w:sz="6" w:space="0" w:color="000000"/>
            </w:tcBorders>
            <w:shd w:val="clear" w:color="auto" w:fill="D7E3BB"/>
          </w:tcPr>
          <w:p>
            <w:pPr>
              <w:pStyle w:val="TableParagraph"/>
              <w:spacing w:before="4"/>
              <w:rPr>
                <w:sz w:val="22"/>
              </w:rPr>
            </w:pPr>
          </w:p>
          <w:p>
            <w:pPr>
              <w:pStyle w:val="TableParagraph"/>
              <w:ind w:left="81"/>
              <w:rPr>
                <w:sz w:val="16"/>
              </w:rPr>
            </w:pPr>
            <w:r>
              <w:rPr>
                <w:color w:val="4F6128"/>
                <w:sz w:val="16"/>
              </w:rPr>
              <w:t>REGIÓN VALLES</w:t>
            </w:r>
          </w:p>
        </w:tc>
        <w:tc>
          <w:tcPr>
            <w:tcW w:w="1234" w:type="dxa"/>
            <w:tcBorders>
              <w:top w:val="single" w:sz="12" w:space="0" w:color="000000"/>
              <w:bottom w:val="single" w:sz="6" w:space="0" w:color="000000"/>
            </w:tcBorders>
          </w:tcPr>
          <w:p>
            <w:pPr>
              <w:pStyle w:val="TableParagraph"/>
              <w:spacing w:before="4"/>
              <w:rPr>
                <w:sz w:val="22"/>
              </w:rPr>
            </w:pPr>
          </w:p>
          <w:p>
            <w:pPr>
              <w:pStyle w:val="TableParagraph"/>
              <w:ind w:left="197" w:right="188"/>
              <w:jc w:val="center"/>
              <w:rPr>
                <w:sz w:val="16"/>
              </w:rPr>
            </w:pPr>
            <w:r>
              <w:rPr>
                <w:sz w:val="16"/>
              </w:rPr>
              <w:t>193,444.40</w:t>
            </w:r>
          </w:p>
        </w:tc>
        <w:tc>
          <w:tcPr>
            <w:tcW w:w="690" w:type="dxa"/>
            <w:tcBorders>
              <w:top w:val="single" w:sz="12" w:space="0" w:color="000000"/>
              <w:bottom w:val="single" w:sz="6" w:space="0" w:color="000000"/>
            </w:tcBorders>
          </w:tcPr>
          <w:p>
            <w:pPr>
              <w:pStyle w:val="TableParagraph"/>
              <w:spacing w:before="4"/>
              <w:rPr>
                <w:sz w:val="22"/>
              </w:rPr>
            </w:pPr>
          </w:p>
          <w:p>
            <w:pPr>
              <w:pStyle w:val="TableParagraph"/>
              <w:ind w:left="146"/>
              <w:rPr>
                <w:sz w:val="16"/>
              </w:rPr>
            </w:pPr>
            <w:r>
              <w:rPr>
                <w:sz w:val="16"/>
              </w:rPr>
              <w:t>27.98</w:t>
            </w:r>
          </w:p>
        </w:tc>
        <w:tc>
          <w:tcPr>
            <w:tcW w:w="1112" w:type="dxa"/>
            <w:tcBorders>
              <w:top w:val="single" w:sz="6" w:space="0" w:color="000000"/>
              <w:bottom w:val="single" w:sz="6" w:space="0" w:color="000000"/>
            </w:tcBorders>
          </w:tcPr>
          <w:p>
            <w:pPr>
              <w:pStyle w:val="TableParagraph"/>
              <w:spacing w:before="4"/>
              <w:rPr>
                <w:sz w:val="22"/>
              </w:rPr>
            </w:pPr>
          </w:p>
          <w:p>
            <w:pPr>
              <w:pStyle w:val="TableParagraph"/>
              <w:ind w:left="320"/>
              <w:rPr>
                <w:sz w:val="16"/>
              </w:rPr>
            </w:pPr>
            <w:r>
              <w:rPr>
                <w:sz w:val="16"/>
              </w:rPr>
              <w:t>58,114.97</w:t>
            </w:r>
          </w:p>
        </w:tc>
        <w:tc>
          <w:tcPr>
            <w:tcW w:w="690" w:type="dxa"/>
            <w:tcBorders>
              <w:top w:val="single" w:sz="6" w:space="0" w:color="000000"/>
              <w:bottom w:val="single" w:sz="6" w:space="0" w:color="000000"/>
            </w:tcBorders>
          </w:tcPr>
          <w:p>
            <w:pPr>
              <w:pStyle w:val="TableParagraph"/>
              <w:spacing w:before="4"/>
              <w:rPr>
                <w:sz w:val="22"/>
              </w:rPr>
            </w:pPr>
          </w:p>
          <w:p>
            <w:pPr>
              <w:pStyle w:val="TableParagraph"/>
              <w:ind w:left="117" w:right="112"/>
              <w:jc w:val="center"/>
              <w:rPr>
                <w:sz w:val="16"/>
              </w:rPr>
            </w:pPr>
            <w:r>
              <w:rPr>
                <w:sz w:val="16"/>
              </w:rPr>
              <w:t>8.40</w:t>
            </w:r>
          </w:p>
        </w:tc>
        <w:tc>
          <w:tcPr>
            <w:tcW w:w="993" w:type="dxa"/>
            <w:tcBorders>
              <w:top w:val="single" w:sz="12" w:space="0" w:color="000000"/>
              <w:bottom w:val="single" w:sz="6" w:space="0" w:color="000000"/>
            </w:tcBorders>
          </w:tcPr>
          <w:p>
            <w:pPr>
              <w:pStyle w:val="TableParagraph"/>
              <w:spacing w:before="4"/>
              <w:rPr>
                <w:sz w:val="22"/>
              </w:rPr>
            </w:pPr>
          </w:p>
          <w:p>
            <w:pPr>
              <w:pStyle w:val="TableParagraph"/>
              <w:ind w:left="285"/>
              <w:rPr>
                <w:sz w:val="16"/>
              </w:rPr>
            </w:pPr>
            <w:r>
              <w:rPr>
                <w:sz w:val="16"/>
              </w:rPr>
              <w:t>8,570.22</w:t>
            </w:r>
          </w:p>
        </w:tc>
        <w:tc>
          <w:tcPr>
            <w:tcW w:w="565" w:type="dxa"/>
            <w:tcBorders>
              <w:top w:val="single" w:sz="12" w:space="0" w:color="000000"/>
              <w:bottom w:val="single" w:sz="6" w:space="0" w:color="000000"/>
            </w:tcBorders>
          </w:tcPr>
          <w:p>
            <w:pPr>
              <w:pStyle w:val="TableParagraph"/>
              <w:spacing w:before="4"/>
              <w:rPr>
                <w:sz w:val="22"/>
              </w:rPr>
            </w:pPr>
          </w:p>
          <w:p>
            <w:pPr>
              <w:pStyle w:val="TableParagraph"/>
              <w:ind w:right="120"/>
              <w:jc w:val="right"/>
              <w:rPr>
                <w:sz w:val="16"/>
              </w:rPr>
            </w:pPr>
            <w:r>
              <w:rPr>
                <w:sz w:val="16"/>
              </w:rPr>
              <w:t>1.24</w:t>
            </w:r>
          </w:p>
        </w:tc>
        <w:tc>
          <w:tcPr>
            <w:tcW w:w="1115" w:type="dxa"/>
            <w:tcBorders>
              <w:top w:val="single" w:sz="12" w:space="0" w:color="000000"/>
              <w:bottom w:val="single" w:sz="6" w:space="0" w:color="000000"/>
            </w:tcBorders>
          </w:tcPr>
          <w:p>
            <w:pPr>
              <w:pStyle w:val="TableParagraph"/>
              <w:spacing w:before="4"/>
              <w:rPr>
                <w:sz w:val="22"/>
              </w:rPr>
            </w:pPr>
          </w:p>
          <w:p>
            <w:pPr>
              <w:pStyle w:val="TableParagraph"/>
              <w:ind w:left="318"/>
              <w:rPr>
                <w:sz w:val="16"/>
              </w:rPr>
            </w:pPr>
            <w:r>
              <w:rPr>
                <w:sz w:val="16"/>
              </w:rPr>
              <w:t>17,103.80</w:t>
            </w:r>
          </w:p>
        </w:tc>
        <w:tc>
          <w:tcPr>
            <w:tcW w:w="756" w:type="dxa"/>
            <w:tcBorders>
              <w:top w:val="single" w:sz="12" w:space="0" w:color="000000"/>
              <w:bottom w:val="single" w:sz="6" w:space="0" w:color="000000"/>
            </w:tcBorders>
          </w:tcPr>
          <w:p>
            <w:pPr>
              <w:pStyle w:val="TableParagraph"/>
              <w:spacing w:before="4"/>
              <w:rPr>
                <w:sz w:val="22"/>
              </w:rPr>
            </w:pPr>
          </w:p>
          <w:p>
            <w:pPr>
              <w:pStyle w:val="TableParagraph"/>
              <w:ind w:left="170"/>
              <w:rPr>
                <w:sz w:val="16"/>
              </w:rPr>
            </w:pPr>
            <w:r>
              <w:rPr>
                <w:sz w:val="16"/>
              </w:rPr>
              <w:t>24.74</w:t>
            </w:r>
          </w:p>
        </w:tc>
        <w:tc>
          <w:tcPr>
            <w:tcW w:w="1235" w:type="dxa"/>
            <w:tcBorders>
              <w:top w:val="single" w:sz="12" w:space="0" w:color="000000"/>
              <w:bottom w:val="single" w:sz="6" w:space="0" w:color="000000"/>
            </w:tcBorders>
          </w:tcPr>
          <w:p>
            <w:pPr>
              <w:pStyle w:val="TableParagraph"/>
              <w:spacing w:before="4"/>
              <w:rPr>
                <w:sz w:val="22"/>
              </w:rPr>
            </w:pPr>
          </w:p>
          <w:p>
            <w:pPr>
              <w:pStyle w:val="TableParagraph"/>
              <w:ind w:left="346"/>
              <w:rPr>
                <w:sz w:val="16"/>
              </w:rPr>
            </w:pPr>
            <w:r>
              <w:rPr>
                <w:sz w:val="16"/>
              </w:rPr>
              <w:t>431,164.30</w:t>
            </w:r>
          </w:p>
        </w:tc>
        <w:tc>
          <w:tcPr>
            <w:tcW w:w="690" w:type="dxa"/>
            <w:tcBorders>
              <w:top w:val="single" w:sz="12" w:space="0" w:color="000000"/>
              <w:bottom w:val="single" w:sz="6" w:space="0" w:color="000000"/>
            </w:tcBorders>
          </w:tcPr>
          <w:p>
            <w:pPr>
              <w:pStyle w:val="TableParagraph"/>
              <w:spacing w:before="4"/>
              <w:rPr>
                <w:sz w:val="22"/>
              </w:rPr>
            </w:pPr>
          </w:p>
          <w:p>
            <w:pPr>
              <w:pStyle w:val="TableParagraph"/>
              <w:ind w:left="111" w:right="117"/>
              <w:jc w:val="center"/>
              <w:rPr>
                <w:sz w:val="16"/>
              </w:rPr>
            </w:pPr>
            <w:r>
              <w:rPr>
                <w:sz w:val="16"/>
              </w:rPr>
              <w:t>62.36</w:t>
            </w:r>
          </w:p>
        </w:tc>
      </w:tr>
    </w:tbl>
    <w:p>
      <w:pPr>
        <w:pStyle w:val="BodyText"/>
        <w:spacing w:before="10"/>
        <w:rPr>
          <w:sz w:val="23"/>
        </w:rPr>
      </w:pPr>
    </w:p>
    <w:p>
      <w:pPr>
        <w:spacing w:before="101"/>
        <w:ind w:left="942" w:right="1203" w:firstLine="2"/>
        <w:jc w:val="center"/>
        <w:rPr>
          <w:sz w:val="16"/>
        </w:rPr>
      </w:pPr>
      <w:r>
        <w:rPr>
          <w:sz w:val="16"/>
        </w:rPr>
        <w:t>Fuente:                                                                                       </w:t>
      </w:r>
      <w:hyperlink r:id="rId17">
        <w:r>
          <w:rPr>
            <w:color w:val="006FC0"/>
            <w:sz w:val="16"/>
            <w:u w:val="single" w:color="000000"/>
          </w:rPr>
          <w:t>https://semadet.jalisco.gob.mx/sites/semadet.jalisco.gob.mx/files/programa_estrategico_forestal_del_estado_de_jalisco_</w:t>
        </w:r>
      </w:hyperlink>
      <w:r>
        <w:rPr>
          <w:color w:val="006FC0"/>
          <w:sz w:val="16"/>
        </w:rPr>
        <w:t> </w:t>
      </w:r>
      <w:hyperlink r:id="rId17">
        <w:r>
          <w:rPr>
            <w:color w:val="006FC0"/>
            <w:sz w:val="16"/>
            <w:u w:val="single" w:color="000000"/>
          </w:rPr>
          <w:t>2014-2030_20-11-2014.pdf</w:t>
        </w:r>
      </w:hyperlink>
    </w:p>
    <w:p>
      <w:pPr>
        <w:pStyle w:val="BodyText"/>
        <w:rPr>
          <w:sz w:val="20"/>
        </w:rPr>
      </w:pPr>
    </w:p>
    <w:p>
      <w:pPr>
        <w:pStyle w:val="BodyText"/>
        <w:spacing w:before="8"/>
        <w:rPr>
          <w:sz w:val="19"/>
        </w:rPr>
      </w:pPr>
    </w:p>
    <w:p>
      <w:pPr>
        <w:pStyle w:val="BodyText"/>
        <w:spacing w:line="276" w:lineRule="auto" w:before="101"/>
        <w:ind w:left="901" w:right="1155"/>
        <w:jc w:val="both"/>
      </w:pPr>
      <w:r>
        <w:rPr/>
        <w:t>De los datos del cuadro anterior, el más inquietante es el relacionado con las áreas forestales perturbadas, mismas que representan 37.28% de todo el municipio muy por encima del promedio de la Región Valles que es el 24.74%, lo que debe representar una llamada de atención para tomar las medidas que permitan frenar el proceso destructivo y revertirlo, restableciendo hasta donde sea posible el ecosistema</w:t>
      </w:r>
      <w:r>
        <w:rPr>
          <w:spacing w:val="-22"/>
        </w:rPr>
        <w:t> </w:t>
      </w:r>
      <w:r>
        <w:rPr/>
        <w:t>forestal.</w:t>
      </w:r>
    </w:p>
    <w:p>
      <w:pPr>
        <w:pStyle w:val="BodyText"/>
        <w:spacing w:before="5"/>
        <w:rPr>
          <w:sz w:val="25"/>
        </w:rPr>
      </w:pPr>
    </w:p>
    <w:p>
      <w:pPr>
        <w:pStyle w:val="BodyText"/>
        <w:spacing w:line="276" w:lineRule="auto" w:before="1"/>
        <w:ind w:left="901" w:right="1155"/>
        <w:jc w:val="both"/>
      </w:pPr>
      <w:r>
        <w:rPr/>
        <w:t>El factor principal del proceso de deforestación en el municipio, es el cambio de uso del suelo, al ser empleadas las áreas originalmente ocupadas por el bosque, con fines agrícolas (sobre todo maíz y agave azul) y para ganadería, haciendo irreversible el retorno de la cobertura forestal. También inciden en este proceso las quemas que suceden año con año. El problema de cambio de uso de suelo sobre todo para el cultivo de agave azul afecta el ciclo hidrológico del agua dado que el agave es una planta del clima seco que acelera el proceso de desertificación.</w:t>
      </w:r>
    </w:p>
    <w:p>
      <w:pPr>
        <w:pStyle w:val="BodyText"/>
        <w:spacing w:before="4"/>
        <w:rPr>
          <w:sz w:val="25"/>
        </w:rPr>
      </w:pPr>
    </w:p>
    <w:p>
      <w:pPr>
        <w:pStyle w:val="BodyText"/>
        <w:spacing w:line="276" w:lineRule="auto"/>
        <w:ind w:left="901" w:right="1157"/>
        <w:jc w:val="both"/>
      </w:pPr>
      <w:r>
        <w:rPr/>
        <w:t>La deforestación incide a su vez en la erosión de los suelos, la pérdida de la biodiversidad, la calidad del aire y las posibilidades de ecoturismo y recreación.</w:t>
      </w:r>
    </w:p>
    <w:p>
      <w:pPr>
        <w:pStyle w:val="BodyText"/>
        <w:spacing w:before="1"/>
        <w:rPr>
          <w:sz w:val="25"/>
        </w:rPr>
      </w:pPr>
    </w:p>
    <w:p>
      <w:pPr>
        <w:pStyle w:val="BodyText"/>
        <w:spacing w:line="276" w:lineRule="auto" w:before="1"/>
        <w:ind w:left="901" w:right="1156"/>
        <w:jc w:val="both"/>
      </w:pPr>
      <w:r>
        <w:rPr/>
        <w:t>En el municipio, el año 2000 se reforestaron aproximadamente 1 hectárea de bosque plantándose la cantidad de 2,100 árboles; y en el año 2001 la cantidad de 11,000 árboles y 3,000 plantas de ornato, teniendo un incremento de 523% en un año.</w:t>
      </w:r>
    </w:p>
    <w:p>
      <w:pPr>
        <w:pStyle w:val="BodyText"/>
        <w:spacing w:before="3"/>
        <w:rPr>
          <w:sz w:val="25"/>
        </w:rPr>
      </w:pPr>
    </w:p>
    <w:p>
      <w:pPr>
        <w:pStyle w:val="BodyText"/>
        <w:spacing w:line="276" w:lineRule="auto"/>
        <w:ind w:left="901" w:right="1157"/>
        <w:jc w:val="both"/>
      </w:pPr>
      <w:r>
        <w:rPr/>
        <w:t>Para los últimos años, es necesario actualizar los registros administrativos de reforestaciones, con el fin de contar con datos certeros sobre la cantidad de árboles sembrados y su porcentaje de supervivencia.</w:t>
      </w:r>
    </w:p>
    <w:p>
      <w:pPr>
        <w:pStyle w:val="BodyText"/>
        <w:spacing w:before="10"/>
        <w:rPr>
          <w:sz w:val="23"/>
        </w:rPr>
      </w:pPr>
    </w:p>
    <w:p>
      <w:pPr>
        <w:pStyle w:val="Heading2"/>
        <w:jc w:val="both"/>
      </w:pPr>
      <w:r>
        <w:rPr/>
        <w:t>Erosión de los suelos</w:t>
      </w:r>
    </w:p>
    <w:p>
      <w:pPr>
        <w:pStyle w:val="BodyText"/>
        <w:spacing w:before="6"/>
        <w:rPr>
          <w:rFonts w:ascii="Corbel"/>
          <w:b/>
          <w:sz w:val="25"/>
        </w:rPr>
      </w:pPr>
    </w:p>
    <w:p>
      <w:pPr>
        <w:pStyle w:val="BodyText"/>
        <w:spacing w:line="276" w:lineRule="auto" w:before="1"/>
        <w:ind w:left="901" w:right="1154"/>
        <w:jc w:val="both"/>
      </w:pPr>
      <w:r>
        <w:rPr/>
        <w:t>Indudablemente el problema de deforestación señalado en el párrafo anterior, es el principal agente desencadenador del proceso de erosión de los suelos al eliminar </w:t>
      </w:r>
      <w:r>
        <w:rPr>
          <w:spacing w:val="-4"/>
        </w:rPr>
        <w:t>la </w:t>
      </w:r>
      <w:r>
        <w:rPr/>
        <w:t>protección que le brinda la cobertura vegetal. Sin embargo, una vez que se realiza el cambio de uso de suelo, sobre todo hacia la agricultura, las prácticas agrícolas tradicionales (monocultivos) se convierten en un grave factor erosionador, además </w:t>
      </w:r>
      <w:r>
        <w:rPr>
          <w:spacing w:val="-3"/>
        </w:rPr>
        <w:t>de </w:t>
      </w:r>
      <w:r>
        <w:rPr/>
        <w:t>la</w:t>
      </w:r>
      <w:r>
        <w:rPr>
          <w:spacing w:val="25"/>
        </w:rPr>
        <w:t> </w:t>
      </w:r>
      <w:r>
        <w:rPr/>
        <w:t>aplicación</w:t>
      </w:r>
      <w:r>
        <w:rPr>
          <w:spacing w:val="25"/>
        </w:rPr>
        <w:t> </w:t>
      </w:r>
      <w:r>
        <w:rPr/>
        <w:t>de</w:t>
      </w:r>
      <w:r>
        <w:rPr>
          <w:spacing w:val="23"/>
        </w:rPr>
        <w:t> </w:t>
      </w:r>
      <w:r>
        <w:rPr/>
        <w:t>agroquímicos</w:t>
      </w:r>
      <w:r>
        <w:rPr>
          <w:spacing w:val="26"/>
        </w:rPr>
        <w:t> </w:t>
      </w:r>
      <w:r>
        <w:rPr/>
        <w:t>no</w:t>
      </w:r>
      <w:r>
        <w:rPr>
          <w:spacing w:val="21"/>
        </w:rPr>
        <w:t> </w:t>
      </w:r>
      <w:r>
        <w:rPr/>
        <w:t>permitidos,</w:t>
      </w:r>
      <w:r>
        <w:rPr>
          <w:spacing w:val="25"/>
        </w:rPr>
        <w:t> </w:t>
      </w:r>
      <w:r>
        <w:rPr/>
        <w:t>la</w:t>
      </w:r>
      <w:r>
        <w:rPr>
          <w:spacing w:val="24"/>
        </w:rPr>
        <w:t> </w:t>
      </w:r>
      <w:r>
        <w:rPr/>
        <w:t>pérdida</w:t>
      </w:r>
      <w:r>
        <w:rPr>
          <w:spacing w:val="25"/>
        </w:rPr>
        <w:t> </w:t>
      </w:r>
      <w:r>
        <w:rPr/>
        <w:t>de</w:t>
      </w:r>
      <w:r>
        <w:rPr>
          <w:spacing w:val="26"/>
        </w:rPr>
        <w:t> </w:t>
      </w:r>
      <w:r>
        <w:rPr/>
        <w:t>materia</w:t>
      </w:r>
      <w:r>
        <w:rPr>
          <w:spacing w:val="25"/>
        </w:rPr>
        <w:t> </w:t>
      </w:r>
      <w:r>
        <w:rPr/>
        <w:t>orgánica,</w:t>
      </w:r>
      <w:r>
        <w:rPr>
          <w:spacing w:val="25"/>
        </w:rPr>
        <w:t> </w:t>
      </w:r>
      <w:r>
        <w:rPr/>
        <w:t>exceso</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de fertilizantes nitrogenados y quemas agrícolas, la falta de capacitación a productores para evitar degradación de sus suelos mediante labranza de conservación, diversificación de cultivos y realizaciónn de análisis de suelos para conocer los impactos provocados por las prácticas agrícolas.</w:t>
      </w:r>
    </w:p>
    <w:p>
      <w:pPr>
        <w:pStyle w:val="BodyText"/>
        <w:spacing w:before="11"/>
        <w:rPr>
          <w:sz w:val="23"/>
        </w:rPr>
      </w:pPr>
    </w:p>
    <w:p>
      <w:pPr>
        <w:pStyle w:val="BodyText"/>
        <w:spacing w:line="276" w:lineRule="auto"/>
        <w:ind w:left="901" w:right="1152"/>
        <w:jc w:val="both"/>
      </w:pPr>
      <w:r>
        <w:rPr/>
        <w:t>El monocultivo principalmente de maíz es el principal agente erosionador dentro del municipio, el problema se presenta más grave cuando se desmontan las laderas con más del 10% de pendiente, las cuales al encontrarse expuestas a los agentes erosionadores como son el aire y las aguas de lluvias, los cuales arrastran partículas de suelo a las partes bajas.</w:t>
      </w:r>
    </w:p>
    <w:p>
      <w:pPr>
        <w:pStyle w:val="BodyText"/>
        <w:spacing w:before="5"/>
        <w:rPr>
          <w:sz w:val="25"/>
        </w:rPr>
      </w:pPr>
    </w:p>
    <w:p>
      <w:pPr>
        <w:pStyle w:val="BodyText"/>
        <w:spacing w:line="276" w:lineRule="auto" w:before="1"/>
        <w:ind w:left="901" w:right="1153"/>
        <w:jc w:val="both"/>
      </w:pPr>
      <w:r>
        <w:rPr/>
        <w:t>El problema de fondo es que la erosión de los suelos atenta directamente contra la capacidad productiva de las tierras y para fines prácticos se trata de un recurso no renovable, por lo que es impostergable tomar medidas adecuadas para limitar y en su caso impedir que continúe el proceso de erosión y deterioro de los suelos.</w:t>
      </w:r>
    </w:p>
    <w:p>
      <w:pPr>
        <w:pStyle w:val="BodyText"/>
        <w:spacing w:before="2"/>
        <w:rPr>
          <w:sz w:val="25"/>
        </w:rPr>
      </w:pPr>
    </w:p>
    <w:p>
      <w:pPr>
        <w:pStyle w:val="BodyText"/>
        <w:spacing w:line="276" w:lineRule="auto" w:before="1"/>
        <w:ind w:left="901" w:right="1156"/>
        <w:jc w:val="both"/>
      </w:pPr>
      <w:r>
        <w:rPr/>
        <w:t>Los efectos negativos se dan sobre los ecosistemas cuando por efecto de la actividad humana se genera una erosión acelerada y deforestación, así como cambios de uso de suelo, principalmente para la agricultura, en áreas con pendientes mayores de 10%, por lo que los ecosistemas no son capaces de asimilar o responder a los impactos provocados.</w:t>
      </w:r>
    </w:p>
    <w:p>
      <w:pPr>
        <w:pStyle w:val="BodyText"/>
        <w:spacing w:before="2"/>
        <w:rPr>
          <w:sz w:val="25"/>
        </w:rPr>
      </w:pPr>
    </w:p>
    <w:p>
      <w:pPr>
        <w:pStyle w:val="BodyText"/>
        <w:spacing w:line="276" w:lineRule="auto" w:before="1"/>
        <w:ind w:left="901" w:right="1154"/>
        <w:jc w:val="both"/>
      </w:pPr>
      <w:r>
        <w:rPr/>
        <w:t>Como puede observarse, el proceso de deforestación en el municipio (tanto el generado por el uso agrícola del suelo, como por la simple extracción de los recursos forestales originales), está directamente relacionado con la fuerte erosión que se presenta en la zona lo que en consecuencia está provocando pérdida de suelos, disminución de la capacidad de retención y almacenamiento de agua, disminución y extinción de especies de flora y fauna, cambios microclimáticos e influencia negativa en las condiciones climáticas locales y</w:t>
      </w:r>
      <w:r>
        <w:rPr>
          <w:spacing w:val="-10"/>
        </w:rPr>
        <w:t> </w:t>
      </w:r>
      <w:r>
        <w:rPr/>
        <w:t>regionales.</w:t>
      </w:r>
    </w:p>
    <w:p>
      <w:pPr>
        <w:pStyle w:val="BodyText"/>
        <w:spacing w:before="8"/>
        <w:rPr>
          <w:sz w:val="23"/>
        </w:rPr>
      </w:pPr>
    </w:p>
    <w:p>
      <w:pPr>
        <w:pStyle w:val="Heading2"/>
        <w:spacing w:before="1"/>
        <w:jc w:val="both"/>
      </w:pPr>
      <w:r>
        <w:rPr/>
        <w:t>Contaminación atmosférica</w:t>
      </w:r>
    </w:p>
    <w:p>
      <w:pPr>
        <w:pStyle w:val="BodyText"/>
        <w:spacing w:before="1"/>
        <w:rPr>
          <w:rFonts w:ascii="Corbel"/>
          <w:b/>
          <w:sz w:val="24"/>
        </w:rPr>
      </w:pPr>
    </w:p>
    <w:p>
      <w:pPr>
        <w:pStyle w:val="BodyText"/>
        <w:spacing w:line="276" w:lineRule="auto" w:before="1"/>
        <w:ind w:left="901" w:right="1153"/>
        <w:jc w:val="both"/>
      </w:pPr>
      <w:r>
        <w:rPr/>
        <w:t>Si bien este factor de deterioro ambiental no alcanza todavía la gravedad de los mencionados en los párrafos anteriores, es un problema creciente y que afecta directamente la calidad de vida de la población local. Como factores principales de deterioro de la calidad del aire en la región, se identifican el parque vehicular, los basureros a cielo abierto y las quemas intencionales de basura, llantas, quemas agrícolas, además de los incendios forestales.</w:t>
      </w:r>
    </w:p>
    <w:p>
      <w:pPr>
        <w:pStyle w:val="BodyText"/>
        <w:spacing w:before="4"/>
        <w:rPr>
          <w:sz w:val="25"/>
        </w:rPr>
      </w:pPr>
    </w:p>
    <w:p>
      <w:pPr>
        <w:pStyle w:val="BodyText"/>
        <w:spacing w:line="276" w:lineRule="auto"/>
        <w:ind w:left="901" w:right="1156"/>
        <w:jc w:val="both"/>
      </w:pPr>
      <w:r>
        <w:rPr/>
        <w:t>Una de las principales fuentes de contaminación son los más de 15,000 vehículos que circulan por día en nuestro municipio, seguido de las ladrilleras que se encuentran</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4"/>
        <w:jc w:val="both"/>
        <w:rPr>
          <w:rFonts w:ascii="Corbel" w:hAnsi="Corbel"/>
        </w:rPr>
      </w:pPr>
      <w:r>
        <w:rPr/>
        <w:t>dentro de la mancha urbana y al oriente de la población, provocando en el centro de la población la acumulación de gases (dióxido de carbono, óxido nitroso y cloro fluoro carbonatos) la existencia de corrales y establos localizados dentro de la zona urbana, que generan molestias por los olores, desechos y proliferación de fauna nociva; contribuyen a disminuir la calidad del aire</w:t>
      </w:r>
      <w:r>
        <w:rPr>
          <w:rFonts w:ascii="Corbel" w:hAnsi="Corbel"/>
        </w:rPr>
        <w:t>.</w:t>
      </w:r>
    </w:p>
    <w:p>
      <w:pPr>
        <w:pStyle w:val="BodyText"/>
        <w:spacing w:before="1"/>
        <w:rPr>
          <w:rFonts w:ascii="Corbel"/>
          <w:sz w:val="24"/>
        </w:rPr>
      </w:pPr>
    </w:p>
    <w:p>
      <w:pPr>
        <w:pStyle w:val="BodyText"/>
        <w:spacing w:line="276" w:lineRule="auto"/>
        <w:ind w:left="901" w:right="1155"/>
        <w:jc w:val="both"/>
      </w:pPr>
      <w:r>
        <w:rPr/>
        <w:t>Por otra parte, la falta de tratamiento y buen manejo de la basura urbana genera olores desagradables mismos que atentan contra la salud pública, al afectar la calidad del aire que respira la población y al ser un factor de proliferación de fauna nociva y organismos patógenos.</w:t>
      </w:r>
    </w:p>
    <w:p>
      <w:pPr>
        <w:pStyle w:val="BodyText"/>
        <w:spacing w:before="3"/>
        <w:rPr>
          <w:sz w:val="25"/>
        </w:rPr>
      </w:pPr>
    </w:p>
    <w:p>
      <w:pPr>
        <w:pStyle w:val="BodyText"/>
        <w:spacing w:line="276" w:lineRule="auto" w:before="1"/>
        <w:ind w:left="901" w:right="1153"/>
        <w:jc w:val="both"/>
      </w:pPr>
      <w:r>
        <w:rPr/>
        <w:t>En este factor de mala calidad del aire, incide también el problema de heces fecales al aire libre, provocado en gran parte por la falta de infraestructura urbana, sobre todo los servicios de drenaje; los residuos sólidos de tipo biológico que genera el hospital regional de Magdalena, al no contar con un sistema de recolección de basura exclusivo, de igual manera los desechos del Rastro Municipal que no son manejados de manera adecuada.</w:t>
      </w:r>
    </w:p>
    <w:p>
      <w:pPr>
        <w:pStyle w:val="BodyText"/>
        <w:spacing w:before="9"/>
        <w:rPr>
          <w:sz w:val="23"/>
        </w:rPr>
      </w:pPr>
    </w:p>
    <w:p>
      <w:pPr>
        <w:pStyle w:val="Heading2"/>
        <w:jc w:val="both"/>
      </w:pPr>
      <w:r>
        <w:rPr/>
        <w:t>Residuos sólidos</w:t>
      </w:r>
    </w:p>
    <w:p>
      <w:pPr>
        <w:pStyle w:val="BodyText"/>
        <w:spacing w:before="7"/>
        <w:rPr>
          <w:rFonts w:ascii="Corbel"/>
          <w:b/>
          <w:sz w:val="25"/>
        </w:rPr>
      </w:pPr>
    </w:p>
    <w:p>
      <w:pPr>
        <w:pStyle w:val="BodyText"/>
        <w:spacing w:line="276" w:lineRule="auto"/>
        <w:ind w:left="901" w:right="1154"/>
        <w:jc w:val="both"/>
      </w:pPr>
      <w:r>
        <w:rPr/>
        <w:t>La falta de la cultura de separación, reciclaje, sistemas eficientes de recolección y rellenos sanitarios para basura hacen aún mas grave la contaminación por residuos sólidos. Además, el basurero ubicado en el Potrero El Quemadero, que está actualmente en operación es un basurero de tipo a cielo abierto donde constantemente se detectan incendios y además los vientos dominantes en primavera soplan directo al centro urbano de población, lo mismo sucede en el basurero de San Andrés, estas prácticas que ya fueron superadas en casi todos los municipios del país donde ya se utilizan rellenos sanitarios previamente diseñados. A todo esto, hay que sumarle que cada persona genera un promedio de entre 548 y 668 Kg anual de residuos sólidos, dependiendo del grado de urbanización del lugar en el que habita </w:t>
      </w:r>
      <w:r>
        <w:rPr>
          <w:spacing w:val="-3"/>
        </w:rPr>
        <w:t>(a </w:t>
      </w:r>
      <w:r>
        <w:rPr/>
        <w:t>mayor urbanización, mayor generación de basura). Así, por ejemplo, para el caso del municipio de Magdalena se genera 6,656 toneladas/anuales de residuos sólidos. De la cual alrededor de 40% se puede reciclar o</w:t>
      </w:r>
      <w:r>
        <w:rPr>
          <w:spacing w:val="-10"/>
        </w:rPr>
        <w:t> </w:t>
      </w:r>
      <w:r>
        <w:rPr/>
        <w:t>comprimir.</w:t>
      </w:r>
    </w:p>
    <w:p>
      <w:pPr>
        <w:pStyle w:val="BodyText"/>
        <w:spacing w:before="3"/>
        <w:rPr>
          <w:sz w:val="25"/>
        </w:rPr>
      </w:pPr>
    </w:p>
    <w:p>
      <w:pPr>
        <w:pStyle w:val="BodyText"/>
        <w:spacing w:line="276" w:lineRule="auto"/>
        <w:ind w:left="901" w:right="1153"/>
        <w:jc w:val="both"/>
      </w:pPr>
      <w:r>
        <w:rPr/>
        <w:t>Actualmente se permite a un grupo de personas que clasifiquen la basura y de esta forma se reduce su volumen y se benefician con el autoempleo. Sin embargo, no es mediante un sistema apropiado de separación que se realiza esta práctica.</w:t>
      </w:r>
    </w:p>
    <w:p>
      <w:pPr>
        <w:pStyle w:val="BodyText"/>
        <w:spacing w:before="4"/>
        <w:rPr>
          <w:sz w:val="25"/>
        </w:rPr>
      </w:pPr>
    </w:p>
    <w:p>
      <w:pPr>
        <w:pStyle w:val="BodyText"/>
        <w:spacing w:line="276" w:lineRule="auto"/>
        <w:ind w:left="901" w:right="1158"/>
        <w:jc w:val="both"/>
      </w:pPr>
      <w:r>
        <w:rPr/>
        <w:t>En la actualidad no sólo no existe la infraestructura adecuada para el tratamiento de estos desechos, sino que ni siquiera se respetan determinados sitios para el depósito de la misma, por lo que proliferan los lugares donde la gente arroja sus propios residuos</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como es el caso de los caminos aledaños a la cabecera municipal y a las localidades, al igual que los arroyos, lagunas y carreteras, las cuales presentan muy mala</w:t>
      </w:r>
      <w:r>
        <w:rPr>
          <w:spacing w:val="-22"/>
        </w:rPr>
        <w:t> </w:t>
      </w:r>
      <w:r>
        <w:rPr/>
        <w:t>imagen.</w:t>
      </w:r>
    </w:p>
    <w:p>
      <w:pPr>
        <w:pStyle w:val="BodyText"/>
        <w:spacing w:before="4"/>
        <w:rPr>
          <w:sz w:val="25"/>
        </w:rPr>
      </w:pPr>
    </w:p>
    <w:p>
      <w:pPr>
        <w:pStyle w:val="BodyText"/>
        <w:spacing w:line="276" w:lineRule="auto"/>
        <w:ind w:left="901" w:right="1154"/>
        <w:jc w:val="both"/>
      </w:pPr>
      <w:r>
        <w:rPr/>
        <w:t>Entre los múltiples problemas que se derivan de esta situación, pueden exponerse los siguientes: generan contaminación de los cuerpos acuáticos cercanos por los jugos lixiviados que generan la basura y malos olores; inducen la proliferación de fauna nociva y organismos patógenos; afean el lugar; ahuyentan las inversiones y el establecimiento de nuevos</w:t>
      </w:r>
      <w:r>
        <w:rPr>
          <w:spacing w:val="-5"/>
        </w:rPr>
        <w:t> </w:t>
      </w:r>
      <w:r>
        <w:rPr/>
        <w:t>habitantes.</w:t>
      </w:r>
    </w:p>
    <w:p>
      <w:pPr>
        <w:pStyle w:val="BodyText"/>
        <w:rPr>
          <w:sz w:val="25"/>
        </w:rPr>
      </w:pPr>
    </w:p>
    <w:p>
      <w:pPr>
        <w:pStyle w:val="Heading2"/>
        <w:spacing w:before="1"/>
        <w:jc w:val="both"/>
      </w:pPr>
      <w:r>
        <w:rPr/>
        <w:t>Residuos peligrosos</w:t>
      </w:r>
    </w:p>
    <w:p>
      <w:pPr>
        <w:pStyle w:val="BodyText"/>
        <w:spacing w:before="2"/>
        <w:rPr>
          <w:rFonts w:ascii="Corbel"/>
          <w:b/>
          <w:sz w:val="24"/>
        </w:rPr>
      </w:pPr>
    </w:p>
    <w:p>
      <w:pPr>
        <w:pStyle w:val="BodyText"/>
        <w:spacing w:line="276" w:lineRule="auto"/>
        <w:ind w:left="901" w:right="1154"/>
        <w:jc w:val="both"/>
      </w:pPr>
      <w:r>
        <w:rPr/>
        <w:t>Sabedores que son todos aquellos que en su estado físico químico o biológico que, por sus características corrosivas, tóxicas, venenosas, biológico e infecciosas o irritantes podrían representar un peligro para la salud, en el ambiente y los ecosistemas, en el municipio de Magdalena Jalisco, afortunadamente no se cuentan con contaminantes de residuos peligrosos, los que existen ya han sido mencionados anteriormente. </w:t>
      </w:r>
      <w:r>
        <w:rPr>
          <w:spacing w:val="-4"/>
        </w:rPr>
        <w:t>En </w:t>
      </w:r>
      <w:r>
        <w:rPr/>
        <w:t>Magdalena no existen contaminantes de plomo, gases, u otro tipo de contaminantes que pudieran generar un alto grado de contaminación, los residuos más preocupantes en el municipio son, aguas residuales, los residuos sólidos (basura) los cuales tendremos que generar algún programa de reducción en los mismos, además de los agroquímicos, insecticidas, pesticidas derivados de la actividad agrícola, en relación a los desechos humanos existe únicamente un hospital regional, un centro de salud, laboratorios clínicos etc. Los cuales incineran sus desechos humanos generados en su actividad y su grado de contaminación no es preocupante por la poca actividad que deriva la generación de estos mismos, aunque el riesgo se podría generar en mayor grado, sobre todo en la actividad agrícola, ya que el manejo de agroquímicos sin una buena aplicación revertiría lo aquí</w:t>
      </w:r>
      <w:r>
        <w:rPr>
          <w:spacing w:val="-8"/>
        </w:rPr>
        <w:t> </w:t>
      </w:r>
      <w:r>
        <w:rPr/>
        <w:t>expuesto.</w:t>
      </w:r>
    </w:p>
    <w:p>
      <w:pPr>
        <w:pStyle w:val="BodyText"/>
        <w:spacing w:before="9"/>
        <w:rPr>
          <w:sz w:val="23"/>
        </w:rPr>
      </w:pPr>
    </w:p>
    <w:p>
      <w:pPr>
        <w:pStyle w:val="Heading2"/>
        <w:jc w:val="both"/>
        <w:rPr>
          <w:rFonts w:ascii="Calibri" w:hAnsi="Calibri"/>
        </w:rPr>
      </w:pPr>
      <w:r>
        <w:rPr>
          <w:rFonts w:ascii="Calibri" w:hAnsi="Calibri"/>
        </w:rPr>
        <w:t>Posición de Magdalena en temas medioambientales</w:t>
      </w:r>
    </w:p>
    <w:p>
      <w:pPr>
        <w:pStyle w:val="BodyText"/>
        <w:spacing w:before="4"/>
        <w:rPr>
          <w:rFonts w:ascii="Calibri"/>
          <w:b/>
          <w:sz w:val="24"/>
        </w:rPr>
      </w:pPr>
    </w:p>
    <w:p>
      <w:pPr>
        <w:pStyle w:val="BodyText"/>
        <w:spacing w:line="276" w:lineRule="auto" w:before="1"/>
        <w:ind w:left="901" w:right="1155"/>
        <w:jc w:val="both"/>
      </w:pPr>
      <w:r>
        <w:rPr/>
        <w:t>Considerando el subíndice de medio ambiente, que contempla aspectos como generación de residuos sólidos, deforestación, explotación de acuíferos, cobertura forestal, áreas naturales protegidas, entre otros, Magdalena se ubica en el lugar 62 a nivel estatal, lo cual indica un desarrollo Medio del medio ambiente en comparación al resto de los municipios de la entidad, y la novena posición en la Región Valles.</w:t>
      </w:r>
    </w:p>
    <w:p>
      <w:pPr>
        <w:pStyle w:val="BodyText"/>
        <w:spacing w:before="2"/>
        <w:rPr>
          <w:sz w:val="25"/>
        </w:rPr>
      </w:pPr>
    </w:p>
    <w:p>
      <w:pPr>
        <w:pStyle w:val="BodyText"/>
        <w:spacing w:line="276" w:lineRule="auto" w:before="1"/>
        <w:ind w:left="901" w:right="1156"/>
        <w:jc w:val="both"/>
      </w:pPr>
      <w:r>
        <w:rPr/>
        <w:t>En el Subíndice Municipal de Medio Ambiente 2012, destaca que Magdalena se ubica en un acuífero no sobre explotado, sobre el cual se registra un total de 5,040 viviendas particulares habitadas, de las cuales 95.00% tienen disponibilidad de agua dentro de la casa o el terreno y 96.33% cuentan con drenaje conectado a la red pública, fosa séptica u otros.</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6" w:lineRule="auto" w:before="101"/>
        <w:ind w:left="901" w:right="1156"/>
        <w:jc w:val="both"/>
      </w:pPr>
      <w:r>
        <w:rPr/>
        <w:t>El municipio tiene una cobertura de 40.9% de bosques, 0.1% de selvas y 35.1% destinada a la agricultura. En los últimos 25 años el municipio ha recuperado 1.17 km2 de superficie con vegetación natural y presenta 18.46% de la superficie con riesgo de erosión. En el ordenamiento ecológico territorial, el 28.26% de su territorio está bajo políticas ambientales de conservación.</w:t>
      </w:r>
    </w:p>
    <w:p>
      <w:pPr>
        <w:pStyle w:val="BodyText"/>
        <w:spacing w:before="3"/>
        <w:rPr>
          <w:sz w:val="24"/>
        </w:rPr>
      </w:pPr>
    </w:p>
    <w:p>
      <w:pPr>
        <w:pStyle w:val="BodyText"/>
        <w:spacing w:line="276" w:lineRule="auto"/>
        <w:ind w:left="901" w:right="1157"/>
        <w:jc w:val="both"/>
      </w:pPr>
      <w:r>
        <w:rPr/>
        <w:t>En términos de residuos sólidos urbanos, el municipio participa con el 0.27% del total estatal, equivalente a 20.575 toneladas generadas por día.</w:t>
      </w:r>
    </w:p>
    <w:p>
      <w:pPr>
        <w:pStyle w:val="BodyText"/>
        <w:rPr>
          <w:sz w:val="26"/>
        </w:rPr>
      </w:pPr>
    </w:p>
    <w:p>
      <w:pPr>
        <w:pStyle w:val="BodyText"/>
        <w:rPr>
          <w:sz w:val="26"/>
        </w:rPr>
      </w:pPr>
    </w:p>
    <w:p>
      <w:pPr>
        <w:pStyle w:val="BodyText"/>
        <w:spacing w:before="10"/>
        <w:rPr>
          <w:sz w:val="26"/>
        </w:rPr>
      </w:pPr>
    </w:p>
    <w:p>
      <w:pPr>
        <w:pStyle w:val="ListParagraph"/>
        <w:numPr>
          <w:ilvl w:val="1"/>
          <w:numId w:val="12"/>
        </w:numPr>
        <w:tabs>
          <w:tab w:pos="1271" w:val="left" w:leader="none"/>
        </w:tabs>
        <w:spacing w:line="240" w:lineRule="auto" w:before="1" w:after="0"/>
        <w:ind w:left="1270" w:right="0" w:hanging="370"/>
        <w:jc w:val="left"/>
        <w:rPr>
          <w:rFonts w:ascii="Corbel" w:hAnsi="Corbel"/>
          <w:sz w:val="26"/>
        </w:rPr>
      </w:pPr>
      <w:bookmarkStart w:name="_bookmark7" w:id="10"/>
      <w:bookmarkEnd w:id="10"/>
      <w:r>
        <w:rPr/>
      </w:r>
      <w:bookmarkStart w:name="_bookmark7" w:id="11"/>
      <w:bookmarkEnd w:id="11"/>
      <w:r>
        <w:rPr>
          <w:rFonts w:ascii="Corbel" w:hAnsi="Corbel"/>
          <w:smallCaps w:val="0"/>
          <w:color w:val="365F91"/>
          <w:sz w:val="26"/>
        </w:rPr>
        <w:t>C</w:t>
      </w:r>
      <w:r>
        <w:rPr>
          <w:rFonts w:ascii="Corbel" w:hAnsi="Corbel"/>
          <w:smallCaps w:val="0"/>
          <w:color w:val="365F91"/>
          <w:sz w:val="26"/>
        </w:rPr>
        <w:t>OMPONENTE</w:t>
      </w:r>
      <w:r>
        <w:rPr>
          <w:rFonts w:ascii="Corbel" w:hAnsi="Corbel"/>
          <w:smallCaps w:val="0"/>
          <w:color w:val="365F91"/>
          <w:spacing w:val="1"/>
          <w:sz w:val="26"/>
        </w:rPr>
        <w:t> </w:t>
      </w:r>
      <w:r>
        <w:rPr>
          <w:rFonts w:ascii="Corbel" w:hAnsi="Corbel"/>
          <w:smallCaps w:val="0"/>
          <w:color w:val="365F91"/>
          <w:sz w:val="26"/>
        </w:rPr>
        <w:t>ESTRATÉGICO</w:t>
      </w:r>
    </w:p>
    <w:p>
      <w:pPr>
        <w:pStyle w:val="BodyText"/>
        <w:rPr>
          <w:rFonts w:ascii="Corbel"/>
          <w:sz w:val="26"/>
        </w:rPr>
      </w:pPr>
    </w:p>
    <w:p>
      <w:pPr>
        <w:pStyle w:val="BodyText"/>
        <w:spacing w:before="1"/>
        <w:rPr>
          <w:rFonts w:ascii="Corbel"/>
        </w:rPr>
      </w:pPr>
    </w:p>
    <w:p>
      <w:pPr>
        <w:spacing w:before="0"/>
        <w:ind w:left="901" w:right="0" w:firstLine="0"/>
        <w:jc w:val="left"/>
        <w:rPr>
          <w:rFonts w:ascii="Corbel" w:hAnsi="Corbel"/>
          <w:b/>
          <w:sz w:val="28"/>
        </w:rPr>
      </w:pPr>
      <w:r>
        <w:rPr>
          <w:rFonts w:ascii="Corbel" w:hAnsi="Corbel"/>
          <w:b/>
          <w:sz w:val="28"/>
        </w:rPr>
        <w:t>VISIÓN</w:t>
      </w:r>
    </w:p>
    <w:p>
      <w:pPr>
        <w:pStyle w:val="BodyText"/>
        <w:spacing w:before="3"/>
        <w:rPr>
          <w:rFonts w:ascii="Corbel"/>
          <w:b/>
          <w:sz w:val="24"/>
        </w:rPr>
      </w:pPr>
    </w:p>
    <w:p>
      <w:pPr>
        <w:pStyle w:val="BodyText"/>
        <w:spacing w:line="276" w:lineRule="auto" w:before="1"/>
        <w:ind w:left="901" w:right="1155"/>
        <w:jc w:val="both"/>
        <w:rPr>
          <w:rFonts w:ascii="Calibri" w:hAnsi="Calibri"/>
          <w:sz w:val="24"/>
        </w:rPr>
      </w:pPr>
      <w:r>
        <w:rPr/>
        <w:t>Ser un municipio donde la población es consciente de cuidar y conservar el medio ambiente, haciendo uso eficiente de los recursos naturales, implementando prácticas sustentables y reduciendo las afectaciones del ecosistema por las actividades productivas o cotidianas de la población. logrando así un medio ambiente sano para las futuras</w:t>
      </w:r>
      <w:r>
        <w:rPr>
          <w:spacing w:val="-1"/>
        </w:rPr>
        <w:t> </w:t>
      </w:r>
      <w:r>
        <w:rPr/>
        <w:t>generaciones</w:t>
      </w:r>
      <w:r>
        <w:rPr>
          <w:rFonts w:ascii="Calibri" w:hAnsi="Calibri"/>
          <w:sz w:val="24"/>
        </w:rPr>
        <w:t>.</w:t>
      </w:r>
    </w:p>
    <w:p>
      <w:pPr>
        <w:pStyle w:val="BodyText"/>
        <w:spacing w:before="8"/>
        <w:rPr>
          <w:rFonts w:ascii="Calibri"/>
          <w:sz w:val="23"/>
        </w:rPr>
      </w:pPr>
    </w:p>
    <w:p>
      <w:pPr>
        <w:pStyle w:val="Heading2"/>
        <w:spacing w:before="1"/>
      </w:pPr>
      <w:r>
        <w:rPr/>
        <w:t>OBJETIVOS</w:t>
      </w:r>
    </w:p>
    <w:p>
      <w:pPr>
        <w:pStyle w:val="BodyText"/>
        <w:spacing w:before="6"/>
        <w:rPr>
          <w:rFonts w:ascii="Corbel"/>
          <w:b/>
          <w:sz w:val="25"/>
        </w:rPr>
      </w:pPr>
    </w:p>
    <w:p>
      <w:pPr>
        <w:pStyle w:val="BodyText"/>
        <w:spacing w:line="276" w:lineRule="auto"/>
        <w:ind w:left="901" w:right="1156"/>
        <w:jc w:val="both"/>
      </w:pPr>
      <w:r>
        <w:rPr/>
        <w:t>Utilizar y aprovechar racionalmente los recursos naturales, como el agua, los bosques, el suelo y cuidar la calidad del aire para las generaciones futuras con prácticas más sustentables y regulación más estricta acompañada de una cultura ambiental fuerte de los habitantes de Magdalena.</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Heading4"/>
      </w:pPr>
      <w:r>
        <w:rPr>
          <w:color w:val="808080"/>
        </w:rPr>
        <w:t>LÍNEAS ESTRATÉGICAS, PROGRAMAS Y PROYECTOS</w:t>
      </w:r>
    </w:p>
    <w:p>
      <w:pPr>
        <w:pStyle w:val="BodyText"/>
        <w:spacing w:before="4"/>
        <w:rPr>
          <w:b/>
          <w:sz w:val="28"/>
        </w:rPr>
      </w:pPr>
    </w:p>
    <w:p>
      <w:pPr>
        <w:spacing w:before="0" w:after="20"/>
        <w:ind w:left="901" w:right="0" w:firstLine="0"/>
        <w:jc w:val="left"/>
        <w:rPr>
          <w:rFonts w:ascii="Tw Cen MT Condensed Extra Bold"/>
          <w:sz w:val="66"/>
        </w:rPr>
      </w:pPr>
      <w:r>
        <w:rPr/>
        <w:drawing>
          <wp:anchor distT="0" distB="0" distL="0" distR="0" allowOverlap="1" layoutInCell="1" locked="0" behindDoc="0" simplePos="0" relativeHeight="251671552">
            <wp:simplePos x="0" y="0"/>
            <wp:positionH relativeFrom="page">
              <wp:posOffset>4910269</wp:posOffset>
            </wp:positionH>
            <wp:positionV relativeFrom="paragraph">
              <wp:posOffset>30977</wp:posOffset>
            </wp:positionV>
            <wp:extent cx="632577" cy="170842"/>
            <wp:effectExtent l="0" t="0" r="0" b="0"/>
            <wp:wrapNone/>
            <wp:docPr id="9" name="image11.png"/>
            <wp:cNvGraphicFramePr>
              <a:graphicFrameLocks noChangeAspect="1"/>
            </wp:cNvGraphicFramePr>
            <a:graphic>
              <a:graphicData uri="http://schemas.openxmlformats.org/drawingml/2006/picture">
                <pic:pic>
                  <pic:nvPicPr>
                    <pic:cNvPr id="10" name="image11.png"/>
                    <pic:cNvPicPr/>
                  </pic:nvPicPr>
                  <pic:blipFill>
                    <a:blip r:embed="rId18" cstate="print"/>
                    <a:stretch>
                      <a:fillRect/>
                    </a:stretch>
                  </pic:blipFill>
                  <pic:spPr>
                    <a:xfrm>
                      <a:off x="0" y="0"/>
                      <a:ext cx="632577" cy="170842"/>
                    </a:xfrm>
                    <a:prstGeom prst="rect">
                      <a:avLst/>
                    </a:prstGeom>
                  </pic:spPr>
                </pic:pic>
              </a:graphicData>
            </a:graphic>
          </wp:anchor>
        </w:drawing>
      </w:r>
      <w:r>
        <w:rPr>
          <w:rFonts w:ascii="Tw Cen MT Condensed Extra Bold"/>
          <w:color w:val="4F81BC"/>
          <w:sz w:val="66"/>
        </w:rPr>
        <w:t>Agua</w:t>
      </w:r>
    </w:p>
    <w:tbl>
      <w:tblPr>
        <w:tblW w:w="0" w:type="auto"/>
        <w:jc w:val="left"/>
        <w:tblInd w:w="9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465"/>
        <w:gridCol w:w="4890"/>
      </w:tblGrid>
      <w:tr>
        <w:trPr>
          <w:trHeight w:val="2159" w:hRule="atLeast"/>
        </w:trPr>
        <w:tc>
          <w:tcPr>
            <w:tcW w:w="4465" w:type="dxa"/>
            <w:tcBorders>
              <w:top w:val="nil"/>
              <w:bottom w:val="single" w:sz="2" w:space="0" w:color="CED6E7"/>
            </w:tcBorders>
            <w:shd w:val="clear" w:color="auto" w:fill="4AACC5"/>
          </w:tcPr>
          <w:p>
            <w:pPr>
              <w:pStyle w:val="TableParagraph"/>
              <w:spacing w:before="5"/>
              <w:rPr>
                <w:rFonts w:ascii="Tw Cen MT Condensed Extra Bold"/>
                <w:sz w:val="61"/>
              </w:rPr>
            </w:pPr>
          </w:p>
          <w:p>
            <w:pPr>
              <w:pStyle w:val="TableParagraph"/>
              <w:ind w:left="1266"/>
              <w:rPr>
                <w:rFonts w:ascii="Corbel"/>
                <w:sz w:val="48"/>
              </w:rPr>
            </w:pPr>
            <w:r>
              <w:rPr>
                <w:rFonts w:ascii="Corbel"/>
                <w:color w:val="FFFFFF"/>
                <w:sz w:val="48"/>
              </w:rPr>
              <w:t>Problema</w:t>
            </w:r>
          </w:p>
        </w:tc>
        <w:tc>
          <w:tcPr>
            <w:tcW w:w="4890" w:type="dxa"/>
            <w:tcBorders>
              <w:top w:val="nil"/>
              <w:bottom w:val="single" w:sz="2" w:space="0" w:color="CED6E7"/>
            </w:tcBorders>
            <w:shd w:val="clear" w:color="auto" w:fill="4AACC5"/>
          </w:tcPr>
          <w:p>
            <w:pPr>
              <w:pStyle w:val="TableParagraph"/>
              <w:spacing w:before="5"/>
              <w:rPr>
                <w:rFonts w:ascii="Tw Cen MT Condensed Extra Bold"/>
                <w:sz w:val="61"/>
              </w:rPr>
            </w:pPr>
          </w:p>
          <w:p>
            <w:pPr>
              <w:pStyle w:val="TableParagraph"/>
              <w:ind w:left="78"/>
              <w:rPr>
                <w:rFonts w:ascii="Corbel" w:hAnsi="Corbel"/>
                <w:sz w:val="48"/>
              </w:rPr>
            </w:pPr>
            <w:r>
              <w:rPr>
                <w:rFonts w:ascii="Corbel" w:hAnsi="Corbel"/>
                <w:color w:val="FFFFFF"/>
                <w:sz w:val="48"/>
              </w:rPr>
              <w:t>Línea Estratégica</w:t>
            </w:r>
          </w:p>
        </w:tc>
      </w:tr>
    </w:tbl>
    <w:p>
      <w:pPr>
        <w:pStyle w:val="BodyText"/>
        <w:rPr>
          <w:rFonts w:ascii="Tw Cen MT Condensed Extra Bold"/>
          <w:sz w:val="20"/>
        </w:rPr>
      </w:pPr>
    </w:p>
    <w:p>
      <w:pPr>
        <w:pStyle w:val="BodyText"/>
        <w:spacing w:before="6"/>
        <w:rPr>
          <w:rFonts w:ascii="Tw Cen MT Condensed Extra Bold"/>
          <w:sz w:val="10"/>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750"/>
      </w:tblGrid>
      <w:tr>
        <w:trPr>
          <w:trHeight w:val="8834" w:hRule="atLeast"/>
        </w:trPr>
        <w:tc>
          <w:tcPr>
            <w:tcW w:w="4577" w:type="dxa"/>
            <w:tcBorders>
              <w:top w:val="nil"/>
              <w:bottom w:val="single" w:sz="2" w:space="0" w:color="CED6E7"/>
            </w:tcBorders>
            <w:shd w:val="clear" w:color="auto" w:fill="92CDDC"/>
          </w:tcPr>
          <w:p>
            <w:pPr>
              <w:pStyle w:val="TableParagraph"/>
              <w:spacing w:before="4"/>
              <w:rPr>
                <w:rFonts w:ascii="Tw Cen MT Condensed Extra Bold"/>
                <w:sz w:val="30"/>
              </w:rPr>
            </w:pPr>
          </w:p>
          <w:p>
            <w:pPr>
              <w:pStyle w:val="TableParagraph"/>
              <w:numPr>
                <w:ilvl w:val="0"/>
                <w:numId w:val="13"/>
              </w:numPr>
              <w:tabs>
                <w:tab w:pos="799" w:val="left" w:leader="none"/>
                <w:tab w:pos="2435" w:val="left" w:leader="none"/>
                <w:tab w:pos="3494" w:val="left" w:leader="none"/>
              </w:tabs>
              <w:spacing w:line="276" w:lineRule="auto" w:before="0" w:after="0"/>
              <w:ind w:left="798" w:right="57" w:hanging="360"/>
              <w:jc w:val="both"/>
              <w:rPr>
                <w:sz w:val="20"/>
              </w:rPr>
            </w:pPr>
            <w:r>
              <w:rPr>
                <w:color w:val="404040"/>
                <w:sz w:val="20"/>
              </w:rPr>
              <w:t>Aguas residuales en las localidades sin tratar, que contaminan los mantos acuíferos</w:t>
              <w:tab/>
              <w:t>del</w:t>
              <w:tab/>
            </w:r>
            <w:r>
              <w:rPr>
                <w:color w:val="404040"/>
                <w:spacing w:val="-3"/>
                <w:sz w:val="20"/>
              </w:rPr>
              <w:t>municipio. </w:t>
            </w:r>
            <w:r>
              <w:rPr>
                <w:color w:val="404040"/>
                <w:sz w:val="20"/>
              </w:rPr>
              <w:t>Actualmente, se vierten las aguas residuales a las presas y los arroyos sin ningún tratamiento previo.</w:t>
            </w:r>
          </w:p>
          <w:p>
            <w:pPr>
              <w:pStyle w:val="TableParagraph"/>
              <w:rPr>
                <w:rFonts w:ascii="Tw Cen MT Condensed Extra Bold"/>
                <w:sz w:val="24"/>
              </w:rPr>
            </w:pPr>
          </w:p>
          <w:p>
            <w:pPr>
              <w:pStyle w:val="TableParagraph"/>
              <w:numPr>
                <w:ilvl w:val="0"/>
                <w:numId w:val="13"/>
              </w:numPr>
              <w:tabs>
                <w:tab w:pos="799" w:val="left" w:leader="none"/>
              </w:tabs>
              <w:spacing w:line="276" w:lineRule="auto" w:before="184" w:after="0"/>
              <w:ind w:left="798" w:right="53" w:hanging="360"/>
              <w:jc w:val="both"/>
              <w:rPr>
                <w:sz w:val="20"/>
              </w:rPr>
            </w:pPr>
            <w:r>
              <w:rPr>
                <w:color w:val="404040"/>
                <w:sz w:val="20"/>
              </w:rPr>
              <w:t>Contaminación de las aguas superficiales y los acuíferos; por desechos de la industria tequilera y los agroquímicos y plaguicidas empleados en la</w:t>
            </w:r>
            <w:r>
              <w:rPr>
                <w:color w:val="404040"/>
                <w:spacing w:val="-3"/>
                <w:sz w:val="20"/>
              </w:rPr>
              <w:t> </w:t>
            </w:r>
            <w:r>
              <w:rPr>
                <w:color w:val="404040"/>
                <w:sz w:val="20"/>
              </w:rPr>
              <w:t>agricultura.</w:t>
            </w:r>
          </w:p>
          <w:p>
            <w:pPr>
              <w:pStyle w:val="TableParagraph"/>
              <w:rPr>
                <w:rFonts w:ascii="Tw Cen MT Condensed Extra Bold"/>
                <w:sz w:val="24"/>
              </w:rPr>
            </w:pPr>
          </w:p>
          <w:p>
            <w:pPr>
              <w:pStyle w:val="TableParagraph"/>
              <w:numPr>
                <w:ilvl w:val="0"/>
                <w:numId w:val="13"/>
              </w:numPr>
              <w:tabs>
                <w:tab w:pos="799" w:val="left" w:leader="none"/>
              </w:tabs>
              <w:spacing w:line="276" w:lineRule="auto" w:before="186" w:after="0"/>
              <w:ind w:left="798" w:right="56" w:hanging="360"/>
              <w:jc w:val="both"/>
              <w:rPr>
                <w:sz w:val="20"/>
              </w:rPr>
            </w:pPr>
            <w:r>
              <w:rPr>
                <w:color w:val="404040"/>
                <w:sz w:val="20"/>
              </w:rPr>
              <w:t>Uso ineficiente del agua de uso agrícola por técnicas utilizadas para el riego donde se desperdicia más del 70%</w:t>
            </w:r>
          </w:p>
          <w:p>
            <w:pPr>
              <w:pStyle w:val="TableParagraph"/>
              <w:spacing w:before="9"/>
              <w:rPr>
                <w:rFonts w:ascii="Tw Cen MT Condensed Extra Bold"/>
                <w:sz w:val="22"/>
              </w:rPr>
            </w:pPr>
          </w:p>
          <w:p>
            <w:pPr>
              <w:pStyle w:val="TableParagraph"/>
              <w:numPr>
                <w:ilvl w:val="0"/>
                <w:numId w:val="13"/>
              </w:numPr>
              <w:tabs>
                <w:tab w:pos="799" w:val="left" w:leader="none"/>
                <w:tab w:pos="2010" w:val="left" w:leader="none"/>
                <w:tab w:pos="3487" w:val="left" w:leader="none"/>
              </w:tabs>
              <w:spacing w:line="276" w:lineRule="auto" w:before="0" w:after="0"/>
              <w:ind w:left="798" w:right="56" w:hanging="360"/>
              <w:jc w:val="both"/>
              <w:rPr>
                <w:sz w:val="20"/>
              </w:rPr>
            </w:pPr>
            <w:r>
              <w:rPr>
                <w:color w:val="404040"/>
                <w:sz w:val="20"/>
              </w:rPr>
              <w:t>Desperdicio de agua para consumo humano, el cual representa perdidas físicas por el mal estado de las redes y las tomas clandestinas. Según los análisis propios del sistema operador de</w:t>
              <w:tab/>
              <w:t>agua</w:t>
              <w:tab/>
            </w:r>
            <w:r>
              <w:rPr>
                <w:color w:val="404040"/>
                <w:w w:val="95"/>
                <w:sz w:val="20"/>
              </w:rPr>
              <w:t>municipal, </w:t>
            </w:r>
            <w:r>
              <w:rPr>
                <w:color w:val="404040"/>
                <w:sz w:val="20"/>
              </w:rPr>
              <w:t>aproximadamente el 60% de agua que se bombea, no se factura, generando pérdidas para el sistema  y</w:t>
            </w:r>
            <w:r>
              <w:rPr>
                <w:color w:val="404040"/>
                <w:spacing w:val="-3"/>
                <w:sz w:val="20"/>
              </w:rPr>
              <w:t> </w:t>
            </w:r>
            <w:r>
              <w:rPr>
                <w:color w:val="404040"/>
                <w:sz w:val="20"/>
              </w:rPr>
              <w:t>desperdicio.</w:t>
            </w:r>
          </w:p>
        </w:tc>
        <w:tc>
          <w:tcPr>
            <w:tcW w:w="4750" w:type="dxa"/>
            <w:tcBorders>
              <w:top w:val="nil"/>
              <w:bottom w:val="single" w:sz="2" w:space="0" w:color="CED6E7"/>
            </w:tcBorders>
            <w:shd w:val="clear" w:color="auto" w:fill="A4D4E1"/>
          </w:tcPr>
          <w:p>
            <w:pPr>
              <w:pStyle w:val="TableParagraph"/>
              <w:spacing w:before="4"/>
              <w:rPr>
                <w:rFonts w:ascii="Tw Cen MT Condensed Extra Bold"/>
                <w:sz w:val="30"/>
              </w:rPr>
            </w:pPr>
          </w:p>
          <w:p>
            <w:pPr>
              <w:pStyle w:val="TableParagraph"/>
              <w:ind w:left="81" w:right="54"/>
              <w:jc w:val="both"/>
              <w:rPr>
                <w:sz w:val="20"/>
              </w:rPr>
            </w:pPr>
            <w:r>
              <w:rPr>
                <w:color w:val="404040"/>
                <w:sz w:val="20"/>
              </w:rPr>
              <w:t>Optimizar el uso del agua, tanto superficial como subterránea, evitando la contaminación, el desperdicio y mal uso de ella.</w:t>
            </w:r>
          </w:p>
        </w:tc>
      </w:tr>
    </w:tbl>
    <w:p>
      <w:pPr>
        <w:spacing w:after="0"/>
        <w:jc w:val="both"/>
        <w:rPr>
          <w:sz w:val="20"/>
        </w:rPr>
        <w:sectPr>
          <w:pgSz w:w="12240" w:h="15840"/>
          <w:pgMar w:header="178" w:footer="1076" w:top="1120" w:bottom="1360" w:left="460" w:right="220"/>
        </w:sectPr>
      </w:pPr>
    </w:p>
    <w:p>
      <w:pPr>
        <w:pStyle w:val="BodyText"/>
        <w:rPr>
          <w:rFonts w:ascii="Times New Roman"/>
          <w:sz w:val="20"/>
        </w:rPr>
      </w:pPr>
    </w:p>
    <w:p>
      <w:pPr>
        <w:pStyle w:val="BodyText"/>
        <w:spacing w:before="6"/>
        <w:rPr>
          <w:rFonts w:ascii="Times New Roman"/>
          <w:sz w:val="25"/>
        </w:rPr>
      </w:pPr>
    </w:p>
    <w:p>
      <w:pPr>
        <w:pStyle w:val="BodyText"/>
        <w:ind w:left="920"/>
        <w:rPr>
          <w:rFonts w:ascii="Times New Roman"/>
          <w:sz w:val="20"/>
        </w:rPr>
      </w:pPr>
      <w:r>
        <w:rPr>
          <w:rFonts w:ascii="Times New Roman"/>
          <w:sz w:val="20"/>
        </w:rPr>
        <w:pict>
          <v:group style="width:467.4pt;height:383.25pt;mso-position-horizontal-relative:char;mso-position-vertical-relative:line" coordorigin="0,0" coordsize="9348,7665">
            <v:rect style="position:absolute;left:19;top:81;width:4558;height:7581" filled="true" fillcolor="#92cddc" stroked="false">
              <v:fill type="solid"/>
            </v:rect>
            <v:rect style="position:absolute;left:88;top:81;width:4419;height:281" filled="true" fillcolor="#92cddc" stroked="false">
              <v:fill type="solid"/>
            </v:rect>
            <v:rect style="position:absolute;left:88;top:362;width:4419;height:284" filled="true" fillcolor="#92cddc" stroked="false">
              <v:fill type="solid"/>
            </v:rect>
            <v:rect style="position:absolute;left:88;top:645;width:4419;height:281" filled="true" fillcolor="#92cddc" stroked="false">
              <v:fill type="solid"/>
            </v:rect>
            <v:rect style="position:absolute;left:88;top:926;width:4419;height:284" filled="true" fillcolor="#92cddc" stroked="false">
              <v:fill type="solid"/>
            </v:rect>
            <v:rect style="position:absolute;left:88;top:1209;width:4419;height:281" filled="true" fillcolor="#92cddc" stroked="false">
              <v:fill type="solid"/>
            </v:rect>
            <v:rect style="position:absolute;left:88;top:1490;width:4419;height:447" filled="true" fillcolor="#92cddc" stroked="false">
              <v:fill type="solid"/>
            </v:rect>
            <v:rect style="position:absolute;left:88;top:1936;width:4419;height:281" filled="true" fillcolor="#92cddc" stroked="false">
              <v:fill type="solid"/>
            </v:rect>
            <v:rect style="position:absolute;left:88;top:2217;width:4419;height:284" filled="true" fillcolor="#92cddc" stroked="false">
              <v:fill type="solid"/>
            </v:rect>
            <v:rect style="position:absolute;left:88;top:2500;width:4419;height:281" filled="true" fillcolor="#92cddc" stroked="false">
              <v:fill type="solid"/>
            </v:rect>
            <v:rect style="position:absolute;left:88;top:2781;width:4419;height:245" filled="true" fillcolor="#92cddc" stroked="false">
              <v:fill type="solid"/>
            </v:rect>
            <v:rect style="position:absolute;left:88;top:3026;width:4419;height:284" filled="true" fillcolor="#92cddc" stroked="false">
              <v:fill type="solid"/>
            </v:rect>
            <v:rect style="position:absolute;left:88;top:3309;width:4419;height:282" filled="true" fillcolor="#92cddc" stroked="false">
              <v:fill type="solid"/>
            </v:rect>
            <v:rect style="position:absolute;left:88;top:3591;width:4419;height:284" filled="true" fillcolor="#92cddc" stroked="false">
              <v:fill type="solid"/>
            </v:rect>
            <v:rect style="position:absolute;left:88;top:3874;width:4419;height:281" filled="true" fillcolor="#92cddc" stroked="false">
              <v:fill type="solid"/>
            </v:rect>
            <v:rect style="position:absolute;left:88;top:4155;width:4419;height:284" filled="true" fillcolor="#92cddc" stroked="false">
              <v:fill type="solid"/>
            </v:rect>
            <v:rect style="position:absolute;left:88;top:4438;width:4419;height:281" filled="true" fillcolor="#92cddc" stroked="false">
              <v:fill type="solid"/>
            </v:rect>
            <v:rect style="position:absolute;left:88;top:4719;width:4419;height:284" filled="true" fillcolor="#92cddc" stroked="false">
              <v:fill type="solid"/>
            </v:rect>
            <v:rect style="position:absolute;left:88;top:5002;width:4419;height:281" filled="true" fillcolor="#92cddc" stroked="false">
              <v:fill type="solid"/>
            </v:rect>
            <v:rect style="position:absolute;left:4596;top:81;width:4732;height:7581" filled="true" fillcolor="#a4d4e1" stroked="false">
              <v:fill type="solid"/>
            </v:rect>
            <v:rect style="position:absolute;left:19;top:0;width:4558;height:82" filled="true" fillcolor="#92cddc" stroked="false">
              <v:fill type="solid"/>
            </v:rect>
            <v:rect style="position:absolute;left:4596;top:0;width:4732;height:82" filled="true" fillcolor="#a4d4e1" stroked="false">
              <v:fill type="solid"/>
            </v:rect>
            <v:line style="position:absolute" from="10,7663" to="4587,7663" stroked="true" strokeweight=".12pt" strokecolor="#ced6e7">
              <v:stroke dashstyle="solid"/>
            </v:line>
            <v:rect style="position:absolute;left:9;top:7582;width:4578;height:80" filled="true" fillcolor="#92cddc" stroked="false">
              <v:fill type="solid"/>
            </v:rect>
            <v:line style="position:absolute" from="10,82" to="10,7664" stroked="true" strokeweight=".96pt" strokecolor="#ffffff">
              <v:stroke dashstyle="solid"/>
            </v:line>
            <v:line style="position:absolute" from="4587,7663" to="9338,7663" stroked="true" strokeweight=".12pt" strokecolor="#ced6e7">
              <v:stroke dashstyle="solid"/>
            </v:line>
            <v:rect style="position:absolute;left:4589;top:7582;width:4749;height:80" filled="true" fillcolor="#a4d4e1" stroked="false">
              <v:fill type="solid"/>
            </v:rect>
            <v:line style="position:absolute" from="4587,82" to="4587,7664" stroked="true" strokeweight=".95999pt" strokecolor="#ffffff">
              <v:stroke dashstyle="solid"/>
            </v:line>
            <v:line style="position:absolute" from="9338,82" to="9338,7664" stroked="true" strokeweight=".95996pt" strokecolor="#ffffff">
              <v:stroke dashstyle="solid"/>
            </v:line>
            <v:shape style="position:absolute;left:448;top:3313;width:4082;height:1937" type="#_x0000_t202" filled="false" stroked="false">
              <v:textbox inset="0,0,0,0">
                <w:txbxContent>
                  <w:p>
                    <w:pPr>
                      <w:spacing w:line="276" w:lineRule="auto" w:before="0"/>
                      <w:ind w:left="359" w:right="18" w:hanging="360"/>
                      <w:jc w:val="both"/>
                      <w:rPr>
                        <w:sz w:val="20"/>
                      </w:rPr>
                    </w:pPr>
                    <w:r>
                      <w:rPr>
                        <w:color w:val="404040"/>
                        <w:sz w:val="20"/>
                      </w:rPr>
                      <w:t>7. La planta de tratamiento  que funciona para la cabecera municipal, está llegando al límite de su capacidad puesto que no se encuentra modernizada ni se ha ampliado su capacidad en</w:t>
                    </w:r>
                    <w:r>
                      <w:rPr>
                        <w:color w:val="404040"/>
                        <w:spacing w:val="35"/>
                        <w:sz w:val="20"/>
                      </w:rPr>
                      <w:t> </w:t>
                    </w:r>
                    <w:r>
                      <w:rPr>
                        <w:color w:val="404040"/>
                        <w:sz w:val="20"/>
                      </w:rPr>
                      <w:t>los</w:t>
                    </w:r>
                  </w:p>
                  <w:p>
                    <w:pPr>
                      <w:spacing w:before="0"/>
                      <w:ind w:left="359" w:right="0" w:firstLine="0"/>
                      <w:jc w:val="both"/>
                      <w:rPr>
                        <w:sz w:val="20"/>
                      </w:rPr>
                    </w:pPr>
                    <w:r>
                      <w:rPr>
                        <w:color w:val="404040"/>
                        <w:sz w:val="20"/>
                      </w:rPr>
                      <w:t>últimos años.</w:t>
                    </w:r>
                  </w:p>
                </w:txbxContent>
              </v:textbox>
              <w10:wrap type="none"/>
            </v:shape>
            <v:shape style="position:absolute;left:448;top:1940;width:4078;height:809" type="#_x0000_t202" filled="false" stroked="false">
              <v:textbox inset="0,0,0,0">
                <w:txbxContent>
                  <w:p>
                    <w:pPr>
                      <w:spacing w:line="276" w:lineRule="auto" w:before="0"/>
                      <w:ind w:left="359" w:right="0" w:hanging="360"/>
                      <w:jc w:val="left"/>
                      <w:rPr>
                        <w:sz w:val="20"/>
                      </w:rPr>
                    </w:pPr>
                    <w:r>
                      <w:rPr>
                        <w:color w:val="404040"/>
                        <w:sz w:val="20"/>
                      </w:rPr>
                      <w:t>6. Dos localidades - Santa María y San Simón – tienen desabasto y mala</w:t>
                    </w:r>
                  </w:p>
                  <w:p>
                    <w:pPr>
                      <w:spacing w:before="0"/>
                      <w:ind w:left="359" w:right="0" w:firstLine="0"/>
                      <w:jc w:val="left"/>
                      <w:rPr>
                        <w:sz w:val="20"/>
                      </w:rPr>
                    </w:pPr>
                    <w:r>
                      <w:rPr>
                        <w:color w:val="404040"/>
                        <w:sz w:val="20"/>
                      </w:rPr>
                      <w:t>calidad del agua.</w:t>
                    </w:r>
                  </w:p>
                </w:txbxContent>
              </v:textbox>
              <w10:wrap type="none"/>
            </v:shape>
            <v:shape style="position:absolute;left:448;top:366;width:4077;height:1092" type="#_x0000_t202" filled="false" stroked="false">
              <v:textbox inset="0,0,0,0">
                <w:txbxContent>
                  <w:p>
                    <w:pPr>
                      <w:spacing w:line="276" w:lineRule="auto" w:before="0"/>
                      <w:ind w:left="359" w:right="18" w:hanging="360"/>
                      <w:jc w:val="both"/>
                      <w:rPr>
                        <w:sz w:val="20"/>
                      </w:rPr>
                    </w:pPr>
                    <w:r>
                      <w:rPr>
                        <w:color w:val="404040"/>
                        <w:sz w:val="20"/>
                      </w:rPr>
                      <w:t>5. Exceso de consumo de agua en los edificios públicos, donde los costos de operación ascienden a</w:t>
                    </w:r>
                    <w:r>
                      <w:rPr>
                        <w:color w:val="404040"/>
                        <w:spacing w:val="15"/>
                        <w:sz w:val="20"/>
                      </w:rPr>
                      <w:t> </w:t>
                    </w:r>
                    <w:r>
                      <w:rPr>
                        <w:color w:val="404040"/>
                        <w:sz w:val="20"/>
                      </w:rPr>
                      <w:t>1,200,000</w:t>
                    </w:r>
                  </w:p>
                  <w:p>
                    <w:pPr>
                      <w:spacing w:before="0"/>
                      <w:ind w:left="359" w:right="0" w:firstLine="0"/>
                      <w:jc w:val="both"/>
                      <w:rPr>
                        <w:sz w:val="20"/>
                      </w:rPr>
                    </w:pPr>
                    <w:r>
                      <w:rPr>
                        <w:color w:val="404040"/>
                        <w:sz w:val="20"/>
                      </w:rPr>
                      <w:t>anuales, mismo que no se recuperan.</w:t>
                    </w:r>
                  </w:p>
                </w:txbxContent>
              </v:textbox>
              <w10:wrap type="none"/>
            </v:shape>
          </v:group>
        </w:pict>
      </w:r>
      <w:r>
        <w:rPr>
          <w:rFonts w:ascii="Times New Roman"/>
          <w:sz w:val="20"/>
        </w:rPr>
      </w:r>
    </w:p>
    <w:p>
      <w:pPr>
        <w:spacing w:after="0"/>
        <w:rPr>
          <w:rFonts w:ascii="Times New Roman"/>
          <w:sz w:val="20"/>
        </w:rPr>
        <w:sectPr>
          <w:pgSz w:w="12240" w:h="15840"/>
          <w:pgMar w:header="178" w:footer="1076" w:top="1120" w:bottom="1360" w:left="460" w:right="220"/>
        </w:sectPr>
      </w:pPr>
    </w:p>
    <w:p>
      <w:pPr>
        <w:pStyle w:val="BodyText"/>
        <w:rPr>
          <w:rFonts w:ascii="Times New Roman"/>
          <w:sz w:val="20"/>
        </w:rPr>
      </w:pPr>
    </w:p>
    <w:p>
      <w:pPr>
        <w:pStyle w:val="BodyText"/>
        <w:spacing w:before="1"/>
        <w:rPr>
          <w:rFonts w:ascii="Times New Roman"/>
          <w:sz w:val="25"/>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477"/>
      </w:tblGrid>
      <w:tr>
        <w:trPr>
          <w:trHeight w:val="2153" w:hRule="atLeast"/>
        </w:trPr>
        <w:tc>
          <w:tcPr>
            <w:tcW w:w="4577" w:type="dxa"/>
            <w:tcBorders>
              <w:top w:val="nil"/>
              <w:bottom w:val="single" w:sz="2" w:space="0" w:color="CED6E7"/>
              <w:right w:val="single" w:sz="6" w:space="0" w:color="FFFFFF"/>
            </w:tcBorders>
            <w:shd w:val="clear" w:color="auto" w:fill="4AACC5"/>
          </w:tcPr>
          <w:p>
            <w:pPr>
              <w:pStyle w:val="TableParagraph"/>
              <w:spacing w:before="10"/>
              <w:rPr>
                <w:rFonts w:ascii="Times New Roman"/>
                <w:sz w:val="57"/>
              </w:rPr>
            </w:pPr>
          </w:p>
          <w:p>
            <w:pPr>
              <w:pStyle w:val="TableParagraph"/>
              <w:ind w:left="1204"/>
              <w:rPr>
                <w:rFonts w:ascii="Corbel"/>
                <w:sz w:val="48"/>
              </w:rPr>
            </w:pPr>
            <w:r>
              <w:rPr>
                <w:rFonts w:ascii="Corbel"/>
                <w:color w:val="FFFFFF"/>
                <w:sz w:val="48"/>
              </w:rPr>
              <w:t>Programas</w:t>
            </w:r>
          </w:p>
        </w:tc>
        <w:tc>
          <w:tcPr>
            <w:tcW w:w="4477" w:type="dxa"/>
            <w:tcBorders>
              <w:top w:val="nil"/>
              <w:left w:val="single" w:sz="6" w:space="0" w:color="FFFFFF"/>
              <w:bottom w:val="single" w:sz="2" w:space="0" w:color="CED6E7"/>
            </w:tcBorders>
            <w:shd w:val="clear" w:color="auto" w:fill="D2EAF0"/>
          </w:tcPr>
          <w:p>
            <w:pPr>
              <w:pStyle w:val="TableParagraph"/>
              <w:spacing w:before="1"/>
              <w:rPr>
                <w:rFonts w:ascii="Times New Roman"/>
                <w:sz w:val="52"/>
              </w:rPr>
            </w:pPr>
          </w:p>
          <w:p>
            <w:pPr>
              <w:pStyle w:val="TableParagraph"/>
              <w:ind w:left="1248"/>
              <w:rPr>
                <w:rFonts w:ascii="Corbel"/>
                <w:sz w:val="48"/>
              </w:rPr>
            </w:pPr>
            <w:r>
              <w:rPr>
                <w:rFonts w:ascii="Corbel"/>
                <w:color w:val="30849B"/>
                <w:sz w:val="48"/>
              </w:rPr>
              <w:t>Proyectos</w:t>
            </w:r>
          </w:p>
        </w:tc>
      </w:tr>
      <w:tr>
        <w:trPr>
          <w:trHeight w:val="9428" w:hRule="atLeast"/>
        </w:trPr>
        <w:tc>
          <w:tcPr>
            <w:tcW w:w="4577" w:type="dxa"/>
            <w:tcBorders>
              <w:top w:val="single" w:sz="2" w:space="0" w:color="CED6E7"/>
              <w:bottom w:val="single" w:sz="2" w:space="0" w:color="CED6E7"/>
            </w:tcBorders>
            <w:shd w:val="clear" w:color="auto" w:fill="92CDDC"/>
          </w:tcPr>
          <w:p>
            <w:pPr>
              <w:pStyle w:val="TableParagraph"/>
              <w:rPr>
                <w:rFonts w:ascii="Times New Roman"/>
                <w:sz w:val="20"/>
              </w:rPr>
            </w:pPr>
          </w:p>
          <w:p>
            <w:pPr>
              <w:pStyle w:val="TableParagraph"/>
              <w:rPr>
                <w:rFonts w:ascii="Times New Roman"/>
                <w:sz w:val="20"/>
              </w:rPr>
            </w:pPr>
          </w:p>
          <w:p>
            <w:pPr>
              <w:pStyle w:val="TableParagraph"/>
              <w:tabs>
                <w:tab w:pos="798" w:val="left" w:leader="none"/>
              </w:tabs>
              <w:spacing w:before="128"/>
              <w:ind w:left="438"/>
              <w:rPr>
                <w:rFonts w:ascii="Corbel" w:hAnsi="Corbel"/>
                <w:sz w:val="20"/>
              </w:rPr>
            </w:pPr>
            <w:r>
              <w:rPr>
                <w:rFonts w:ascii="Corbel" w:hAnsi="Corbel"/>
                <w:b/>
                <w:smallCaps/>
                <w:color w:val="404040"/>
                <w:spacing w:val="-1"/>
                <w:w w:val="99"/>
                <w:sz w:val="20"/>
              </w:rPr>
              <w:t>1</w:t>
            </w:r>
            <w:r>
              <w:rPr>
                <w:rFonts w:ascii="Corbel" w:hAnsi="Corbel"/>
                <w:b/>
                <w:smallCaps/>
                <w:color w:val="404040"/>
                <w:w w:val="99"/>
                <w:sz w:val="20"/>
              </w:rPr>
              <w:t>.</w:t>
            </w:r>
            <w:r>
              <w:rPr>
                <w:rFonts w:ascii="Corbel" w:hAnsi="Corbel"/>
                <w:b/>
                <w:smallCaps w:val="0"/>
                <w:color w:val="404040"/>
                <w:sz w:val="20"/>
              </w:rPr>
              <w:tab/>
            </w:r>
            <w:r>
              <w:rPr>
                <w:rFonts w:ascii="Corbel" w:hAnsi="Corbel"/>
                <w:smallCaps w:val="0"/>
                <w:color w:val="404040"/>
                <w:w w:val="99"/>
                <w:sz w:val="20"/>
              </w:rPr>
              <w:t>Optimiza</w:t>
            </w:r>
            <w:r>
              <w:rPr>
                <w:rFonts w:ascii="Corbel" w:hAnsi="Corbel"/>
                <w:smallCaps w:val="0"/>
                <w:color w:val="404040"/>
                <w:spacing w:val="-1"/>
                <w:w w:val="99"/>
                <w:sz w:val="20"/>
              </w:rPr>
              <w:t>c</w:t>
            </w:r>
            <w:r>
              <w:rPr>
                <w:rFonts w:ascii="Corbel" w:hAnsi="Corbel"/>
                <w:smallCaps w:val="0"/>
                <w:color w:val="404040"/>
                <w:spacing w:val="1"/>
                <w:w w:val="99"/>
                <w:sz w:val="20"/>
              </w:rPr>
              <w:t>i</w:t>
            </w:r>
            <w:r>
              <w:rPr>
                <w:rFonts w:ascii="Corbel" w:hAnsi="Corbel"/>
                <w:smallCaps w:val="0"/>
                <w:color w:val="404040"/>
                <w:spacing w:val="-1"/>
                <w:w w:val="99"/>
                <w:sz w:val="20"/>
              </w:rPr>
              <w:t>ó</w:t>
            </w:r>
            <w:r>
              <w:rPr>
                <w:rFonts w:ascii="Corbel" w:hAnsi="Corbel"/>
                <w:smallCaps w:val="0"/>
                <w:color w:val="404040"/>
                <w:w w:val="99"/>
                <w:sz w:val="20"/>
              </w:rPr>
              <w:t>n</w:t>
            </w:r>
            <w:r>
              <w:rPr>
                <w:rFonts w:ascii="Corbel" w:hAnsi="Corbel"/>
                <w:smallCaps w:val="0"/>
                <w:color w:val="404040"/>
                <w:spacing w:val="1"/>
                <w:sz w:val="20"/>
              </w:rPr>
              <w:t> </w:t>
            </w:r>
            <w:r>
              <w:rPr>
                <w:rFonts w:ascii="Corbel" w:hAnsi="Corbel"/>
                <w:smallCaps w:val="0"/>
                <w:color w:val="404040"/>
                <w:spacing w:val="1"/>
                <w:w w:val="99"/>
                <w:sz w:val="20"/>
              </w:rPr>
              <w:t>d</w:t>
            </w:r>
            <w:r>
              <w:rPr>
                <w:rFonts w:ascii="Corbel" w:hAnsi="Corbel"/>
                <w:smallCaps w:val="0"/>
                <w:color w:val="404040"/>
                <w:spacing w:val="-1"/>
                <w:w w:val="99"/>
                <w:sz w:val="20"/>
              </w:rPr>
              <w:t>e</w:t>
            </w:r>
            <w:r>
              <w:rPr>
                <w:rFonts w:ascii="Corbel" w:hAnsi="Corbel"/>
                <w:smallCaps w:val="0"/>
                <w:color w:val="404040"/>
                <w:w w:val="99"/>
                <w:sz w:val="20"/>
              </w:rPr>
              <w:t>l</w:t>
            </w:r>
            <w:r>
              <w:rPr>
                <w:rFonts w:ascii="Corbel" w:hAnsi="Corbel"/>
                <w:smallCaps w:val="0"/>
                <w:color w:val="404040"/>
                <w:sz w:val="20"/>
              </w:rPr>
              <w:t> </w:t>
            </w:r>
            <w:r>
              <w:rPr>
                <w:rFonts w:ascii="Corbel" w:hAnsi="Corbel"/>
                <w:smallCaps w:val="0"/>
                <w:color w:val="404040"/>
                <w:w w:val="99"/>
                <w:sz w:val="20"/>
              </w:rPr>
              <w:t>Agua.</w:t>
            </w:r>
          </w:p>
        </w:tc>
        <w:tc>
          <w:tcPr>
            <w:tcW w:w="4477" w:type="dxa"/>
            <w:tcBorders>
              <w:top w:val="single" w:sz="2" w:space="0" w:color="CED6E7"/>
              <w:bottom w:val="single" w:sz="2" w:space="0" w:color="CED6E7"/>
            </w:tcBorders>
            <w:shd w:val="clear" w:color="auto" w:fill="A4D4E1"/>
          </w:tcPr>
          <w:p>
            <w:pPr>
              <w:pStyle w:val="TableParagraph"/>
              <w:rPr>
                <w:rFonts w:ascii="Times New Roman"/>
                <w:sz w:val="20"/>
              </w:rPr>
            </w:pPr>
          </w:p>
          <w:p>
            <w:pPr>
              <w:pStyle w:val="TableParagraph"/>
              <w:spacing w:before="8"/>
              <w:rPr>
                <w:rFonts w:ascii="Times New Roman"/>
                <w:sz w:val="28"/>
              </w:rPr>
            </w:pPr>
          </w:p>
          <w:p>
            <w:pPr>
              <w:pStyle w:val="TableParagraph"/>
              <w:numPr>
                <w:ilvl w:val="0"/>
                <w:numId w:val="14"/>
              </w:numPr>
              <w:tabs>
                <w:tab w:pos="801" w:val="left" w:leader="none"/>
                <w:tab w:pos="802" w:val="left" w:leader="none"/>
              </w:tabs>
              <w:spacing w:line="273" w:lineRule="auto" w:before="1" w:after="0"/>
              <w:ind w:left="801" w:right="357" w:hanging="361"/>
              <w:jc w:val="left"/>
              <w:rPr>
                <w:rFonts w:ascii="Symbol" w:hAnsi="Symbol"/>
                <w:sz w:val="20"/>
              </w:rPr>
            </w:pPr>
            <w:r>
              <w:rPr>
                <w:rFonts w:ascii="Corbel" w:hAnsi="Corbel"/>
                <w:sz w:val="20"/>
              </w:rPr>
              <w:t>Conjuntamente con los agricultores, gestionar un proyecto para dotarlos de Infraestructura para riego más</w:t>
            </w:r>
            <w:r>
              <w:rPr>
                <w:rFonts w:ascii="Corbel" w:hAnsi="Corbel"/>
                <w:spacing w:val="-16"/>
                <w:sz w:val="20"/>
              </w:rPr>
              <w:t> </w:t>
            </w:r>
            <w:r>
              <w:rPr>
                <w:rFonts w:ascii="Corbel" w:hAnsi="Corbel"/>
                <w:sz w:val="20"/>
              </w:rPr>
              <w:t>eficiente.</w:t>
            </w:r>
          </w:p>
          <w:p>
            <w:pPr>
              <w:pStyle w:val="TableParagraph"/>
              <w:rPr>
                <w:rFonts w:ascii="Times New Roman"/>
                <w:sz w:val="20"/>
              </w:rPr>
            </w:pPr>
          </w:p>
          <w:p>
            <w:pPr>
              <w:pStyle w:val="TableParagraph"/>
              <w:spacing w:before="10"/>
              <w:rPr>
                <w:rFonts w:ascii="Times New Roman"/>
                <w:sz w:val="17"/>
              </w:rPr>
            </w:pPr>
          </w:p>
          <w:p>
            <w:pPr>
              <w:pStyle w:val="TableParagraph"/>
              <w:numPr>
                <w:ilvl w:val="0"/>
                <w:numId w:val="14"/>
              </w:numPr>
              <w:tabs>
                <w:tab w:pos="801" w:val="left" w:leader="none"/>
                <w:tab w:pos="802" w:val="left" w:leader="none"/>
              </w:tabs>
              <w:spacing w:line="276" w:lineRule="auto" w:before="1" w:after="0"/>
              <w:ind w:left="801" w:right="76" w:hanging="361"/>
              <w:jc w:val="left"/>
              <w:rPr>
                <w:rFonts w:ascii="Symbol" w:hAnsi="Symbol"/>
                <w:sz w:val="20"/>
              </w:rPr>
            </w:pPr>
            <w:r>
              <w:rPr>
                <w:rFonts w:ascii="Corbel" w:hAnsi="Corbel"/>
                <w:sz w:val="20"/>
              </w:rPr>
              <w:t>Elaborar un magno proyecto de captación</w:t>
            </w:r>
            <w:r>
              <w:rPr>
                <w:rFonts w:ascii="Corbel" w:hAnsi="Corbel"/>
                <w:spacing w:val="-15"/>
                <w:sz w:val="20"/>
              </w:rPr>
              <w:t> </w:t>
            </w:r>
            <w:r>
              <w:rPr>
                <w:rFonts w:ascii="Corbel" w:hAnsi="Corbel"/>
                <w:sz w:val="20"/>
              </w:rPr>
              <w:t>y almacenamiento de agua para zona de riego y aprovechamiento de las aguas pluviales</w:t>
            </w:r>
            <w:r>
              <w:rPr>
                <w:rFonts w:ascii="Arial" w:hAnsi="Arial"/>
                <w:sz w:val="20"/>
              </w:rPr>
              <w:t>.</w:t>
            </w:r>
          </w:p>
          <w:p>
            <w:pPr>
              <w:pStyle w:val="TableParagraph"/>
              <w:rPr>
                <w:rFonts w:ascii="Times New Roman"/>
                <w:sz w:val="22"/>
              </w:rPr>
            </w:pPr>
          </w:p>
          <w:p>
            <w:pPr>
              <w:pStyle w:val="TableParagraph"/>
              <w:numPr>
                <w:ilvl w:val="0"/>
                <w:numId w:val="14"/>
              </w:numPr>
              <w:tabs>
                <w:tab w:pos="785" w:val="left" w:leader="none"/>
                <w:tab w:pos="786" w:val="left" w:leader="none"/>
              </w:tabs>
              <w:spacing w:line="276" w:lineRule="auto" w:before="177" w:after="0"/>
              <w:ind w:left="785" w:right="102" w:hanging="344"/>
              <w:jc w:val="left"/>
              <w:rPr>
                <w:rFonts w:ascii="Symbol" w:hAnsi="Symbol"/>
                <w:sz w:val="21"/>
              </w:rPr>
            </w:pPr>
            <w:r>
              <w:rPr>
                <w:rFonts w:ascii="Corbel" w:hAnsi="Corbel"/>
                <w:sz w:val="20"/>
              </w:rPr>
              <w:t>Regular y normar el uso y</w:t>
            </w:r>
            <w:r>
              <w:rPr>
                <w:rFonts w:ascii="Corbel" w:hAnsi="Corbel"/>
                <w:spacing w:val="-20"/>
                <w:sz w:val="20"/>
              </w:rPr>
              <w:t> </w:t>
            </w:r>
            <w:r>
              <w:rPr>
                <w:rFonts w:ascii="Corbel" w:hAnsi="Corbel"/>
                <w:sz w:val="20"/>
              </w:rPr>
              <w:t>aprovechamiento de agua potable en edificios públicos, edificios de organismos no gubernamentales y de instituciones con carácter de servicio.</w:t>
            </w:r>
          </w:p>
          <w:p>
            <w:pPr>
              <w:pStyle w:val="TableParagraph"/>
              <w:spacing w:before="2"/>
              <w:rPr>
                <w:rFonts w:ascii="Times New Roman"/>
                <w:sz w:val="24"/>
              </w:rPr>
            </w:pPr>
          </w:p>
          <w:p>
            <w:pPr>
              <w:pStyle w:val="TableParagraph"/>
              <w:numPr>
                <w:ilvl w:val="0"/>
                <w:numId w:val="14"/>
              </w:numPr>
              <w:tabs>
                <w:tab w:pos="768" w:val="left" w:leader="none"/>
                <w:tab w:pos="769" w:val="left" w:leader="none"/>
              </w:tabs>
              <w:spacing w:line="276" w:lineRule="auto" w:before="1" w:after="0"/>
              <w:ind w:left="768" w:right="140" w:hanging="327"/>
              <w:jc w:val="left"/>
              <w:rPr>
                <w:rFonts w:ascii="Symbol" w:hAnsi="Symbol"/>
                <w:sz w:val="20"/>
              </w:rPr>
            </w:pPr>
            <w:r>
              <w:rPr>
                <w:rFonts w:ascii="Corbel" w:hAnsi="Corbel"/>
                <w:sz w:val="20"/>
              </w:rPr>
              <w:t>Gestionar un proyecto para Implementar canales de riego o aspersión (por goteo) para el uso y aprovechamiento del agua</w:t>
            </w:r>
            <w:r>
              <w:rPr>
                <w:rFonts w:ascii="Corbel" w:hAnsi="Corbel"/>
                <w:spacing w:val="-14"/>
                <w:sz w:val="20"/>
              </w:rPr>
              <w:t> </w:t>
            </w:r>
            <w:r>
              <w:rPr>
                <w:rFonts w:ascii="Corbel" w:hAnsi="Corbel"/>
                <w:sz w:val="20"/>
              </w:rPr>
              <w:t>del “trigo” (bordo).</w:t>
            </w:r>
          </w:p>
          <w:p>
            <w:pPr>
              <w:pStyle w:val="TableParagraph"/>
              <w:spacing w:before="6"/>
              <w:rPr>
                <w:rFonts w:ascii="Times New Roman"/>
                <w:sz w:val="24"/>
              </w:rPr>
            </w:pPr>
          </w:p>
          <w:p>
            <w:pPr>
              <w:pStyle w:val="TableParagraph"/>
              <w:numPr>
                <w:ilvl w:val="0"/>
                <w:numId w:val="14"/>
              </w:numPr>
              <w:tabs>
                <w:tab w:pos="768" w:val="left" w:leader="none"/>
                <w:tab w:pos="769" w:val="left" w:leader="none"/>
              </w:tabs>
              <w:spacing w:line="273" w:lineRule="auto" w:before="0" w:after="0"/>
              <w:ind w:left="768" w:right="475" w:hanging="327"/>
              <w:jc w:val="left"/>
              <w:rPr>
                <w:rFonts w:ascii="Symbol" w:hAnsi="Symbol"/>
                <w:sz w:val="20"/>
              </w:rPr>
            </w:pPr>
            <w:r>
              <w:rPr>
                <w:rFonts w:ascii="Corbel" w:hAnsi="Corbel"/>
                <w:sz w:val="20"/>
              </w:rPr>
              <w:t>Revisión de las redes de distribución de agua, mantenimiento de las mismas y contratación de tomas clandestinas detectadas.</w:t>
            </w:r>
          </w:p>
          <w:p>
            <w:pPr>
              <w:pStyle w:val="TableParagraph"/>
              <w:numPr>
                <w:ilvl w:val="0"/>
                <w:numId w:val="14"/>
              </w:numPr>
              <w:tabs>
                <w:tab w:pos="768" w:val="left" w:leader="none"/>
                <w:tab w:pos="769" w:val="left" w:leader="none"/>
              </w:tabs>
              <w:spacing w:line="273" w:lineRule="auto" w:before="8" w:after="0"/>
              <w:ind w:left="768" w:right="201" w:hanging="327"/>
              <w:jc w:val="left"/>
              <w:rPr>
                <w:rFonts w:ascii="Symbol" w:hAnsi="Symbol"/>
                <w:sz w:val="20"/>
              </w:rPr>
            </w:pPr>
            <w:r>
              <w:rPr>
                <w:rFonts w:ascii="Corbel" w:hAnsi="Corbel"/>
                <w:sz w:val="20"/>
              </w:rPr>
              <w:t>Mejorar el sistema de cobro de los excesos en los consumos de agua del centro de la ciudad.</w:t>
            </w:r>
          </w:p>
          <w:p>
            <w:pPr>
              <w:pStyle w:val="TableParagraph"/>
              <w:spacing w:before="9"/>
              <w:rPr>
                <w:rFonts w:ascii="Times New Roman"/>
                <w:sz w:val="23"/>
              </w:rPr>
            </w:pPr>
          </w:p>
          <w:p>
            <w:pPr>
              <w:pStyle w:val="TableParagraph"/>
              <w:numPr>
                <w:ilvl w:val="0"/>
                <w:numId w:val="14"/>
              </w:numPr>
              <w:tabs>
                <w:tab w:pos="768" w:val="left" w:leader="none"/>
                <w:tab w:pos="769" w:val="left" w:leader="none"/>
              </w:tabs>
              <w:spacing w:line="271" w:lineRule="auto" w:before="0" w:after="0"/>
              <w:ind w:left="768" w:right="136" w:hanging="327"/>
              <w:jc w:val="left"/>
              <w:rPr>
                <w:rFonts w:ascii="Symbol" w:hAnsi="Symbol"/>
                <w:sz w:val="20"/>
              </w:rPr>
            </w:pPr>
            <w:r>
              <w:rPr>
                <w:rFonts w:ascii="Corbel" w:hAnsi="Corbel"/>
                <w:sz w:val="20"/>
              </w:rPr>
              <w:t>Modernización y ampliación de la planta</w:t>
            </w:r>
            <w:r>
              <w:rPr>
                <w:rFonts w:ascii="Corbel" w:hAnsi="Corbel"/>
                <w:spacing w:val="-18"/>
                <w:sz w:val="20"/>
              </w:rPr>
              <w:t> </w:t>
            </w:r>
            <w:r>
              <w:rPr>
                <w:rFonts w:ascii="Corbel" w:hAnsi="Corbel"/>
                <w:sz w:val="20"/>
              </w:rPr>
              <w:t>de tratamiento del municipio.</w:t>
            </w:r>
          </w:p>
        </w:tc>
      </w:tr>
    </w:tbl>
    <w:p>
      <w:pPr>
        <w:spacing w:after="0" w:line="271" w:lineRule="auto"/>
        <w:jc w:val="left"/>
        <w:rPr>
          <w:rFonts w:ascii="Symbol" w:hAnsi="Symbol"/>
          <w:sz w:val="20"/>
        </w:rPr>
        <w:sectPr>
          <w:pgSz w:w="12240" w:h="15840"/>
          <w:pgMar w:header="178" w:footer="1076" w:top="1120" w:bottom="1340" w:left="460" w:right="220"/>
        </w:sectPr>
      </w:pPr>
    </w:p>
    <w:p>
      <w:pPr>
        <w:pStyle w:val="BodyText"/>
        <w:rPr>
          <w:rFonts w:ascii="Times New Roman"/>
          <w:sz w:val="20"/>
        </w:rPr>
      </w:pPr>
      <w:r>
        <w:rPr/>
        <w:pict>
          <v:line style="position:absolute;mso-position-horizontal-relative:page;mso-position-vertical-relative:page;z-index:-262356992" from="298.369995pt,87.139999pt" to="298.369995pt,430.749999pt" stroked="true" strokeweight=".95999pt" strokecolor="#ffffff">
            <v:stroke dashstyle="solid"/>
            <w10:wrap type="none"/>
          </v:line>
        </w:pict>
      </w:r>
      <w:r>
        <w:rPr/>
        <w:pict>
          <v:line style="position:absolute;mso-position-horizontal-relative:page;mso-position-vertical-relative:page;z-index:-262355968" from="298.369995pt,473.359985pt" to="298.369995pt,632.259985pt" stroked="true" strokeweight=".95999pt" strokecolor="#ffffff">
            <v:stroke dashstyle="solid"/>
            <w10:wrap type="none"/>
          </v:line>
        </w:pict>
      </w:r>
    </w:p>
    <w:p>
      <w:pPr>
        <w:pStyle w:val="BodyText"/>
        <w:spacing w:before="6"/>
        <w:rPr>
          <w:rFonts w:ascii="Times New Roman"/>
          <w:sz w:val="25"/>
        </w:rPr>
      </w:pPr>
    </w:p>
    <w:tbl>
      <w:tblPr>
        <w:tblW w:w="0" w:type="auto"/>
        <w:jc w:val="left"/>
        <w:tblInd w:w="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77"/>
        <w:gridCol w:w="4477"/>
      </w:tblGrid>
      <w:tr>
        <w:trPr>
          <w:trHeight w:val="6953" w:hRule="atLeast"/>
        </w:trPr>
        <w:tc>
          <w:tcPr>
            <w:tcW w:w="4577" w:type="dxa"/>
            <w:tcBorders>
              <w:left w:val="single" w:sz="8" w:space="0" w:color="FFFFFF"/>
            </w:tcBorders>
            <w:shd w:val="clear" w:color="auto" w:fill="92CDDC"/>
          </w:tcPr>
          <w:p>
            <w:pPr>
              <w:pStyle w:val="TableParagraph"/>
              <w:rPr>
                <w:rFonts w:ascii="Times New Roman"/>
                <w:sz w:val="20"/>
              </w:rPr>
            </w:pPr>
          </w:p>
          <w:p>
            <w:pPr>
              <w:pStyle w:val="TableParagraph"/>
              <w:spacing w:before="6"/>
              <w:rPr>
                <w:rFonts w:ascii="Times New Roman"/>
                <w:sz w:val="29"/>
              </w:rPr>
            </w:pPr>
          </w:p>
          <w:p>
            <w:pPr>
              <w:pStyle w:val="TableParagraph"/>
              <w:tabs>
                <w:tab w:pos="791" w:val="left" w:leader="none"/>
              </w:tabs>
              <w:spacing w:line="276" w:lineRule="auto" w:before="1"/>
              <w:ind w:left="791" w:right="546" w:hanging="356"/>
              <w:rPr>
                <w:rFonts w:ascii="Corbel" w:hAnsi="Corbel"/>
                <w:sz w:val="20"/>
              </w:rPr>
            </w:pPr>
            <w:r>
              <w:rPr>
                <w:rFonts w:ascii="Corbel" w:hAnsi="Corbel"/>
                <w:smallCaps/>
                <w:color w:val="404040"/>
                <w:spacing w:val="-1"/>
                <w:w w:val="99"/>
                <w:sz w:val="20"/>
              </w:rPr>
              <w:t>2</w:t>
            </w:r>
            <w:r>
              <w:rPr>
                <w:rFonts w:ascii="Corbel" w:hAnsi="Corbel"/>
                <w:smallCaps/>
                <w:color w:val="404040"/>
                <w:w w:val="99"/>
                <w:sz w:val="20"/>
              </w:rPr>
              <w:t>.</w:t>
            </w:r>
            <w:r>
              <w:rPr>
                <w:rFonts w:ascii="Corbel" w:hAnsi="Corbel"/>
                <w:smallCaps w:val="0"/>
                <w:color w:val="404040"/>
                <w:sz w:val="20"/>
              </w:rPr>
              <w:tab/>
            </w:r>
            <w:r>
              <w:rPr>
                <w:rFonts w:ascii="Corbel" w:hAnsi="Corbel"/>
                <w:smallCaps w:val="0"/>
                <w:color w:val="404040"/>
                <w:w w:val="99"/>
                <w:sz w:val="20"/>
              </w:rPr>
              <w:t>S</w:t>
            </w:r>
            <w:r>
              <w:rPr>
                <w:rFonts w:ascii="Corbel" w:hAnsi="Corbel"/>
                <w:smallCaps w:val="0"/>
                <w:color w:val="404040"/>
                <w:spacing w:val="1"/>
                <w:w w:val="99"/>
                <w:sz w:val="20"/>
              </w:rPr>
              <w:t>a</w:t>
            </w:r>
            <w:r>
              <w:rPr>
                <w:rFonts w:ascii="Corbel" w:hAnsi="Corbel"/>
                <w:smallCaps w:val="0"/>
                <w:color w:val="404040"/>
                <w:w w:val="99"/>
                <w:sz w:val="20"/>
              </w:rPr>
              <w:t>n</w:t>
            </w:r>
            <w:r>
              <w:rPr>
                <w:rFonts w:ascii="Corbel" w:hAnsi="Corbel"/>
                <w:smallCaps w:val="0"/>
                <w:color w:val="404040"/>
                <w:spacing w:val="-1"/>
                <w:w w:val="99"/>
                <w:sz w:val="20"/>
              </w:rPr>
              <w:t>e</w:t>
            </w:r>
            <w:r>
              <w:rPr>
                <w:rFonts w:ascii="Corbel" w:hAnsi="Corbel"/>
                <w:smallCaps w:val="0"/>
                <w:color w:val="404040"/>
                <w:w w:val="99"/>
                <w:sz w:val="20"/>
              </w:rPr>
              <w:t>ami</w:t>
            </w:r>
            <w:r>
              <w:rPr>
                <w:rFonts w:ascii="Corbel" w:hAnsi="Corbel"/>
                <w:smallCaps w:val="0"/>
                <w:color w:val="404040"/>
                <w:spacing w:val="-1"/>
                <w:w w:val="99"/>
                <w:sz w:val="20"/>
              </w:rPr>
              <w:t>e</w:t>
            </w:r>
            <w:r>
              <w:rPr>
                <w:rFonts w:ascii="Corbel" w:hAnsi="Corbel"/>
                <w:smallCaps w:val="0"/>
                <w:color w:val="404040"/>
                <w:w w:val="99"/>
                <w:sz w:val="20"/>
              </w:rPr>
              <w:t>n</w:t>
            </w:r>
            <w:r>
              <w:rPr>
                <w:rFonts w:ascii="Corbel" w:hAnsi="Corbel"/>
                <w:smallCaps w:val="0"/>
                <w:color w:val="404040"/>
                <w:spacing w:val="-1"/>
                <w:w w:val="99"/>
                <w:sz w:val="20"/>
              </w:rPr>
              <w:t>t</w:t>
            </w:r>
            <w:r>
              <w:rPr>
                <w:rFonts w:ascii="Corbel" w:hAnsi="Corbel"/>
                <w:smallCaps w:val="0"/>
                <w:color w:val="404040"/>
                <w:w w:val="99"/>
                <w:sz w:val="20"/>
              </w:rPr>
              <w:t>o</w:t>
            </w:r>
            <w:r>
              <w:rPr>
                <w:rFonts w:ascii="Corbel" w:hAnsi="Corbel"/>
                <w:smallCaps w:val="0"/>
                <w:color w:val="404040"/>
                <w:spacing w:val="1"/>
                <w:sz w:val="20"/>
              </w:rPr>
              <w:t> </w:t>
            </w:r>
            <w:r>
              <w:rPr>
                <w:rFonts w:ascii="Corbel" w:hAnsi="Corbel"/>
                <w:smallCaps w:val="0"/>
                <w:color w:val="404040"/>
                <w:w w:val="99"/>
                <w:sz w:val="20"/>
              </w:rPr>
              <w:t>y</w:t>
            </w:r>
            <w:r>
              <w:rPr>
                <w:rFonts w:ascii="Corbel" w:hAnsi="Corbel"/>
                <w:smallCaps w:val="0"/>
                <w:color w:val="404040"/>
                <w:spacing w:val="1"/>
                <w:sz w:val="20"/>
              </w:rPr>
              <w:t> </w:t>
            </w:r>
            <w:r>
              <w:rPr>
                <w:rFonts w:ascii="Corbel" w:hAnsi="Corbel"/>
                <w:smallCaps w:val="0"/>
                <w:color w:val="404040"/>
                <w:spacing w:val="-1"/>
                <w:w w:val="99"/>
                <w:sz w:val="20"/>
              </w:rPr>
              <w:t>v</w:t>
            </w:r>
            <w:r>
              <w:rPr>
                <w:rFonts w:ascii="Corbel" w:hAnsi="Corbel"/>
                <w:smallCaps w:val="0"/>
                <w:color w:val="404040"/>
                <w:spacing w:val="1"/>
                <w:w w:val="99"/>
                <w:sz w:val="20"/>
              </w:rPr>
              <w:t>i</w:t>
            </w:r>
            <w:r>
              <w:rPr>
                <w:rFonts w:ascii="Corbel" w:hAnsi="Corbel"/>
                <w:smallCaps w:val="0"/>
                <w:color w:val="404040"/>
                <w:w w:val="99"/>
                <w:sz w:val="20"/>
              </w:rPr>
              <w:t>g</w:t>
            </w:r>
            <w:r>
              <w:rPr>
                <w:rFonts w:ascii="Corbel" w:hAnsi="Corbel"/>
                <w:smallCaps w:val="0"/>
                <w:color w:val="404040"/>
                <w:spacing w:val="-1"/>
                <w:w w:val="99"/>
                <w:sz w:val="20"/>
              </w:rPr>
              <w:t>il</w:t>
            </w:r>
            <w:r>
              <w:rPr>
                <w:rFonts w:ascii="Corbel" w:hAnsi="Corbel"/>
                <w:smallCaps w:val="0"/>
                <w:color w:val="404040"/>
                <w:w w:val="99"/>
                <w:sz w:val="20"/>
              </w:rPr>
              <w:t>a</w:t>
            </w:r>
            <w:r>
              <w:rPr>
                <w:rFonts w:ascii="Corbel" w:hAnsi="Corbel"/>
                <w:smallCaps w:val="0"/>
                <w:color w:val="404040"/>
                <w:spacing w:val="2"/>
                <w:w w:val="99"/>
                <w:sz w:val="20"/>
              </w:rPr>
              <w:t>n</w:t>
            </w:r>
            <w:r>
              <w:rPr>
                <w:rFonts w:ascii="Corbel" w:hAnsi="Corbel"/>
                <w:smallCaps w:val="0"/>
                <w:color w:val="404040"/>
                <w:spacing w:val="-1"/>
                <w:w w:val="99"/>
                <w:sz w:val="20"/>
              </w:rPr>
              <w:t>ci</w:t>
            </w:r>
            <w:r>
              <w:rPr>
                <w:rFonts w:ascii="Corbel" w:hAnsi="Corbel"/>
                <w:smallCaps w:val="0"/>
                <w:color w:val="404040"/>
                <w:w w:val="99"/>
                <w:sz w:val="20"/>
              </w:rPr>
              <w:t>a</w:t>
            </w:r>
            <w:r>
              <w:rPr>
                <w:rFonts w:ascii="Corbel" w:hAnsi="Corbel"/>
                <w:smallCaps w:val="0"/>
                <w:color w:val="404040"/>
                <w:spacing w:val="2"/>
                <w:sz w:val="20"/>
              </w:rPr>
              <w:t> </w:t>
            </w:r>
            <w:r>
              <w:rPr>
                <w:rFonts w:ascii="Corbel" w:hAnsi="Corbel"/>
                <w:smallCaps w:val="0"/>
                <w:color w:val="404040"/>
                <w:spacing w:val="-2"/>
                <w:w w:val="99"/>
                <w:sz w:val="20"/>
              </w:rPr>
              <w:t>d</w:t>
            </w:r>
            <w:r>
              <w:rPr>
                <w:rFonts w:ascii="Corbel" w:hAnsi="Corbel"/>
                <w:smallCaps w:val="0"/>
                <w:color w:val="404040"/>
                <w:w w:val="99"/>
                <w:sz w:val="20"/>
              </w:rPr>
              <w:t>e</w:t>
            </w:r>
            <w:r>
              <w:rPr>
                <w:rFonts w:ascii="Corbel" w:hAnsi="Corbel"/>
                <w:smallCaps w:val="0"/>
                <w:color w:val="404040"/>
                <w:spacing w:val="2"/>
                <w:sz w:val="20"/>
              </w:rPr>
              <w:t> </w:t>
            </w:r>
            <w:r>
              <w:rPr>
                <w:rFonts w:ascii="Corbel" w:hAnsi="Corbel"/>
                <w:smallCaps w:val="0"/>
                <w:color w:val="404040"/>
                <w:spacing w:val="1"/>
                <w:w w:val="99"/>
                <w:sz w:val="20"/>
              </w:rPr>
              <w:t>l</w:t>
            </w:r>
            <w:r>
              <w:rPr>
                <w:rFonts w:ascii="Corbel" w:hAnsi="Corbel"/>
                <w:smallCaps w:val="0"/>
                <w:color w:val="404040"/>
                <w:w w:val="99"/>
                <w:sz w:val="20"/>
              </w:rPr>
              <w:t>as</w:t>
            </w:r>
            <w:r>
              <w:rPr>
                <w:rFonts w:ascii="Corbel" w:hAnsi="Corbel"/>
                <w:smallCaps w:val="0"/>
                <w:color w:val="404040"/>
                <w:spacing w:val="2"/>
                <w:sz w:val="20"/>
              </w:rPr>
              <w:t> </w:t>
            </w:r>
            <w:r>
              <w:rPr>
                <w:rFonts w:ascii="Corbel" w:hAnsi="Corbel"/>
                <w:smallCaps w:val="0"/>
                <w:color w:val="404040"/>
                <w:spacing w:val="-1"/>
                <w:w w:val="99"/>
                <w:sz w:val="20"/>
              </w:rPr>
              <w:t>f</w:t>
            </w:r>
            <w:r>
              <w:rPr>
                <w:rFonts w:ascii="Corbel" w:hAnsi="Corbel"/>
                <w:smallCaps w:val="0"/>
                <w:color w:val="404040"/>
                <w:w w:val="99"/>
                <w:sz w:val="20"/>
              </w:rPr>
              <w:t>u</w:t>
            </w:r>
            <w:r>
              <w:rPr>
                <w:rFonts w:ascii="Corbel" w:hAnsi="Corbel"/>
                <w:smallCaps w:val="0"/>
                <w:color w:val="404040"/>
                <w:spacing w:val="-1"/>
                <w:w w:val="99"/>
                <w:sz w:val="20"/>
              </w:rPr>
              <w:t>e</w:t>
            </w:r>
            <w:r>
              <w:rPr>
                <w:rFonts w:ascii="Corbel" w:hAnsi="Corbel"/>
                <w:smallCaps w:val="0"/>
                <w:color w:val="404040"/>
                <w:w w:val="99"/>
                <w:sz w:val="20"/>
              </w:rPr>
              <w:t>n</w:t>
            </w:r>
            <w:r>
              <w:rPr>
                <w:rFonts w:ascii="Corbel" w:hAnsi="Corbel"/>
                <w:smallCaps w:val="0"/>
                <w:color w:val="404040"/>
                <w:spacing w:val="-1"/>
                <w:w w:val="99"/>
                <w:sz w:val="20"/>
              </w:rPr>
              <w:t>tes h</w:t>
            </w:r>
            <w:r>
              <w:rPr>
                <w:rFonts w:ascii="Corbel" w:hAnsi="Corbel"/>
                <w:smallCaps w:val="0"/>
                <w:color w:val="404040"/>
                <w:spacing w:val="-2"/>
                <w:w w:val="99"/>
                <w:sz w:val="20"/>
              </w:rPr>
              <w:t>íd</w:t>
            </w:r>
            <w:r>
              <w:rPr>
                <w:rFonts w:ascii="Corbel" w:hAnsi="Corbel"/>
                <w:smallCaps w:val="0"/>
                <w:color w:val="404040"/>
                <w:spacing w:val="2"/>
                <w:w w:val="99"/>
                <w:sz w:val="20"/>
              </w:rPr>
              <w:t>r</w:t>
            </w:r>
            <w:r>
              <w:rPr>
                <w:rFonts w:ascii="Corbel" w:hAnsi="Corbel"/>
                <w:smallCaps w:val="0"/>
                <w:color w:val="404040"/>
                <w:spacing w:val="-1"/>
                <w:w w:val="99"/>
                <w:sz w:val="20"/>
              </w:rPr>
              <w:t>ic</w:t>
            </w:r>
            <w:r>
              <w:rPr>
                <w:rFonts w:ascii="Corbel" w:hAnsi="Corbel"/>
                <w:smallCaps w:val="0"/>
                <w:color w:val="404040"/>
                <w:w w:val="99"/>
                <w:sz w:val="20"/>
              </w:rPr>
              <w:t>as</w:t>
            </w:r>
          </w:p>
        </w:tc>
        <w:tc>
          <w:tcPr>
            <w:tcW w:w="4477" w:type="dxa"/>
            <w:tcBorders>
              <w:right w:val="single" w:sz="8" w:space="0" w:color="FFFFFF"/>
            </w:tcBorders>
            <w:shd w:val="clear" w:color="auto" w:fill="B6DDE8"/>
          </w:tcPr>
          <w:p>
            <w:pPr>
              <w:pStyle w:val="TableParagraph"/>
              <w:rPr>
                <w:rFonts w:ascii="Times New Roman"/>
                <w:sz w:val="20"/>
              </w:rPr>
            </w:pPr>
          </w:p>
          <w:p>
            <w:pPr>
              <w:pStyle w:val="TableParagraph"/>
              <w:rPr>
                <w:rFonts w:ascii="Times New Roman"/>
                <w:sz w:val="27"/>
              </w:rPr>
            </w:pPr>
          </w:p>
          <w:p>
            <w:pPr>
              <w:pStyle w:val="TableParagraph"/>
              <w:numPr>
                <w:ilvl w:val="0"/>
                <w:numId w:val="15"/>
              </w:numPr>
              <w:tabs>
                <w:tab w:pos="811" w:val="left" w:leader="none"/>
                <w:tab w:pos="812" w:val="left" w:leader="none"/>
              </w:tabs>
              <w:spacing w:line="276" w:lineRule="auto" w:before="0" w:after="0"/>
              <w:ind w:left="811" w:right="188" w:hanging="361"/>
              <w:jc w:val="left"/>
              <w:rPr>
                <w:rFonts w:ascii="Symbol" w:hAnsi="Symbol"/>
                <w:sz w:val="20"/>
              </w:rPr>
            </w:pPr>
            <w:r>
              <w:rPr>
                <w:rFonts w:ascii="Corbel" w:hAnsi="Corbel"/>
                <w:sz w:val="20"/>
              </w:rPr>
              <w:t>Construcción de planta de tratamiento de aguas negras o sistemas de saneamiento de aguas en las delegaciones y</w:t>
            </w:r>
            <w:r>
              <w:rPr>
                <w:rFonts w:ascii="Corbel" w:hAnsi="Corbel"/>
                <w:spacing w:val="-17"/>
                <w:sz w:val="20"/>
              </w:rPr>
              <w:t> </w:t>
            </w:r>
            <w:r>
              <w:rPr>
                <w:rFonts w:ascii="Corbel" w:hAnsi="Corbel"/>
                <w:sz w:val="20"/>
              </w:rPr>
              <w:t>localidades que así lo</w:t>
            </w:r>
            <w:r>
              <w:rPr>
                <w:rFonts w:ascii="Corbel" w:hAnsi="Corbel"/>
                <w:spacing w:val="-1"/>
                <w:sz w:val="20"/>
              </w:rPr>
              <w:t> </w:t>
            </w:r>
            <w:r>
              <w:rPr>
                <w:rFonts w:ascii="Corbel" w:hAnsi="Corbel"/>
                <w:sz w:val="20"/>
              </w:rPr>
              <w:t>requieren.</w:t>
            </w:r>
          </w:p>
          <w:p>
            <w:pPr>
              <w:pStyle w:val="TableParagraph"/>
              <w:rPr>
                <w:rFonts w:ascii="Times New Roman"/>
                <w:sz w:val="23"/>
              </w:rPr>
            </w:pPr>
          </w:p>
          <w:p>
            <w:pPr>
              <w:pStyle w:val="TableParagraph"/>
              <w:numPr>
                <w:ilvl w:val="0"/>
                <w:numId w:val="15"/>
              </w:numPr>
              <w:tabs>
                <w:tab w:pos="811" w:val="left" w:leader="none"/>
                <w:tab w:pos="812" w:val="left" w:leader="none"/>
              </w:tabs>
              <w:spacing w:line="271" w:lineRule="auto" w:before="1" w:after="0"/>
              <w:ind w:left="811" w:right="417" w:hanging="361"/>
              <w:jc w:val="left"/>
              <w:rPr>
                <w:rFonts w:ascii="Symbol" w:hAnsi="Symbol"/>
                <w:sz w:val="20"/>
              </w:rPr>
            </w:pPr>
            <w:r>
              <w:rPr>
                <w:rFonts w:ascii="Corbel" w:hAnsi="Corbel"/>
                <w:sz w:val="20"/>
              </w:rPr>
              <w:t>Saneamiento y conservación de presas, arroyos y laguna de</w:t>
            </w:r>
            <w:r>
              <w:rPr>
                <w:rFonts w:ascii="Corbel" w:hAnsi="Corbel"/>
                <w:spacing w:val="1"/>
                <w:sz w:val="20"/>
              </w:rPr>
              <w:t> </w:t>
            </w:r>
            <w:r>
              <w:rPr>
                <w:rFonts w:ascii="Corbel" w:hAnsi="Corbel"/>
                <w:sz w:val="20"/>
              </w:rPr>
              <w:t>Magdalena.</w:t>
            </w:r>
          </w:p>
          <w:p>
            <w:pPr>
              <w:pStyle w:val="TableParagraph"/>
              <w:rPr>
                <w:rFonts w:ascii="Times New Roman"/>
                <w:sz w:val="20"/>
              </w:rPr>
            </w:pPr>
          </w:p>
          <w:p>
            <w:pPr>
              <w:pStyle w:val="TableParagraph"/>
              <w:spacing w:before="1"/>
              <w:rPr>
                <w:rFonts w:ascii="Times New Roman"/>
                <w:sz w:val="18"/>
              </w:rPr>
            </w:pPr>
          </w:p>
          <w:p>
            <w:pPr>
              <w:pStyle w:val="TableParagraph"/>
              <w:numPr>
                <w:ilvl w:val="0"/>
                <w:numId w:val="15"/>
              </w:numPr>
              <w:tabs>
                <w:tab w:pos="811" w:val="left" w:leader="none"/>
                <w:tab w:pos="812" w:val="left" w:leader="none"/>
              </w:tabs>
              <w:spacing w:line="240" w:lineRule="auto" w:before="0" w:after="0"/>
              <w:ind w:left="811" w:right="82" w:hanging="361"/>
              <w:jc w:val="left"/>
              <w:rPr>
                <w:rFonts w:ascii="Symbol" w:hAnsi="Symbol"/>
                <w:sz w:val="20"/>
              </w:rPr>
            </w:pPr>
            <w:r>
              <w:rPr>
                <w:rFonts w:ascii="Corbel" w:hAnsi="Corbel"/>
                <w:sz w:val="20"/>
              </w:rPr>
              <w:t>Regular, supervisar y aplicar la legislación en materia desechos industriales, agrícolas, radioactivos y patógenos que son arrojados a las fuentes de</w:t>
            </w:r>
            <w:r>
              <w:rPr>
                <w:rFonts w:ascii="Corbel" w:hAnsi="Corbel"/>
                <w:spacing w:val="2"/>
                <w:sz w:val="20"/>
              </w:rPr>
              <w:t> </w:t>
            </w:r>
            <w:r>
              <w:rPr>
                <w:rFonts w:ascii="Corbel" w:hAnsi="Corbel"/>
                <w:sz w:val="20"/>
              </w:rPr>
              <w:t>agua.</w:t>
            </w:r>
          </w:p>
          <w:p>
            <w:pPr>
              <w:pStyle w:val="TableParagraph"/>
              <w:spacing w:before="2"/>
              <w:rPr>
                <w:rFonts w:ascii="Times New Roman"/>
                <w:sz w:val="23"/>
              </w:rPr>
            </w:pPr>
          </w:p>
          <w:p>
            <w:pPr>
              <w:pStyle w:val="TableParagraph"/>
              <w:numPr>
                <w:ilvl w:val="0"/>
                <w:numId w:val="15"/>
              </w:numPr>
              <w:tabs>
                <w:tab w:pos="811" w:val="left" w:leader="none"/>
                <w:tab w:pos="812" w:val="left" w:leader="none"/>
              </w:tabs>
              <w:spacing w:line="240" w:lineRule="auto" w:before="0" w:after="0"/>
              <w:ind w:left="811" w:right="505" w:hanging="361"/>
              <w:jc w:val="left"/>
              <w:rPr>
                <w:rFonts w:ascii="Symbol" w:hAnsi="Symbol"/>
                <w:sz w:val="20"/>
              </w:rPr>
            </w:pPr>
            <w:r>
              <w:rPr>
                <w:rFonts w:ascii="Corbel" w:hAnsi="Corbel"/>
                <w:sz w:val="20"/>
              </w:rPr>
              <w:t>Vigilar y controlar el desecho de aguas residuales del Rastro</w:t>
            </w:r>
            <w:r>
              <w:rPr>
                <w:rFonts w:ascii="Corbel" w:hAnsi="Corbel"/>
                <w:spacing w:val="-1"/>
                <w:sz w:val="20"/>
              </w:rPr>
              <w:t> </w:t>
            </w:r>
            <w:r>
              <w:rPr>
                <w:rFonts w:ascii="Corbel" w:hAnsi="Corbel"/>
                <w:sz w:val="20"/>
              </w:rPr>
              <w:t>Municipal.</w:t>
            </w:r>
          </w:p>
          <w:p>
            <w:pPr>
              <w:pStyle w:val="TableParagraph"/>
              <w:rPr>
                <w:rFonts w:ascii="Times New Roman"/>
                <w:sz w:val="20"/>
              </w:rPr>
            </w:pPr>
          </w:p>
          <w:p>
            <w:pPr>
              <w:pStyle w:val="TableParagraph"/>
              <w:numPr>
                <w:ilvl w:val="0"/>
                <w:numId w:val="15"/>
              </w:numPr>
              <w:tabs>
                <w:tab w:pos="811" w:val="left" w:leader="none"/>
                <w:tab w:pos="812" w:val="left" w:leader="none"/>
              </w:tabs>
              <w:spacing w:line="240" w:lineRule="auto" w:before="0" w:after="0"/>
              <w:ind w:left="811" w:right="73" w:hanging="361"/>
              <w:jc w:val="left"/>
              <w:rPr>
                <w:rFonts w:ascii="Symbol" w:hAnsi="Symbol"/>
                <w:color w:val="404040"/>
                <w:sz w:val="20"/>
              </w:rPr>
            </w:pPr>
            <w:r>
              <w:rPr>
                <w:rFonts w:ascii="Corbel" w:hAnsi="Corbel"/>
                <w:color w:val="404040"/>
                <w:sz w:val="20"/>
              </w:rPr>
              <w:t>Gestionar ante Ferrocarriles la limpieza y/o elimininación las Fosas de Asfalto del FF.CC en La</w:t>
            </w:r>
            <w:r>
              <w:rPr>
                <w:rFonts w:ascii="Corbel" w:hAnsi="Corbel"/>
                <w:color w:val="404040"/>
                <w:spacing w:val="1"/>
                <w:sz w:val="20"/>
              </w:rPr>
              <w:t> </w:t>
            </w:r>
            <w:r>
              <w:rPr>
                <w:rFonts w:ascii="Corbel" w:hAnsi="Corbel"/>
                <w:color w:val="404040"/>
                <w:sz w:val="20"/>
              </w:rPr>
              <w:t>Quemada.</w:t>
            </w:r>
          </w:p>
        </w:tc>
      </w:tr>
    </w:tbl>
    <w:p>
      <w:pPr>
        <w:pStyle w:val="BodyText"/>
        <w:rPr>
          <w:rFonts w:ascii="Times New Roman"/>
          <w:sz w:val="20"/>
        </w:rPr>
      </w:pPr>
    </w:p>
    <w:p>
      <w:pPr>
        <w:pStyle w:val="BodyText"/>
        <w:rPr>
          <w:rFonts w:ascii="Times New Roman"/>
          <w:sz w:val="20"/>
        </w:rPr>
      </w:pPr>
    </w:p>
    <w:p>
      <w:pPr>
        <w:pStyle w:val="BodyText"/>
        <w:spacing w:before="11"/>
        <w:rPr>
          <w:rFonts w:ascii="Times New Roman"/>
          <w:sz w:val="26"/>
        </w:rPr>
      </w:pPr>
    </w:p>
    <w:tbl>
      <w:tblPr>
        <w:tblW w:w="0" w:type="auto"/>
        <w:jc w:val="left"/>
        <w:tblInd w:w="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77"/>
        <w:gridCol w:w="4477"/>
      </w:tblGrid>
      <w:tr>
        <w:trPr>
          <w:trHeight w:val="3259" w:hRule="atLeast"/>
        </w:trPr>
        <w:tc>
          <w:tcPr>
            <w:tcW w:w="4577" w:type="dxa"/>
            <w:tcBorders>
              <w:left w:val="single" w:sz="8" w:space="0" w:color="FFFFFF"/>
            </w:tcBorders>
            <w:shd w:val="clear" w:color="auto" w:fill="92CDDC"/>
          </w:tcPr>
          <w:p>
            <w:pPr>
              <w:pStyle w:val="TableParagraph"/>
              <w:rPr>
                <w:rFonts w:ascii="Times New Roman"/>
                <w:sz w:val="20"/>
              </w:rPr>
            </w:pPr>
          </w:p>
          <w:p>
            <w:pPr>
              <w:pStyle w:val="TableParagraph"/>
              <w:spacing w:before="6"/>
              <w:rPr>
                <w:rFonts w:ascii="Times New Roman"/>
                <w:sz w:val="29"/>
              </w:rPr>
            </w:pPr>
          </w:p>
          <w:p>
            <w:pPr>
              <w:pStyle w:val="TableParagraph"/>
              <w:tabs>
                <w:tab w:pos="798" w:val="left" w:leader="none"/>
              </w:tabs>
              <w:spacing w:before="1"/>
              <w:ind w:left="438"/>
              <w:rPr>
                <w:rFonts w:ascii="Corbel"/>
                <w:sz w:val="20"/>
              </w:rPr>
            </w:pPr>
            <w:r>
              <w:rPr>
                <w:rFonts w:ascii="Corbel"/>
                <w:color w:val="252525"/>
                <w:sz w:val="20"/>
              </w:rPr>
              <w:t>3.</w:t>
              <w:tab/>
              <w:t>Mejora del</w:t>
            </w:r>
            <w:r>
              <w:rPr>
                <w:rFonts w:ascii="Corbel"/>
                <w:color w:val="252525"/>
                <w:spacing w:val="2"/>
                <w:sz w:val="20"/>
              </w:rPr>
              <w:t> </w:t>
            </w:r>
            <w:r>
              <w:rPr>
                <w:rFonts w:ascii="Corbel"/>
                <w:color w:val="252525"/>
                <w:sz w:val="20"/>
              </w:rPr>
              <w:t>abastecimiento</w:t>
            </w:r>
          </w:p>
        </w:tc>
        <w:tc>
          <w:tcPr>
            <w:tcW w:w="4477" w:type="dxa"/>
            <w:tcBorders>
              <w:right w:val="single" w:sz="8" w:space="0" w:color="FFFFFF"/>
            </w:tcBorders>
            <w:shd w:val="clear" w:color="auto" w:fill="B6DDE8"/>
          </w:tcPr>
          <w:p>
            <w:pPr>
              <w:pStyle w:val="TableParagraph"/>
              <w:rPr>
                <w:rFonts w:ascii="Times New Roman"/>
                <w:sz w:val="20"/>
              </w:rPr>
            </w:pPr>
          </w:p>
          <w:p>
            <w:pPr>
              <w:pStyle w:val="TableParagraph"/>
              <w:spacing w:before="6"/>
              <w:rPr>
                <w:rFonts w:ascii="Times New Roman"/>
                <w:sz w:val="25"/>
              </w:rPr>
            </w:pPr>
          </w:p>
          <w:p>
            <w:pPr>
              <w:pStyle w:val="TableParagraph"/>
              <w:numPr>
                <w:ilvl w:val="0"/>
                <w:numId w:val="16"/>
              </w:numPr>
              <w:tabs>
                <w:tab w:pos="804" w:val="left" w:leader="none"/>
                <w:tab w:pos="805" w:val="left" w:leader="none"/>
              </w:tabs>
              <w:spacing w:line="276" w:lineRule="auto" w:before="0" w:after="0"/>
              <w:ind w:left="804" w:right="610" w:hanging="356"/>
              <w:jc w:val="left"/>
              <w:rPr>
                <w:rFonts w:ascii="Corbel" w:hAnsi="Corbel"/>
                <w:sz w:val="20"/>
              </w:rPr>
            </w:pPr>
            <w:r>
              <w:rPr>
                <w:rFonts w:ascii="Corbel" w:hAnsi="Corbel"/>
                <w:color w:val="404040"/>
                <w:sz w:val="20"/>
              </w:rPr>
              <w:t>Contar con un estudio particular del municipio de Magdalena de cuál es la capacidad y el estado de los mantos acuíferos.</w:t>
            </w:r>
          </w:p>
        </w:tc>
      </w:tr>
    </w:tbl>
    <w:p>
      <w:pPr>
        <w:spacing w:after="0" w:line="276" w:lineRule="auto"/>
        <w:jc w:val="left"/>
        <w:rPr>
          <w:rFonts w:ascii="Corbel" w:hAnsi="Corbel"/>
          <w:sz w:val="20"/>
        </w:rPr>
        <w:sectPr>
          <w:pgSz w:w="12240" w:h="15840"/>
          <w:pgMar w:header="178" w:footer="1076" w:top="1120" w:bottom="1340" w:left="460" w:right="220"/>
        </w:sectPr>
      </w:pPr>
    </w:p>
    <w:p>
      <w:pPr>
        <w:pStyle w:val="BodyText"/>
        <w:rPr>
          <w:rFonts w:ascii="Times New Roman"/>
          <w:sz w:val="20"/>
        </w:rPr>
      </w:pPr>
    </w:p>
    <w:p>
      <w:pPr>
        <w:pStyle w:val="BodyText"/>
        <w:rPr>
          <w:rFonts w:ascii="Times New Roman"/>
          <w:sz w:val="20"/>
        </w:rPr>
      </w:pPr>
    </w:p>
    <w:p>
      <w:pPr>
        <w:pStyle w:val="BodyText"/>
        <w:spacing w:before="6"/>
        <w:rPr>
          <w:rFonts w:ascii="Times New Roman"/>
          <w:sz w:val="28"/>
        </w:rPr>
      </w:pPr>
    </w:p>
    <w:p>
      <w:pPr>
        <w:spacing w:before="100" w:after="22"/>
        <w:ind w:left="901" w:right="0" w:firstLine="0"/>
        <w:jc w:val="left"/>
        <w:rPr>
          <w:rFonts w:ascii="Tw Cen MT Condensed Extra Bold" w:hAnsi="Tw Cen MT Condensed Extra Bold"/>
          <w:sz w:val="66"/>
        </w:rPr>
      </w:pPr>
      <w:r>
        <w:rPr/>
        <w:drawing>
          <wp:anchor distT="0" distB="0" distL="0" distR="0" allowOverlap="1" layoutInCell="1" locked="0" behindDoc="0" simplePos="0" relativeHeight="251678720">
            <wp:simplePos x="0" y="0"/>
            <wp:positionH relativeFrom="page">
              <wp:posOffset>4648658</wp:posOffset>
            </wp:positionH>
            <wp:positionV relativeFrom="paragraph">
              <wp:posOffset>-129915</wp:posOffset>
            </wp:positionV>
            <wp:extent cx="431922" cy="510035"/>
            <wp:effectExtent l="0" t="0" r="0" b="0"/>
            <wp:wrapNone/>
            <wp:docPr id="11" name="image12.png"/>
            <wp:cNvGraphicFramePr>
              <a:graphicFrameLocks noChangeAspect="1"/>
            </wp:cNvGraphicFramePr>
            <a:graphic>
              <a:graphicData uri="http://schemas.openxmlformats.org/drawingml/2006/picture">
                <pic:pic>
                  <pic:nvPicPr>
                    <pic:cNvPr id="12" name="image12.png"/>
                    <pic:cNvPicPr/>
                  </pic:nvPicPr>
                  <pic:blipFill>
                    <a:blip r:embed="rId19" cstate="print"/>
                    <a:stretch>
                      <a:fillRect/>
                    </a:stretch>
                  </pic:blipFill>
                  <pic:spPr>
                    <a:xfrm>
                      <a:off x="0" y="0"/>
                      <a:ext cx="431922" cy="510035"/>
                    </a:xfrm>
                    <a:prstGeom prst="rect">
                      <a:avLst/>
                    </a:prstGeom>
                  </pic:spPr>
                </pic:pic>
              </a:graphicData>
            </a:graphic>
          </wp:anchor>
        </w:drawing>
      </w:r>
      <w:r>
        <w:rPr>
          <w:rFonts w:ascii="Tw Cen MT Condensed Extra Bold" w:hAnsi="Tw Cen MT Condensed Extra Bold"/>
          <w:color w:val="808080"/>
          <w:sz w:val="66"/>
        </w:rPr>
        <w:t>Manejo de Resíduos</w:t>
      </w:r>
    </w:p>
    <w:tbl>
      <w:tblPr>
        <w:tblW w:w="0" w:type="auto"/>
        <w:jc w:val="left"/>
        <w:tblInd w:w="9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53"/>
        <w:gridCol w:w="4477"/>
      </w:tblGrid>
      <w:tr>
        <w:trPr>
          <w:trHeight w:val="2156" w:hRule="atLeast"/>
        </w:trPr>
        <w:tc>
          <w:tcPr>
            <w:tcW w:w="4553" w:type="dxa"/>
            <w:tcBorders>
              <w:top w:val="nil"/>
              <w:bottom w:val="single" w:sz="2" w:space="0" w:color="CED6E7"/>
            </w:tcBorders>
            <w:shd w:val="clear" w:color="auto" w:fill="808080"/>
          </w:tcPr>
          <w:p>
            <w:pPr>
              <w:pStyle w:val="TableParagraph"/>
              <w:spacing w:before="5"/>
              <w:rPr>
                <w:rFonts w:ascii="Tw Cen MT Condensed Extra Bold"/>
                <w:sz w:val="61"/>
              </w:rPr>
            </w:pPr>
          </w:p>
          <w:p>
            <w:pPr>
              <w:pStyle w:val="TableParagraph"/>
              <w:ind w:left="1309"/>
              <w:rPr>
                <w:rFonts w:ascii="Corbel"/>
                <w:sz w:val="48"/>
              </w:rPr>
            </w:pPr>
            <w:r>
              <w:rPr>
                <w:rFonts w:ascii="Corbel"/>
                <w:color w:val="FFFFFF"/>
                <w:sz w:val="48"/>
              </w:rPr>
              <w:t>Problema</w:t>
            </w:r>
          </w:p>
        </w:tc>
        <w:tc>
          <w:tcPr>
            <w:tcW w:w="4477" w:type="dxa"/>
            <w:tcBorders>
              <w:top w:val="nil"/>
              <w:bottom w:val="single" w:sz="2" w:space="0" w:color="CED6E7"/>
            </w:tcBorders>
            <w:shd w:val="clear" w:color="auto" w:fill="A6A6A6"/>
          </w:tcPr>
          <w:p>
            <w:pPr>
              <w:pStyle w:val="TableParagraph"/>
              <w:spacing w:before="5"/>
              <w:rPr>
                <w:rFonts w:ascii="Tw Cen MT Condensed Extra Bold"/>
                <w:sz w:val="61"/>
              </w:rPr>
            </w:pPr>
          </w:p>
          <w:p>
            <w:pPr>
              <w:pStyle w:val="TableParagraph"/>
              <w:ind w:left="527"/>
              <w:rPr>
                <w:rFonts w:ascii="Corbel" w:hAnsi="Corbel"/>
                <w:sz w:val="48"/>
              </w:rPr>
            </w:pPr>
            <w:r>
              <w:rPr>
                <w:rFonts w:ascii="Corbel" w:hAnsi="Corbel"/>
                <w:color w:val="FFFFFF"/>
                <w:sz w:val="48"/>
              </w:rPr>
              <w:t>Línea Estratégica</w:t>
            </w:r>
          </w:p>
        </w:tc>
      </w:tr>
      <w:tr>
        <w:trPr>
          <w:trHeight w:val="7585" w:hRule="atLeast"/>
        </w:trPr>
        <w:tc>
          <w:tcPr>
            <w:tcW w:w="4553" w:type="dxa"/>
            <w:tcBorders>
              <w:top w:val="single" w:sz="2" w:space="0" w:color="CED6E7"/>
              <w:bottom w:val="single" w:sz="2" w:space="0" w:color="CED6E7"/>
            </w:tcBorders>
            <w:shd w:val="clear" w:color="auto" w:fill="D9D9D9"/>
          </w:tcPr>
          <w:p>
            <w:pPr>
              <w:pStyle w:val="TableParagraph"/>
              <w:rPr>
                <w:rFonts w:ascii="Tw Cen MT Condensed Extra Bold"/>
                <w:sz w:val="20"/>
              </w:rPr>
            </w:pPr>
          </w:p>
          <w:p>
            <w:pPr>
              <w:pStyle w:val="TableParagraph"/>
              <w:numPr>
                <w:ilvl w:val="0"/>
                <w:numId w:val="17"/>
              </w:numPr>
              <w:tabs>
                <w:tab w:pos="798" w:val="left" w:leader="none"/>
                <w:tab w:pos="799" w:val="left" w:leader="none"/>
              </w:tabs>
              <w:spacing w:line="276" w:lineRule="auto" w:before="163" w:after="0"/>
              <w:ind w:left="798" w:right="152" w:hanging="360"/>
              <w:jc w:val="left"/>
              <w:rPr>
                <w:rFonts w:ascii="Corbel" w:hAnsi="Corbel"/>
                <w:sz w:val="20"/>
              </w:rPr>
            </w:pPr>
            <w:r>
              <w:rPr>
                <w:rFonts w:ascii="Corbel" w:hAnsi="Corbel"/>
                <w:smallCaps w:val="0"/>
                <w:sz w:val="20"/>
              </w:rPr>
              <w:t>No existe un sistema integral de manejo de residuos. Se carece de infraestructura adecuada para la disposición de residuos.</w:t>
            </w:r>
            <w:r>
              <w:rPr>
                <w:rFonts w:ascii="Corbel" w:hAnsi="Corbel"/>
                <w:smallCaps w:val="0"/>
                <w:spacing w:val="-17"/>
                <w:sz w:val="20"/>
              </w:rPr>
              <w:t> </w:t>
            </w:r>
            <w:r>
              <w:rPr>
                <w:rFonts w:ascii="Corbel" w:hAnsi="Corbel"/>
                <w:smallCaps w:val="0"/>
                <w:sz w:val="20"/>
              </w:rPr>
              <w:t>El municipio cuenta con dos basureros a cielo abierto que presentan constantemente incendios. Así mismo, no existe una cultura de separación, ni reciclaje e inadecuada disposición de la basura por parte de la población.</w:t>
            </w:r>
          </w:p>
          <w:p>
            <w:pPr>
              <w:pStyle w:val="TableParagraph"/>
              <w:rPr>
                <w:rFonts w:ascii="Tw Cen MT Condensed Extra Bold"/>
                <w:sz w:val="26"/>
              </w:rPr>
            </w:pPr>
          </w:p>
          <w:p>
            <w:pPr>
              <w:pStyle w:val="TableParagraph"/>
              <w:numPr>
                <w:ilvl w:val="0"/>
                <w:numId w:val="17"/>
              </w:numPr>
              <w:tabs>
                <w:tab w:pos="798" w:val="left" w:leader="none"/>
                <w:tab w:pos="799" w:val="left" w:leader="none"/>
              </w:tabs>
              <w:spacing w:line="276" w:lineRule="auto" w:before="0" w:after="0"/>
              <w:ind w:left="798" w:right="100" w:hanging="360"/>
              <w:jc w:val="left"/>
              <w:rPr>
                <w:rFonts w:ascii="Corbel" w:hAnsi="Corbel"/>
                <w:sz w:val="20"/>
              </w:rPr>
            </w:pPr>
            <w:r>
              <w:rPr>
                <w:rFonts w:ascii="Corbel" w:hAnsi="Corbel"/>
                <w:smallCaps w:val="0"/>
                <w:sz w:val="20"/>
              </w:rPr>
              <w:t>Contaminación del subsuelo por jugos de lixiviados del basurero ubicado en El Potrero El</w:t>
            </w:r>
            <w:r>
              <w:rPr>
                <w:rFonts w:ascii="Corbel" w:hAnsi="Corbel"/>
                <w:smallCaps w:val="0"/>
                <w:spacing w:val="-1"/>
                <w:sz w:val="20"/>
              </w:rPr>
              <w:t> </w:t>
            </w:r>
            <w:r>
              <w:rPr>
                <w:rFonts w:ascii="Corbel" w:hAnsi="Corbel"/>
                <w:smallCaps w:val="0"/>
                <w:sz w:val="20"/>
              </w:rPr>
              <w:t>Quemadero.</w:t>
            </w:r>
          </w:p>
          <w:p>
            <w:pPr>
              <w:pStyle w:val="TableParagraph"/>
              <w:spacing w:before="7"/>
              <w:rPr>
                <w:rFonts w:ascii="Tw Cen MT Condensed Extra Bold"/>
                <w:sz w:val="22"/>
              </w:rPr>
            </w:pPr>
          </w:p>
          <w:p>
            <w:pPr>
              <w:pStyle w:val="TableParagraph"/>
              <w:numPr>
                <w:ilvl w:val="0"/>
                <w:numId w:val="17"/>
              </w:numPr>
              <w:tabs>
                <w:tab w:pos="798" w:val="left" w:leader="none"/>
                <w:tab w:pos="799" w:val="left" w:leader="none"/>
              </w:tabs>
              <w:spacing w:line="273" w:lineRule="auto" w:before="0" w:after="0"/>
              <w:ind w:left="798" w:right="152" w:hanging="360"/>
              <w:jc w:val="left"/>
              <w:rPr>
                <w:rFonts w:ascii="Corbel" w:hAnsi="Corbel"/>
                <w:sz w:val="21"/>
              </w:rPr>
            </w:pPr>
            <w:r>
              <w:rPr>
                <w:rFonts w:ascii="Corbel" w:hAnsi="Corbel"/>
                <w:sz w:val="20"/>
              </w:rPr>
              <w:t>Contaminación atmosférica a causa de las quemas intencionales de basura y llantas, y existencia de corrales y establos</w:t>
            </w:r>
            <w:r>
              <w:rPr>
                <w:rFonts w:ascii="Corbel" w:hAnsi="Corbel"/>
                <w:spacing w:val="-25"/>
                <w:sz w:val="20"/>
              </w:rPr>
              <w:t> </w:t>
            </w:r>
            <w:r>
              <w:rPr>
                <w:rFonts w:ascii="Corbel" w:hAnsi="Corbel"/>
                <w:sz w:val="20"/>
              </w:rPr>
              <w:t>localizados dentro de la zona urbana, que generan molestias por los olores, desechos y proliferación de fauna</w:t>
            </w:r>
            <w:r>
              <w:rPr>
                <w:rFonts w:ascii="Corbel" w:hAnsi="Corbel"/>
                <w:spacing w:val="3"/>
                <w:sz w:val="20"/>
              </w:rPr>
              <w:t> </w:t>
            </w:r>
            <w:r>
              <w:rPr>
                <w:rFonts w:ascii="Corbel" w:hAnsi="Corbel"/>
                <w:sz w:val="20"/>
              </w:rPr>
              <w:t>nociva.</w:t>
            </w:r>
          </w:p>
        </w:tc>
        <w:tc>
          <w:tcPr>
            <w:tcW w:w="4477" w:type="dxa"/>
            <w:tcBorders>
              <w:top w:val="single" w:sz="2" w:space="0" w:color="CED6E7"/>
              <w:bottom w:val="single" w:sz="2" w:space="0" w:color="CED6E7"/>
            </w:tcBorders>
            <w:shd w:val="clear" w:color="auto" w:fill="F1F1F1"/>
          </w:tcPr>
          <w:p>
            <w:pPr>
              <w:pStyle w:val="TableParagraph"/>
              <w:rPr>
                <w:rFonts w:ascii="Tw Cen MT Condensed Extra Bold"/>
                <w:sz w:val="20"/>
              </w:rPr>
            </w:pPr>
          </w:p>
          <w:p>
            <w:pPr>
              <w:pStyle w:val="TableParagraph"/>
              <w:rPr>
                <w:rFonts w:ascii="Tw Cen MT Condensed Extra Bold"/>
                <w:sz w:val="20"/>
              </w:rPr>
            </w:pPr>
          </w:p>
          <w:p>
            <w:pPr>
              <w:pStyle w:val="TableParagraph"/>
              <w:spacing w:line="273" w:lineRule="auto" w:before="177"/>
              <w:ind w:left="81" w:right="321"/>
              <w:rPr>
                <w:rFonts w:ascii="Corbel"/>
                <w:sz w:val="21"/>
              </w:rPr>
            </w:pPr>
            <w:r>
              <w:rPr>
                <w:rFonts w:ascii="Corbel"/>
                <w:sz w:val="21"/>
              </w:rPr>
              <w:t>Promover e implementar el manejo integral de residuos</w:t>
            </w:r>
          </w:p>
        </w:tc>
      </w:tr>
    </w:tbl>
    <w:p>
      <w:pPr>
        <w:spacing w:after="0" w:line="273" w:lineRule="auto"/>
        <w:rPr>
          <w:rFonts w:ascii="Corbel"/>
          <w:sz w:val="21"/>
        </w:rPr>
        <w:sectPr>
          <w:pgSz w:w="12240" w:h="15840"/>
          <w:pgMar w:header="178" w:footer="1076" w:top="1120" w:bottom="1340" w:left="460" w:right="220"/>
        </w:sectPr>
      </w:pPr>
    </w:p>
    <w:p>
      <w:pPr>
        <w:pStyle w:val="BodyText"/>
        <w:rPr>
          <w:rFonts w:ascii="Times New Roman"/>
          <w:sz w:val="20"/>
        </w:rPr>
      </w:pPr>
    </w:p>
    <w:p>
      <w:pPr>
        <w:pStyle w:val="BodyText"/>
        <w:spacing w:before="6"/>
        <w:rPr>
          <w:rFonts w:ascii="Times New Roman"/>
          <w:sz w:val="25"/>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477"/>
      </w:tblGrid>
      <w:tr>
        <w:trPr>
          <w:trHeight w:val="2156" w:hRule="atLeast"/>
        </w:trPr>
        <w:tc>
          <w:tcPr>
            <w:tcW w:w="4577" w:type="dxa"/>
            <w:tcBorders>
              <w:top w:val="nil"/>
              <w:bottom w:val="single" w:sz="2" w:space="0" w:color="CED6E7"/>
            </w:tcBorders>
            <w:shd w:val="clear" w:color="auto" w:fill="808080"/>
          </w:tcPr>
          <w:p>
            <w:pPr>
              <w:pStyle w:val="TableParagraph"/>
              <w:spacing w:before="10"/>
              <w:rPr>
                <w:rFonts w:ascii="Times New Roman"/>
                <w:sz w:val="57"/>
              </w:rPr>
            </w:pPr>
          </w:p>
          <w:p>
            <w:pPr>
              <w:pStyle w:val="TableParagraph"/>
              <w:ind w:left="1300"/>
              <w:rPr>
                <w:rFonts w:ascii="Corbel"/>
                <w:sz w:val="48"/>
              </w:rPr>
            </w:pPr>
            <w:r>
              <w:rPr>
                <w:rFonts w:ascii="Corbel"/>
                <w:color w:val="FFFFFF"/>
                <w:sz w:val="48"/>
              </w:rPr>
              <w:t>Programa</w:t>
            </w:r>
          </w:p>
        </w:tc>
        <w:tc>
          <w:tcPr>
            <w:tcW w:w="4477" w:type="dxa"/>
            <w:tcBorders>
              <w:top w:val="nil"/>
              <w:bottom w:val="single" w:sz="2" w:space="0" w:color="CED6E7"/>
            </w:tcBorders>
            <w:shd w:val="clear" w:color="auto" w:fill="A6A6A6"/>
          </w:tcPr>
          <w:p>
            <w:pPr>
              <w:pStyle w:val="TableParagraph"/>
              <w:spacing w:before="10"/>
              <w:rPr>
                <w:rFonts w:ascii="Times New Roman"/>
                <w:sz w:val="57"/>
              </w:rPr>
            </w:pPr>
          </w:p>
          <w:p>
            <w:pPr>
              <w:pStyle w:val="TableParagraph"/>
              <w:ind w:left="1245"/>
              <w:rPr>
                <w:rFonts w:ascii="Corbel"/>
                <w:sz w:val="48"/>
              </w:rPr>
            </w:pPr>
            <w:r>
              <w:rPr>
                <w:rFonts w:ascii="Corbel"/>
                <w:color w:val="FFFFFF"/>
                <w:sz w:val="48"/>
              </w:rPr>
              <w:t>Proyectos</w:t>
            </w:r>
          </w:p>
        </w:tc>
      </w:tr>
      <w:tr>
        <w:trPr>
          <w:trHeight w:val="10374" w:hRule="atLeast"/>
        </w:trPr>
        <w:tc>
          <w:tcPr>
            <w:tcW w:w="4577" w:type="dxa"/>
            <w:tcBorders>
              <w:top w:val="single" w:sz="2" w:space="0" w:color="CED6E7"/>
              <w:bottom w:val="single" w:sz="2" w:space="0" w:color="CED6E7"/>
            </w:tcBorders>
            <w:shd w:val="clear" w:color="auto" w:fill="D9D9D9"/>
          </w:tcPr>
          <w:p>
            <w:pPr>
              <w:pStyle w:val="TableParagraph"/>
              <w:rPr>
                <w:rFonts w:ascii="Times New Roman"/>
                <w:sz w:val="20"/>
              </w:rPr>
            </w:pPr>
          </w:p>
          <w:p>
            <w:pPr>
              <w:pStyle w:val="TableParagraph"/>
              <w:tabs>
                <w:tab w:pos="798" w:val="left" w:leader="none"/>
              </w:tabs>
              <w:spacing w:line="276" w:lineRule="auto" w:before="149"/>
              <w:ind w:left="798" w:right="159" w:hanging="360"/>
              <w:rPr>
                <w:rFonts w:ascii="Corbel"/>
                <w:sz w:val="20"/>
              </w:rPr>
            </w:pPr>
            <w:r>
              <w:rPr>
                <w:rFonts w:ascii="Corbel"/>
                <w:smallCaps/>
                <w:color w:val="404040"/>
                <w:spacing w:val="-1"/>
                <w:w w:val="99"/>
                <w:sz w:val="20"/>
              </w:rPr>
              <w:t>1</w:t>
            </w:r>
            <w:r>
              <w:rPr>
                <w:rFonts w:ascii="Corbel"/>
                <w:smallCaps/>
                <w:color w:val="404040"/>
                <w:w w:val="99"/>
                <w:sz w:val="20"/>
              </w:rPr>
              <w:t>.</w:t>
            </w:r>
            <w:r>
              <w:rPr>
                <w:rFonts w:ascii="Corbel"/>
                <w:smallCaps w:val="0"/>
                <w:color w:val="404040"/>
                <w:sz w:val="20"/>
              </w:rPr>
              <w:tab/>
            </w:r>
            <w:r>
              <w:rPr>
                <w:rFonts w:ascii="Corbel"/>
                <w:smallCaps w:val="0"/>
                <w:color w:val="404040"/>
                <w:w w:val="99"/>
                <w:sz w:val="20"/>
              </w:rPr>
              <w:t>Man</w:t>
            </w:r>
            <w:r>
              <w:rPr>
                <w:rFonts w:ascii="Corbel"/>
                <w:smallCaps w:val="0"/>
                <w:color w:val="404040"/>
                <w:spacing w:val="-1"/>
                <w:w w:val="99"/>
                <w:sz w:val="20"/>
              </w:rPr>
              <w:t>ej</w:t>
            </w:r>
            <w:r>
              <w:rPr>
                <w:rFonts w:ascii="Corbel"/>
                <w:smallCaps w:val="0"/>
                <w:color w:val="404040"/>
                <w:w w:val="99"/>
                <w:sz w:val="20"/>
              </w:rPr>
              <w:t>o</w:t>
            </w:r>
            <w:r>
              <w:rPr>
                <w:rFonts w:ascii="Corbel"/>
                <w:smallCaps w:val="0"/>
                <w:color w:val="404040"/>
                <w:sz w:val="20"/>
              </w:rPr>
              <w:t> </w:t>
            </w:r>
            <w:r>
              <w:rPr>
                <w:rFonts w:ascii="Corbel"/>
                <w:smallCaps w:val="0"/>
                <w:color w:val="404040"/>
                <w:spacing w:val="-1"/>
                <w:w w:val="99"/>
                <w:sz w:val="20"/>
              </w:rPr>
              <w:t>i</w:t>
            </w:r>
            <w:r>
              <w:rPr>
                <w:rFonts w:ascii="Corbel"/>
                <w:smallCaps w:val="0"/>
                <w:color w:val="404040"/>
                <w:w w:val="99"/>
                <w:sz w:val="20"/>
              </w:rPr>
              <w:t>n</w:t>
            </w:r>
            <w:r>
              <w:rPr>
                <w:rFonts w:ascii="Corbel"/>
                <w:smallCaps w:val="0"/>
                <w:color w:val="404040"/>
                <w:spacing w:val="2"/>
                <w:w w:val="99"/>
                <w:sz w:val="20"/>
              </w:rPr>
              <w:t>t</w:t>
            </w:r>
            <w:r>
              <w:rPr>
                <w:rFonts w:ascii="Corbel"/>
                <w:smallCaps w:val="0"/>
                <w:color w:val="404040"/>
                <w:spacing w:val="-1"/>
                <w:w w:val="99"/>
                <w:sz w:val="20"/>
              </w:rPr>
              <w:t>e</w:t>
            </w:r>
            <w:r>
              <w:rPr>
                <w:rFonts w:ascii="Corbel"/>
                <w:smallCaps w:val="0"/>
                <w:color w:val="404040"/>
                <w:w w:val="99"/>
                <w:sz w:val="20"/>
              </w:rPr>
              <w:t>gral</w:t>
            </w:r>
            <w:r>
              <w:rPr>
                <w:rFonts w:ascii="Corbel"/>
                <w:smallCaps w:val="0"/>
                <w:color w:val="404040"/>
                <w:sz w:val="20"/>
              </w:rPr>
              <w:t> </w:t>
            </w:r>
            <w:r>
              <w:rPr>
                <w:rFonts w:ascii="Corbel"/>
                <w:smallCaps w:val="0"/>
                <w:color w:val="404040"/>
                <w:spacing w:val="1"/>
                <w:w w:val="99"/>
                <w:sz w:val="20"/>
              </w:rPr>
              <w:t>d</w:t>
            </w:r>
            <w:r>
              <w:rPr>
                <w:rFonts w:ascii="Corbel"/>
                <w:smallCaps w:val="0"/>
                <w:color w:val="404040"/>
                <w:w w:val="99"/>
                <w:sz w:val="20"/>
              </w:rPr>
              <w:t>e</w:t>
            </w:r>
            <w:r>
              <w:rPr>
                <w:rFonts w:ascii="Corbel"/>
                <w:smallCaps w:val="0"/>
                <w:color w:val="404040"/>
                <w:sz w:val="20"/>
              </w:rPr>
              <w:t> </w:t>
            </w:r>
            <w:r>
              <w:rPr>
                <w:rFonts w:ascii="Corbel"/>
                <w:smallCaps w:val="0"/>
                <w:color w:val="404040"/>
                <w:w w:val="99"/>
                <w:sz w:val="20"/>
              </w:rPr>
              <w:t>res</w:t>
            </w:r>
            <w:r>
              <w:rPr>
                <w:rFonts w:ascii="Corbel"/>
                <w:smallCaps w:val="0"/>
                <w:color w:val="404040"/>
                <w:spacing w:val="-1"/>
                <w:w w:val="99"/>
                <w:sz w:val="20"/>
              </w:rPr>
              <w:t>i</w:t>
            </w:r>
            <w:r>
              <w:rPr>
                <w:rFonts w:ascii="Corbel"/>
                <w:smallCaps w:val="0"/>
                <w:color w:val="404040"/>
                <w:spacing w:val="1"/>
                <w:w w:val="99"/>
                <w:sz w:val="20"/>
              </w:rPr>
              <w:t>d</w:t>
            </w:r>
            <w:r>
              <w:rPr>
                <w:rFonts w:ascii="Corbel"/>
                <w:smallCaps w:val="0"/>
                <w:color w:val="404040"/>
                <w:w w:val="99"/>
                <w:sz w:val="20"/>
              </w:rPr>
              <w:t>uos</w:t>
            </w:r>
            <w:r>
              <w:rPr>
                <w:rFonts w:ascii="Corbel"/>
                <w:smallCaps w:val="0"/>
                <w:color w:val="404040"/>
                <w:sz w:val="20"/>
              </w:rPr>
              <w:t> </w:t>
            </w:r>
            <w:r>
              <w:rPr>
                <w:rFonts w:ascii="Corbel"/>
                <w:smallCaps w:val="0"/>
                <w:color w:val="404040"/>
                <w:spacing w:val="2"/>
                <w:sz w:val="20"/>
              </w:rPr>
              <w:t> </w:t>
            </w:r>
            <w:r>
              <w:rPr>
                <w:rFonts w:ascii="Corbel"/>
                <w:smallCaps w:val="0"/>
                <w:color w:val="404040"/>
                <w:spacing w:val="-2"/>
                <w:w w:val="99"/>
                <w:sz w:val="20"/>
              </w:rPr>
              <w:t>d</w:t>
            </w:r>
            <w:r>
              <w:rPr>
                <w:rFonts w:ascii="Corbel"/>
                <w:smallCaps w:val="0"/>
                <w:color w:val="404040"/>
                <w:w w:val="99"/>
                <w:sz w:val="20"/>
              </w:rPr>
              <w:t>e</w:t>
            </w:r>
            <w:r>
              <w:rPr>
                <w:rFonts w:ascii="Corbel"/>
                <w:smallCaps w:val="0"/>
                <w:color w:val="404040"/>
                <w:sz w:val="20"/>
              </w:rPr>
              <w:t> </w:t>
            </w:r>
            <w:r>
              <w:rPr>
                <w:rFonts w:ascii="Corbel"/>
                <w:smallCaps w:val="0"/>
                <w:color w:val="404040"/>
                <w:w w:val="99"/>
                <w:sz w:val="20"/>
              </w:rPr>
              <w:t>a</w:t>
            </w:r>
            <w:r>
              <w:rPr>
                <w:rFonts w:ascii="Corbel"/>
                <w:smallCaps w:val="0"/>
                <w:color w:val="404040"/>
                <w:spacing w:val="-1"/>
                <w:w w:val="99"/>
                <w:sz w:val="20"/>
              </w:rPr>
              <w:t>c</w:t>
            </w:r>
            <w:r>
              <w:rPr>
                <w:rFonts w:ascii="Corbel"/>
                <w:smallCaps w:val="0"/>
                <w:color w:val="404040"/>
                <w:spacing w:val="2"/>
                <w:w w:val="99"/>
                <w:sz w:val="20"/>
              </w:rPr>
              <w:t>u</w:t>
            </w:r>
            <w:r>
              <w:rPr>
                <w:rFonts w:ascii="Corbel"/>
                <w:smallCaps w:val="0"/>
                <w:color w:val="404040"/>
                <w:spacing w:val="-1"/>
                <w:w w:val="99"/>
                <w:sz w:val="20"/>
              </w:rPr>
              <w:t>e</w:t>
            </w:r>
            <w:r>
              <w:rPr>
                <w:rFonts w:ascii="Corbel"/>
                <w:smallCaps w:val="0"/>
                <w:color w:val="404040"/>
                <w:w w:val="99"/>
                <w:sz w:val="20"/>
              </w:rPr>
              <w:t>r</w:t>
            </w:r>
            <w:r>
              <w:rPr>
                <w:rFonts w:ascii="Corbel"/>
                <w:smallCaps w:val="0"/>
                <w:color w:val="404040"/>
                <w:spacing w:val="1"/>
                <w:w w:val="99"/>
                <w:sz w:val="20"/>
              </w:rPr>
              <w:t>d</w:t>
            </w:r>
            <w:r>
              <w:rPr>
                <w:rFonts w:ascii="Corbel"/>
                <w:smallCaps w:val="0"/>
                <w:color w:val="404040"/>
                <w:w w:val="99"/>
                <w:sz w:val="20"/>
              </w:rPr>
              <w:t>o</w:t>
            </w:r>
            <w:r>
              <w:rPr>
                <w:rFonts w:ascii="Corbel"/>
                <w:smallCaps w:val="0"/>
                <w:color w:val="404040"/>
                <w:sz w:val="20"/>
              </w:rPr>
              <w:t> </w:t>
            </w:r>
            <w:r>
              <w:rPr>
                <w:rFonts w:ascii="Corbel"/>
                <w:smallCaps w:val="0"/>
                <w:color w:val="404040"/>
                <w:w w:val="99"/>
                <w:sz w:val="20"/>
              </w:rPr>
              <w:t>a</w:t>
            </w:r>
            <w:r>
              <w:rPr>
                <w:rFonts w:ascii="Corbel"/>
                <w:smallCaps w:val="0"/>
                <w:color w:val="404040"/>
                <w:spacing w:val="1"/>
                <w:sz w:val="20"/>
              </w:rPr>
              <w:t> </w:t>
            </w:r>
            <w:r>
              <w:rPr>
                <w:rFonts w:ascii="Corbel"/>
                <w:smallCaps w:val="0"/>
                <w:color w:val="404040"/>
                <w:spacing w:val="-1"/>
                <w:w w:val="99"/>
                <w:sz w:val="20"/>
              </w:rPr>
              <w:t>la </w:t>
            </w:r>
            <w:r>
              <w:rPr>
                <w:rFonts w:ascii="Corbel"/>
                <w:smallCaps w:val="0"/>
                <w:color w:val="404040"/>
                <w:w w:val="99"/>
                <w:sz w:val="20"/>
              </w:rPr>
              <w:t>N</w:t>
            </w:r>
            <w:r>
              <w:rPr>
                <w:rFonts w:ascii="Corbel"/>
                <w:smallCaps w:val="0"/>
                <w:color w:val="404040"/>
                <w:spacing w:val="-1"/>
                <w:w w:val="99"/>
                <w:sz w:val="20"/>
              </w:rPr>
              <w:t>orm</w:t>
            </w:r>
            <w:r>
              <w:rPr>
                <w:rFonts w:ascii="Corbel"/>
                <w:smallCaps w:val="0"/>
                <w:color w:val="404040"/>
                <w:w w:val="99"/>
                <w:sz w:val="20"/>
              </w:rPr>
              <w:t>a</w:t>
            </w:r>
            <w:r>
              <w:rPr>
                <w:rFonts w:ascii="Corbel"/>
                <w:smallCaps w:val="0"/>
                <w:color w:val="404040"/>
                <w:spacing w:val="2"/>
                <w:sz w:val="20"/>
              </w:rPr>
              <w:t> </w:t>
            </w:r>
            <w:r>
              <w:rPr>
                <w:rFonts w:ascii="Corbel"/>
                <w:smallCaps w:val="0"/>
                <w:color w:val="404040"/>
                <w:spacing w:val="-1"/>
                <w:w w:val="99"/>
                <w:sz w:val="20"/>
              </w:rPr>
              <w:t>N</w:t>
            </w:r>
            <w:r>
              <w:rPr>
                <w:rFonts w:ascii="Corbel"/>
                <w:smallCaps w:val="0"/>
                <w:color w:val="404040"/>
                <w:spacing w:val="1"/>
                <w:w w:val="99"/>
                <w:sz w:val="20"/>
              </w:rPr>
              <w:t>O</w:t>
            </w:r>
            <w:r>
              <w:rPr>
                <w:rFonts w:ascii="Corbel"/>
                <w:smallCaps w:val="0"/>
                <w:color w:val="404040"/>
                <w:spacing w:val="-1"/>
                <w:w w:val="99"/>
                <w:sz w:val="20"/>
              </w:rPr>
              <w:t>M</w:t>
            </w:r>
            <w:r>
              <w:rPr>
                <w:rFonts w:ascii="Corbel"/>
                <w:smallCaps w:val="0"/>
                <w:color w:val="404040"/>
                <w:w w:val="99"/>
                <w:sz w:val="20"/>
              </w:rPr>
              <w:t>-083</w:t>
            </w:r>
            <w:r>
              <w:rPr>
                <w:rFonts w:ascii="Corbel"/>
                <w:smallCaps w:val="0"/>
                <w:color w:val="404040"/>
                <w:spacing w:val="1"/>
                <w:sz w:val="20"/>
              </w:rPr>
              <w:t> </w:t>
            </w:r>
            <w:r>
              <w:rPr>
                <w:rFonts w:ascii="Corbel"/>
                <w:smallCaps w:val="0"/>
                <w:color w:val="404040"/>
                <w:w w:val="99"/>
                <w:sz w:val="20"/>
              </w:rPr>
              <w:t>SEMARN</w:t>
            </w:r>
            <w:r>
              <w:rPr>
                <w:rFonts w:ascii="Corbel"/>
                <w:smallCaps w:val="0"/>
                <w:color w:val="404040"/>
                <w:spacing w:val="1"/>
                <w:w w:val="99"/>
                <w:sz w:val="20"/>
              </w:rPr>
              <w:t>A</w:t>
            </w:r>
            <w:r>
              <w:rPr>
                <w:rFonts w:ascii="Corbel"/>
                <w:smallCaps w:val="0"/>
                <w:color w:val="404040"/>
                <w:spacing w:val="-1"/>
                <w:w w:val="99"/>
                <w:sz w:val="20"/>
              </w:rPr>
              <w:t>T.</w:t>
            </w:r>
          </w:p>
        </w:tc>
        <w:tc>
          <w:tcPr>
            <w:tcW w:w="4477" w:type="dxa"/>
            <w:tcBorders>
              <w:top w:val="single" w:sz="2" w:space="0" w:color="CED6E7"/>
              <w:bottom w:val="single" w:sz="2" w:space="0" w:color="CED6E7"/>
            </w:tcBorders>
            <w:shd w:val="clear" w:color="auto" w:fill="F1F1F1"/>
          </w:tcPr>
          <w:p>
            <w:pPr>
              <w:pStyle w:val="TableParagraph"/>
              <w:spacing w:before="11"/>
              <w:rPr>
                <w:rFonts w:ascii="Times New Roman"/>
                <w:sz w:val="29"/>
              </w:rPr>
            </w:pPr>
          </w:p>
          <w:p>
            <w:pPr>
              <w:pStyle w:val="TableParagraph"/>
              <w:numPr>
                <w:ilvl w:val="0"/>
                <w:numId w:val="18"/>
              </w:numPr>
              <w:tabs>
                <w:tab w:pos="801" w:val="left" w:leader="none"/>
                <w:tab w:pos="802" w:val="left" w:leader="none"/>
              </w:tabs>
              <w:spacing w:line="240" w:lineRule="auto" w:before="0" w:after="0"/>
              <w:ind w:left="801" w:right="826" w:hanging="361"/>
              <w:jc w:val="left"/>
              <w:rPr>
                <w:rFonts w:ascii="Corbel" w:hAnsi="Corbel"/>
                <w:sz w:val="20"/>
              </w:rPr>
            </w:pPr>
            <w:r>
              <w:rPr>
                <w:rFonts w:ascii="Corbel" w:hAnsi="Corbel"/>
                <w:color w:val="252525"/>
                <w:sz w:val="20"/>
              </w:rPr>
              <w:t>Construcción del Relleno Sanitario Moderno y con innovación en aprovechamiento de</w:t>
            </w:r>
            <w:r>
              <w:rPr>
                <w:rFonts w:ascii="Corbel" w:hAnsi="Corbel"/>
                <w:color w:val="252525"/>
                <w:spacing w:val="1"/>
                <w:sz w:val="20"/>
              </w:rPr>
              <w:t> </w:t>
            </w:r>
            <w:r>
              <w:rPr>
                <w:rFonts w:ascii="Corbel" w:hAnsi="Corbel"/>
                <w:color w:val="252525"/>
                <w:sz w:val="20"/>
              </w:rPr>
              <w:t>residuos.</w:t>
            </w:r>
          </w:p>
          <w:p>
            <w:pPr>
              <w:pStyle w:val="TableParagraph"/>
              <w:spacing w:before="2"/>
              <w:rPr>
                <w:rFonts w:ascii="Times New Roman"/>
                <w:sz w:val="21"/>
              </w:rPr>
            </w:pPr>
          </w:p>
          <w:p>
            <w:pPr>
              <w:pStyle w:val="TableParagraph"/>
              <w:numPr>
                <w:ilvl w:val="0"/>
                <w:numId w:val="18"/>
              </w:numPr>
              <w:tabs>
                <w:tab w:pos="801" w:val="left" w:leader="none"/>
                <w:tab w:pos="802" w:val="left" w:leader="none"/>
              </w:tabs>
              <w:spacing w:line="240" w:lineRule="auto" w:before="1" w:after="0"/>
              <w:ind w:left="801" w:right="88" w:hanging="361"/>
              <w:jc w:val="left"/>
              <w:rPr>
                <w:rFonts w:ascii="Corbel" w:hAnsi="Corbel"/>
                <w:sz w:val="20"/>
              </w:rPr>
            </w:pPr>
            <w:r>
              <w:rPr>
                <w:rFonts w:ascii="Corbel" w:hAnsi="Corbel"/>
                <w:color w:val="252525"/>
                <w:sz w:val="20"/>
              </w:rPr>
              <w:t>Incrementar el parque vehicular del servicio con la adquisición de </w:t>
            </w:r>
            <w:r>
              <w:rPr>
                <w:rFonts w:ascii="Corbel" w:hAnsi="Corbel"/>
                <w:smallCaps/>
                <w:color w:val="252525"/>
                <w:sz w:val="20"/>
              </w:rPr>
              <w:t>1</w:t>
            </w:r>
            <w:r>
              <w:rPr>
                <w:rFonts w:ascii="Corbel" w:hAnsi="Corbel"/>
                <w:smallCaps w:val="0"/>
                <w:color w:val="252525"/>
                <w:sz w:val="20"/>
              </w:rPr>
              <w:t> compactador de basura.</w:t>
            </w:r>
          </w:p>
          <w:p>
            <w:pPr>
              <w:pStyle w:val="TableParagraph"/>
              <w:spacing w:before="1"/>
              <w:rPr>
                <w:rFonts w:ascii="Times New Roman"/>
                <w:sz w:val="21"/>
              </w:rPr>
            </w:pPr>
          </w:p>
          <w:p>
            <w:pPr>
              <w:pStyle w:val="TableParagraph"/>
              <w:numPr>
                <w:ilvl w:val="0"/>
                <w:numId w:val="18"/>
              </w:numPr>
              <w:tabs>
                <w:tab w:pos="801" w:val="left" w:leader="none"/>
                <w:tab w:pos="802" w:val="left" w:leader="none"/>
              </w:tabs>
              <w:spacing w:line="240" w:lineRule="auto" w:before="0" w:after="0"/>
              <w:ind w:left="801" w:right="222" w:hanging="361"/>
              <w:jc w:val="left"/>
              <w:rPr>
                <w:rFonts w:ascii="Corbel" w:hAnsi="Corbel"/>
                <w:sz w:val="20"/>
              </w:rPr>
            </w:pPr>
            <w:r>
              <w:rPr>
                <w:rFonts w:ascii="Corbel" w:hAnsi="Corbel"/>
                <w:color w:val="252525"/>
                <w:sz w:val="20"/>
              </w:rPr>
              <w:t>Mejorar el servicio de recolección de residuos. Capacitando al personal para mejorar el trato con los ciudadanos y a los ciudadanos para sacarlos a la hora adecuada.</w:t>
            </w:r>
          </w:p>
          <w:p>
            <w:pPr>
              <w:pStyle w:val="TableParagraph"/>
              <w:rPr>
                <w:rFonts w:ascii="Times New Roman"/>
                <w:sz w:val="20"/>
              </w:rPr>
            </w:pPr>
          </w:p>
          <w:p>
            <w:pPr>
              <w:pStyle w:val="TableParagraph"/>
              <w:spacing w:before="9"/>
              <w:rPr>
                <w:rFonts w:ascii="Times New Roman"/>
                <w:sz w:val="18"/>
              </w:rPr>
            </w:pPr>
          </w:p>
          <w:p>
            <w:pPr>
              <w:pStyle w:val="TableParagraph"/>
              <w:numPr>
                <w:ilvl w:val="0"/>
                <w:numId w:val="18"/>
              </w:numPr>
              <w:tabs>
                <w:tab w:pos="801" w:val="left" w:leader="none"/>
                <w:tab w:pos="802" w:val="left" w:leader="none"/>
              </w:tabs>
              <w:spacing w:line="240" w:lineRule="auto" w:before="1" w:after="0"/>
              <w:ind w:left="801" w:right="86" w:hanging="361"/>
              <w:jc w:val="left"/>
              <w:rPr>
                <w:rFonts w:ascii="Corbel" w:hAnsi="Corbel"/>
                <w:sz w:val="20"/>
              </w:rPr>
            </w:pPr>
            <w:r>
              <w:rPr>
                <w:rFonts w:ascii="Corbel" w:hAnsi="Corbel"/>
                <w:color w:val="252525"/>
                <w:sz w:val="20"/>
              </w:rPr>
              <w:t>Implementar un sistema de recolección</w:t>
            </w:r>
            <w:r>
              <w:rPr>
                <w:rFonts w:ascii="Corbel" w:hAnsi="Corbel"/>
                <w:color w:val="252525"/>
                <w:spacing w:val="-18"/>
                <w:sz w:val="20"/>
              </w:rPr>
              <w:t> </w:t>
            </w:r>
            <w:r>
              <w:rPr>
                <w:rFonts w:ascii="Corbel" w:hAnsi="Corbel"/>
                <w:color w:val="252525"/>
                <w:sz w:val="20"/>
              </w:rPr>
              <w:t>con separación de</w:t>
            </w:r>
            <w:r>
              <w:rPr>
                <w:rFonts w:ascii="Corbel" w:hAnsi="Corbel"/>
                <w:color w:val="252525"/>
                <w:spacing w:val="2"/>
                <w:sz w:val="20"/>
              </w:rPr>
              <w:t> </w:t>
            </w:r>
            <w:r>
              <w:rPr>
                <w:rFonts w:ascii="Corbel" w:hAnsi="Corbel"/>
                <w:color w:val="252525"/>
                <w:sz w:val="20"/>
              </w:rPr>
              <w:t>basura.</w:t>
            </w:r>
          </w:p>
          <w:p>
            <w:pPr>
              <w:pStyle w:val="TableParagraph"/>
              <w:rPr>
                <w:rFonts w:ascii="Times New Roman"/>
                <w:sz w:val="20"/>
              </w:rPr>
            </w:pPr>
          </w:p>
          <w:p>
            <w:pPr>
              <w:pStyle w:val="TableParagraph"/>
              <w:spacing w:before="5"/>
              <w:rPr>
                <w:rFonts w:ascii="Times New Roman"/>
                <w:sz w:val="18"/>
              </w:rPr>
            </w:pPr>
          </w:p>
          <w:p>
            <w:pPr>
              <w:pStyle w:val="TableParagraph"/>
              <w:numPr>
                <w:ilvl w:val="0"/>
                <w:numId w:val="18"/>
              </w:numPr>
              <w:tabs>
                <w:tab w:pos="801" w:val="left" w:leader="none"/>
                <w:tab w:pos="802" w:val="left" w:leader="none"/>
              </w:tabs>
              <w:spacing w:line="240" w:lineRule="auto" w:before="0" w:after="0"/>
              <w:ind w:left="801" w:right="113" w:hanging="361"/>
              <w:jc w:val="left"/>
              <w:rPr>
                <w:rFonts w:ascii="Corbel" w:hAnsi="Corbel"/>
                <w:sz w:val="20"/>
              </w:rPr>
            </w:pPr>
            <w:r>
              <w:rPr>
                <w:rFonts w:ascii="Corbel" w:hAnsi="Corbel"/>
                <w:color w:val="252525"/>
                <w:sz w:val="20"/>
              </w:rPr>
              <w:t>Instalación de más contenedores de basura ubicados estratégicamente en sitios públicos.</w:t>
            </w:r>
          </w:p>
          <w:p>
            <w:pPr>
              <w:pStyle w:val="TableParagraph"/>
              <w:rPr>
                <w:rFonts w:ascii="Times New Roman"/>
                <w:sz w:val="20"/>
              </w:rPr>
            </w:pPr>
          </w:p>
          <w:p>
            <w:pPr>
              <w:pStyle w:val="TableParagraph"/>
              <w:spacing w:before="8"/>
              <w:rPr>
                <w:rFonts w:ascii="Times New Roman"/>
                <w:sz w:val="18"/>
              </w:rPr>
            </w:pPr>
          </w:p>
          <w:p>
            <w:pPr>
              <w:pStyle w:val="TableParagraph"/>
              <w:numPr>
                <w:ilvl w:val="0"/>
                <w:numId w:val="18"/>
              </w:numPr>
              <w:tabs>
                <w:tab w:pos="801" w:val="left" w:leader="none"/>
                <w:tab w:pos="802" w:val="left" w:leader="none"/>
              </w:tabs>
              <w:spacing w:line="240" w:lineRule="auto" w:before="0" w:after="0"/>
              <w:ind w:left="801" w:right="102" w:hanging="361"/>
              <w:jc w:val="left"/>
              <w:rPr>
                <w:rFonts w:ascii="Corbel" w:hAnsi="Corbel"/>
                <w:sz w:val="20"/>
              </w:rPr>
            </w:pPr>
            <w:r>
              <w:rPr>
                <w:rFonts w:ascii="Corbel" w:hAnsi="Corbel"/>
                <w:color w:val="252525"/>
                <w:sz w:val="20"/>
              </w:rPr>
              <w:t>Instalar Centros de Acopio de Material</w:t>
            </w:r>
            <w:r>
              <w:rPr>
                <w:rFonts w:ascii="Corbel" w:hAnsi="Corbel"/>
                <w:color w:val="252525"/>
                <w:spacing w:val="-19"/>
                <w:sz w:val="20"/>
              </w:rPr>
              <w:t> </w:t>
            </w:r>
            <w:r>
              <w:rPr>
                <w:rFonts w:ascii="Corbel" w:hAnsi="Corbel"/>
                <w:color w:val="252525"/>
                <w:sz w:val="20"/>
              </w:rPr>
              <w:t>para Reciclar:</w:t>
            </w:r>
          </w:p>
          <w:p>
            <w:pPr>
              <w:pStyle w:val="TableParagraph"/>
              <w:rPr>
                <w:rFonts w:ascii="Times New Roman"/>
                <w:sz w:val="20"/>
              </w:rPr>
            </w:pPr>
          </w:p>
          <w:p>
            <w:pPr>
              <w:pStyle w:val="TableParagraph"/>
              <w:spacing w:before="10"/>
              <w:rPr>
                <w:rFonts w:ascii="Times New Roman"/>
                <w:sz w:val="21"/>
              </w:rPr>
            </w:pPr>
          </w:p>
          <w:p>
            <w:pPr>
              <w:pStyle w:val="TableParagraph"/>
              <w:ind w:left="801"/>
              <w:rPr>
                <w:rFonts w:ascii="Corbel"/>
                <w:sz w:val="20"/>
              </w:rPr>
            </w:pPr>
            <w:r>
              <w:rPr>
                <w:rFonts w:ascii="Corbel"/>
                <w:color w:val="252525"/>
                <w:sz w:val="20"/>
              </w:rPr>
              <w:t>Recolectar los aceites quemados.</w:t>
            </w:r>
          </w:p>
          <w:p>
            <w:pPr>
              <w:pStyle w:val="TableParagraph"/>
              <w:spacing w:before="8"/>
              <w:rPr>
                <w:rFonts w:ascii="Times New Roman"/>
                <w:sz w:val="20"/>
              </w:rPr>
            </w:pPr>
          </w:p>
          <w:p>
            <w:pPr>
              <w:pStyle w:val="TableParagraph"/>
              <w:spacing w:line="472" w:lineRule="auto"/>
              <w:ind w:left="801" w:right="190"/>
              <w:rPr>
                <w:rFonts w:ascii="Corbel"/>
                <w:sz w:val="20"/>
              </w:rPr>
            </w:pPr>
            <w:r>
              <w:rPr>
                <w:rFonts w:ascii="Corbel"/>
                <w:color w:val="252525"/>
                <w:sz w:val="20"/>
              </w:rPr>
              <w:t>Instalar Contenedores para pilas alcalinas. Reciclar las llantas en desuso.</w:t>
            </w:r>
          </w:p>
          <w:p>
            <w:pPr>
              <w:pStyle w:val="TableParagraph"/>
              <w:spacing w:line="278" w:lineRule="auto"/>
              <w:ind w:left="801" w:right="243"/>
              <w:rPr>
                <w:rFonts w:ascii="Corbel" w:hAnsi="Corbel"/>
                <w:sz w:val="20"/>
              </w:rPr>
            </w:pPr>
            <w:r>
              <w:rPr>
                <w:rFonts w:ascii="Corbel" w:hAnsi="Corbel"/>
                <w:color w:val="252525"/>
                <w:sz w:val="20"/>
              </w:rPr>
              <w:t>Recolectar los envases de agroquímicos y pesticidas.</w:t>
            </w:r>
          </w:p>
          <w:p>
            <w:pPr>
              <w:pStyle w:val="TableParagraph"/>
              <w:spacing w:before="10"/>
              <w:rPr>
                <w:rFonts w:ascii="Times New Roman"/>
                <w:sz w:val="16"/>
              </w:rPr>
            </w:pPr>
          </w:p>
          <w:p>
            <w:pPr>
              <w:pStyle w:val="TableParagraph"/>
              <w:numPr>
                <w:ilvl w:val="0"/>
                <w:numId w:val="18"/>
              </w:numPr>
              <w:tabs>
                <w:tab w:pos="801" w:val="left" w:leader="none"/>
                <w:tab w:pos="802" w:val="left" w:leader="none"/>
              </w:tabs>
              <w:spacing w:line="240" w:lineRule="auto" w:before="1" w:after="0"/>
              <w:ind w:left="801" w:right="134" w:hanging="361"/>
              <w:jc w:val="left"/>
              <w:rPr>
                <w:rFonts w:ascii="Corbel" w:hAnsi="Corbel"/>
                <w:sz w:val="20"/>
              </w:rPr>
            </w:pPr>
            <w:r>
              <w:rPr>
                <w:rFonts w:ascii="Corbel" w:hAnsi="Corbel"/>
                <w:color w:val="252525"/>
                <w:sz w:val="20"/>
              </w:rPr>
              <w:t>Campaña con los propietarios de corrales y establos para el manejo de sus</w:t>
            </w:r>
            <w:r>
              <w:rPr>
                <w:rFonts w:ascii="Corbel" w:hAnsi="Corbel"/>
                <w:color w:val="252525"/>
                <w:spacing w:val="-8"/>
                <w:sz w:val="20"/>
              </w:rPr>
              <w:t> </w:t>
            </w:r>
            <w:r>
              <w:rPr>
                <w:rFonts w:ascii="Corbel" w:hAnsi="Corbel"/>
                <w:color w:val="252525"/>
                <w:sz w:val="20"/>
              </w:rPr>
              <w:t>desechos.</w:t>
            </w:r>
          </w:p>
        </w:tc>
      </w:tr>
    </w:tbl>
    <w:p>
      <w:pPr>
        <w:spacing w:after="0" w:line="240" w:lineRule="auto"/>
        <w:jc w:val="left"/>
        <w:rPr>
          <w:rFonts w:ascii="Corbel" w:hAnsi="Corbel"/>
          <w:sz w:val="20"/>
        </w:rPr>
        <w:sectPr>
          <w:pgSz w:w="12240" w:h="15840"/>
          <w:pgMar w:header="178" w:footer="1076" w:top="1120" w:bottom="1340" w:left="460" w:right="220"/>
        </w:sectPr>
      </w:pPr>
    </w:p>
    <w:p>
      <w:pPr>
        <w:pStyle w:val="BodyText"/>
        <w:rPr>
          <w:rFonts w:ascii="Times New Roman"/>
          <w:sz w:val="20"/>
        </w:rPr>
      </w:pPr>
    </w:p>
    <w:p>
      <w:pPr>
        <w:spacing w:before="271"/>
        <w:ind w:left="901" w:right="0" w:firstLine="0"/>
        <w:jc w:val="left"/>
        <w:rPr>
          <w:rFonts w:ascii="Tw Cen MT Condensed Extra Bold"/>
          <w:sz w:val="66"/>
        </w:rPr>
      </w:pPr>
      <w:r>
        <w:rPr/>
        <w:drawing>
          <wp:anchor distT="0" distB="0" distL="0" distR="0" allowOverlap="1" layoutInCell="1" locked="0" behindDoc="0" simplePos="0" relativeHeight="251679744">
            <wp:simplePos x="0" y="0"/>
            <wp:positionH relativeFrom="page">
              <wp:posOffset>5408233</wp:posOffset>
            </wp:positionH>
            <wp:positionV relativeFrom="paragraph">
              <wp:posOffset>-36848</wp:posOffset>
            </wp:positionV>
            <wp:extent cx="672968" cy="689585"/>
            <wp:effectExtent l="0" t="0" r="0" b="0"/>
            <wp:wrapNone/>
            <wp:docPr id="13" name="image13.png"/>
            <wp:cNvGraphicFramePr>
              <a:graphicFrameLocks noChangeAspect="1"/>
            </wp:cNvGraphicFramePr>
            <a:graphic>
              <a:graphicData uri="http://schemas.openxmlformats.org/drawingml/2006/picture">
                <pic:pic>
                  <pic:nvPicPr>
                    <pic:cNvPr id="14" name="image13.png"/>
                    <pic:cNvPicPr/>
                  </pic:nvPicPr>
                  <pic:blipFill>
                    <a:blip r:embed="rId20" cstate="print"/>
                    <a:stretch>
                      <a:fillRect/>
                    </a:stretch>
                  </pic:blipFill>
                  <pic:spPr>
                    <a:xfrm>
                      <a:off x="0" y="0"/>
                      <a:ext cx="672968" cy="689585"/>
                    </a:xfrm>
                    <a:prstGeom prst="rect">
                      <a:avLst/>
                    </a:prstGeom>
                  </pic:spPr>
                </pic:pic>
              </a:graphicData>
            </a:graphic>
          </wp:anchor>
        </w:drawing>
      </w:r>
      <w:r>
        <w:rPr>
          <w:rFonts w:ascii="Tw Cen MT Condensed Extra Bold"/>
          <w:color w:val="76923B"/>
          <w:sz w:val="66"/>
        </w:rPr>
        <w:t>Recursos Naturales</w:t>
      </w:r>
    </w:p>
    <w:p>
      <w:pPr>
        <w:pStyle w:val="BodyText"/>
        <w:spacing w:before="2"/>
        <w:rPr>
          <w:rFonts w:ascii="Tw Cen MT Condensed Extra Bold"/>
          <w:sz w:val="11"/>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477"/>
      </w:tblGrid>
      <w:tr>
        <w:trPr>
          <w:trHeight w:val="2158" w:hRule="atLeast"/>
        </w:trPr>
        <w:tc>
          <w:tcPr>
            <w:tcW w:w="4577" w:type="dxa"/>
            <w:tcBorders>
              <w:top w:val="nil"/>
              <w:bottom w:val="single" w:sz="2" w:space="0" w:color="CED6E7"/>
            </w:tcBorders>
            <w:shd w:val="clear" w:color="auto" w:fill="9BBA58"/>
          </w:tcPr>
          <w:p>
            <w:pPr>
              <w:pStyle w:val="TableParagraph"/>
              <w:spacing w:before="5"/>
              <w:rPr>
                <w:rFonts w:ascii="Tw Cen MT Condensed Extra Bold"/>
                <w:sz w:val="61"/>
              </w:rPr>
            </w:pPr>
          </w:p>
          <w:p>
            <w:pPr>
              <w:pStyle w:val="TableParagraph"/>
              <w:ind w:left="1321"/>
              <w:rPr>
                <w:rFonts w:ascii="Corbel"/>
                <w:sz w:val="48"/>
              </w:rPr>
            </w:pPr>
            <w:r>
              <w:rPr>
                <w:rFonts w:ascii="Corbel"/>
                <w:color w:val="FFFFFF"/>
                <w:sz w:val="48"/>
              </w:rPr>
              <w:t>Problema</w:t>
            </w:r>
          </w:p>
        </w:tc>
        <w:tc>
          <w:tcPr>
            <w:tcW w:w="4477" w:type="dxa"/>
            <w:tcBorders>
              <w:top w:val="nil"/>
              <w:bottom w:val="single" w:sz="2" w:space="0" w:color="CED6E7"/>
            </w:tcBorders>
            <w:shd w:val="clear" w:color="auto" w:fill="9BBA58"/>
          </w:tcPr>
          <w:p>
            <w:pPr>
              <w:pStyle w:val="TableParagraph"/>
              <w:spacing w:before="5"/>
              <w:rPr>
                <w:rFonts w:ascii="Tw Cen MT Condensed Extra Bold"/>
                <w:sz w:val="61"/>
              </w:rPr>
            </w:pPr>
          </w:p>
          <w:p>
            <w:pPr>
              <w:pStyle w:val="TableParagraph"/>
              <w:ind w:left="527"/>
              <w:rPr>
                <w:rFonts w:ascii="Corbel" w:hAnsi="Corbel"/>
                <w:sz w:val="48"/>
              </w:rPr>
            </w:pPr>
            <w:r>
              <w:rPr>
                <w:rFonts w:ascii="Corbel" w:hAnsi="Corbel"/>
                <w:color w:val="FFFFFF"/>
                <w:sz w:val="48"/>
              </w:rPr>
              <w:t>Línea Estratégica</w:t>
            </w:r>
          </w:p>
        </w:tc>
      </w:tr>
      <w:tr>
        <w:trPr>
          <w:trHeight w:val="9697" w:hRule="atLeast"/>
        </w:trPr>
        <w:tc>
          <w:tcPr>
            <w:tcW w:w="4577" w:type="dxa"/>
            <w:tcBorders>
              <w:top w:val="single" w:sz="2" w:space="0" w:color="CED6E7"/>
              <w:bottom w:val="single" w:sz="2" w:space="0" w:color="CED6E7"/>
            </w:tcBorders>
            <w:shd w:val="clear" w:color="auto" w:fill="C2D59B"/>
          </w:tcPr>
          <w:p>
            <w:pPr>
              <w:pStyle w:val="TableParagraph"/>
              <w:rPr>
                <w:rFonts w:ascii="Tw Cen MT Condensed Extra Bold"/>
                <w:sz w:val="20"/>
              </w:rPr>
            </w:pPr>
          </w:p>
          <w:p>
            <w:pPr>
              <w:pStyle w:val="TableParagraph"/>
              <w:numPr>
                <w:ilvl w:val="0"/>
                <w:numId w:val="19"/>
              </w:numPr>
              <w:tabs>
                <w:tab w:pos="798" w:val="left" w:leader="none"/>
                <w:tab w:pos="799" w:val="left" w:leader="none"/>
              </w:tabs>
              <w:spacing w:line="276" w:lineRule="auto" w:before="161" w:after="0"/>
              <w:ind w:left="798" w:right="193" w:hanging="360"/>
              <w:jc w:val="left"/>
              <w:rPr>
                <w:rFonts w:ascii="Corbel" w:hAnsi="Corbel"/>
                <w:sz w:val="20"/>
              </w:rPr>
            </w:pPr>
            <w:r>
              <w:rPr>
                <w:rFonts w:ascii="Corbel" w:hAnsi="Corbel"/>
                <w:smallCaps w:val="0"/>
                <w:sz w:val="20"/>
              </w:rPr>
              <w:t>Actividad minera a cielo abierto que</w:t>
            </w:r>
            <w:r>
              <w:rPr>
                <w:rFonts w:ascii="Corbel" w:hAnsi="Corbel"/>
                <w:smallCaps w:val="0"/>
                <w:spacing w:val="-16"/>
                <w:sz w:val="20"/>
              </w:rPr>
              <w:t> </w:t>
            </w:r>
            <w:r>
              <w:rPr>
                <w:rFonts w:ascii="Corbel" w:hAnsi="Corbel"/>
                <w:smallCaps w:val="0"/>
                <w:sz w:val="20"/>
              </w:rPr>
              <w:t>genera contaminación y deterioro del</w:t>
            </w:r>
            <w:r>
              <w:rPr>
                <w:rFonts w:ascii="Corbel" w:hAnsi="Corbel"/>
                <w:smallCaps w:val="0"/>
                <w:spacing w:val="-2"/>
                <w:sz w:val="20"/>
              </w:rPr>
              <w:t> </w:t>
            </w:r>
            <w:r>
              <w:rPr>
                <w:rFonts w:ascii="Corbel" w:hAnsi="Corbel"/>
                <w:smallCaps w:val="0"/>
                <w:sz w:val="20"/>
              </w:rPr>
              <w:t>suelo.</w:t>
            </w:r>
          </w:p>
          <w:p>
            <w:pPr>
              <w:pStyle w:val="TableParagraph"/>
              <w:rPr>
                <w:rFonts w:ascii="Tw Cen MT Condensed Extra Bold"/>
                <w:sz w:val="20"/>
              </w:rPr>
            </w:pPr>
          </w:p>
          <w:p>
            <w:pPr>
              <w:pStyle w:val="TableParagraph"/>
              <w:rPr>
                <w:rFonts w:ascii="Tw Cen MT Condensed Extra Bold"/>
                <w:sz w:val="21"/>
              </w:rPr>
            </w:pPr>
          </w:p>
          <w:p>
            <w:pPr>
              <w:pStyle w:val="TableParagraph"/>
              <w:numPr>
                <w:ilvl w:val="0"/>
                <w:numId w:val="19"/>
              </w:numPr>
              <w:tabs>
                <w:tab w:pos="798" w:val="left" w:leader="none"/>
                <w:tab w:pos="799" w:val="left" w:leader="none"/>
              </w:tabs>
              <w:spacing w:line="276" w:lineRule="auto" w:before="0" w:after="0"/>
              <w:ind w:left="798" w:right="112" w:hanging="360"/>
              <w:jc w:val="left"/>
              <w:rPr>
                <w:rFonts w:ascii="Corbel" w:hAnsi="Corbel"/>
                <w:sz w:val="20"/>
              </w:rPr>
            </w:pPr>
            <w:r>
              <w:rPr>
                <w:rFonts w:ascii="Corbel" w:hAnsi="Corbel"/>
                <w:smallCaps w:val="0"/>
                <w:sz w:val="20"/>
              </w:rPr>
              <w:t>No existe un inventario de flora y fauna en el municipio que ayude a su conservación y monitoreo.</w:t>
            </w:r>
          </w:p>
          <w:p>
            <w:pPr>
              <w:pStyle w:val="TableParagraph"/>
              <w:rPr>
                <w:rFonts w:ascii="Tw Cen MT Condensed Extra Bold"/>
                <w:sz w:val="20"/>
              </w:rPr>
            </w:pPr>
          </w:p>
          <w:p>
            <w:pPr>
              <w:pStyle w:val="TableParagraph"/>
              <w:rPr>
                <w:rFonts w:ascii="Tw Cen MT Condensed Extra Bold"/>
                <w:sz w:val="21"/>
              </w:rPr>
            </w:pPr>
          </w:p>
          <w:p>
            <w:pPr>
              <w:pStyle w:val="TableParagraph"/>
              <w:numPr>
                <w:ilvl w:val="0"/>
                <w:numId w:val="19"/>
              </w:numPr>
              <w:tabs>
                <w:tab w:pos="798" w:val="left" w:leader="none"/>
                <w:tab w:pos="799" w:val="left" w:leader="none"/>
              </w:tabs>
              <w:spacing w:line="276" w:lineRule="auto" w:before="0" w:after="0"/>
              <w:ind w:left="798" w:right="764" w:hanging="360"/>
              <w:jc w:val="left"/>
              <w:rPr>
                <w:rFonts w:ascii="Corbel" w:hAnsi="Corbel"/>
                <w:sz w:val="20"/>
              </w:rPr>
            </w:pPr>
            <w:r>
              <w:rPr>
                <w:rFonts w:ascii="Corbel" w:hAnsi="Corbel"/>
                <w:sz w:val="20"/>
              </w:rPr>
              <w:t>Erosión de los suelos por</w:t>
            </w:r>
            <w:r>
              <w:rPr>
                <w:rFonts w:ascii="Corbel" w:hAnsi="Corbel"/>
                <w:spacing w:val="-16"/>
                <w:sz w:val="20"/>
              </w:rPr>
              <w:t> </w:t>
            </w:r>
            <w:r>
              <w:rPr>
                <w:rFonts w:ascii="Corbel" w:hAnsi="Corbel"/>
                <w:sz w:val="20"/>
              </w:rPr>
              <w:t>actividades agrícolas</w:t>
            </w:r>
            <w:r>
              <w:rPr>
                <w:rFonts w:ascii="Corbel" w:hAnsi="Corbel"/>
                <w:spacing w:val="1"/>
                <w:sz w:val="20"/>
              </w:rPr>
              <w:t> </w:t>
            </w:r>
            <w:r>
              <w:rPr>
                <w:rFonts w:ascii="Corbel" w:hAnsi="Corbel"/>
                <w:sz w:val="20"/>
              </w:rPr>
              <w:t>(maíz)</w:t>
            </w:r>
          </w:p>
          <w:p>
            <w:pPr>
              <w:pStyle w:val="TableParagraph"/>
              <w:rPr>
                <w:rFonts w:ascii="Tw Cen MT Condensed Extra Bold"/>
                <w:sz w:val="20"/>
              </w:rPr>
            </w:pPr>
          </w:p>
          <w:p>
            <w:pPr>
              <w:pStyle w:val="TableParagraph"/>
              <w:rPr>
                <w:rFonts w:ascii="Tw Cen MT Condensed Extra Bold"/>
                <w:sz w:val="21"/>
              </w:rPr>
            </w:pPr>
          </w:p>
          <w:p>
            <w:pPr>
              <w:pStyle w:val="TableParagraph"/>
              <w:numPr>
                <w:ilvl w:val="0"/>
                <w:numId w:val="19"/>
              </w:numPr>
              <w:tabs>
                <w:tab w:pos="798" w:val="left" w:leader="none"/>
                <w:tab w:pos="799" w:val="left" w:leader="none"/>
              </w:tabs>
              <w:spacing w:line="276" w:lineRule="auto" w:before="0" w:after="0"/>
              <w:ind w:left="798" w:right="61" w:hanging="360"/>
              <w:jc w:val="left"/>
              <w:rPr>
                <w:rFonts w:ascii="Corbel" w:hAnsi="Corbel"/>
                <w:sz w:val="20"/>
              </w:rPr>
            </w:pPr>
            <w:r>
              <w:rPr>
                <w:rFonts w:ascii="Corbel" w:hAnsi="Corbel"/>
                <w:sz w:val="20"/>
              </w:rPr>
              <w:t>Degradación del recurso forestal, Deforestación y pérdida de biodiversidad; casi la mitad del municipio es área perturbadas de bosques a causa de incendios, las plagas y enfermedades, el cambio de uso del suelo o conversión de tierras con fines agropecuarios, el sobre pastoreo, los aprovechamiento no planeados o ilegales, talas clandestinas y comercialización de productos forestales a pequeña escala, así como la producción de importantes volúmenes de carbón.</w:t>
            </w:r>
          </w:p>
          <w:p>
            <w:pPr>
              <w:pStyle w:val="TableParagraph"/>
              <w:rPr>
                <w:rFonts w:ascii="Tw Cen MT Condensed Extra Bold"/>
                <w:sz w:val="20"/>
              </w:rPr>
            </w:pPr>
          </w:p>
          <w:p>
            <w:pPr>
              <w:pStyle w:val="TableParagraph"/>
              <w:spacing w:before="1"/>
              <w:rPr>
                <w:rFonts w:ascii="Tw Cen MT Condensed Extra Bold"/>
                <w:sz w:val="21"/>
              </w:rPr>
            </w:pPr>
          </w:p>
          <w:p>
            <w:pPr>
              <w:pStyle w:val="TableParagraph"/>
              <w:numPr>
                <w:ilvl w:val="0"/>
                <w:numId w:val="19"/>
              </w:numPr>
              <w:tabs>
                <w:tab w:pos="798" w:val="left" w:leader="none"/>
                <w:tab w:pos="799" w:val="left" w:leader="none"/>
              </w:tabs>
              <w:spacing w:line="276" w:lineRule="auto" w:before="0" w:after="0"/>
              <w:ind w:left="798" w:right="143" w:hanging="360"/>
              <w:jc w:val="left"/>
              <w:rPr>
                <w:rFonts w:ascii="Corbel"/>
                <w:sz w:val="20"/>
              </w:rPr>
            </w:pPr>
            <w:r>
              <w:rPr>
                <w:rFonts w:ascii="Corbel"/>
                <w:sz w:val="20"/>
              </w:rPr>
              <w:t>Cambio de uso de suelo forestal para</w:t>
            </w:r>
            <w:r>
              <w:rPr>
                <w:rFonts w:ascii="Corbel"/>
                <w:spacing w:val="-17"/>
                <w:sz w:val="20"/>
              </w:rPr>
              <w:t> </w:t>
            </w:r>
            <w:r>
              <w:rPr>
                <w:rFonts w:ascii="Corbel"/>
                <w:sz w:val="20"/>
              </w:rPr>
              <w:t>cultivo de agave azul, deteriorando el ecosistema forestal de manera irreversible.</w:t>
            </w:r>
          </w:p>
          <w:p>
            <w:pPr>
              <w:pStyle w:val="TableParagraph"/>
              <w:rPr>
                <w:rFonts w:ascii="Tw Cen MT Condensed Extra Bold"/>
                <w:sz w:val="20"/>
              </w:rPr>
            </w:pPr>
          </w:p>
          <w:p>
            <w:pPr>
              <w:pStyle w:val="TableParagraph"/>
              <w:rPr>
                <w:rFonts w:ascii="Tw Cen MT Condensed Extra Bold"/>
                <w:sz w:val="21"/>
              </w:rPr>
            </w:pPr>
          </w:p>
          <w:p>
            <w:pPr>
              <w:pStyle w:val="TableParagraph"/>
              <w:numPr>
                <w:ilvl w:val="0"/>
                <w:numId w:val="19"/>
              </w:numPr>
              <w:tabs>
                <w:tab w:pos="799" w:val="left" w:leader="none"/>
              </w:tabs>
              <w:spacing w:line="276" w:lineRule="auto" w:before="0" w:after="0"/>
              <w:ind w:left="798" w:right="132" w:hanging="360"/>
              <w:jc w:val="both"/>
              <w:rPr>
                <w:rFonts w:ascii="Corbel" w:hAnsi="Corbel"/>
                <w:sz w:val="20"/>
              </w:rPr>
            </w:pPr>
            <w:r>
              <w:rPr>
                <w:rFonts w:ascii="Corbel" w:hAnsi="Corbel"/>
                <w:sz w:val="20"/>
              </w:rPr>
              <w:t>Tala clandestina y deforestación de áreas</w:t>
            </w:r>
            <w:r>
              <w:rPr>
                <w:rFonts w:ascii="Corbel" w:hAnsi="Corbel"/>
                <w:spacing w:val="-24"/>
                <w:sz w:val="20"/>
              </w:rPr>
              <w:t> </w:t>
            </w:r>
            <w:r>
              <w:rPr>
                <w:rFonts w:ascii="Corbel" w:hAnsi="Corbel"/>
                <w:sz w:val="20"/>
              </w:rPr>
              <w:t>de bosque. Acompañado de pocas acciones de reforestación, las cuales han sido</w:t>
            </w:r>
            <w:r>
              <w:rPr>
                <w:rFonts w:ascii="Corbel" w:hAnsi="Corbel"/>
                <w:spacing w:val="-5"/>
                <w:sz w:val="20"/>
              </w:rPr>
              <w:t> </w:t>
            </w:r>
            <w:r>
              <w:rPr>
                <w:rFonts w:ascii="Corbel" w:hAnsi="Corbel"/>
                <w:sz w:val="20"/>
              </w:rPr>
              <w:t>débiles</w:t>
            </w:r>
          </w:p>
        </w:tc>
        <w:tc>
          <w:tcPr>
            <w:tcW w:w="4477" w:type="dxa"/>
            <w:tcBorders>
              <w:top w:val="single" w:sz="2" w:space="0" w:color="CED6E7"/>
              <w:bottom w:val="single" w:sz="2" w:space="0" w:color="CED6E7"/>
            </w:tcBorders>
            <w:shd w:val="clear" w:color="auto" w:fill="CDDDAC"/>
          </w:tcPr>
          <w:p>
            <w:pPr>
              <w:pStyle w:val="TableParagraph"/>
              <w:rPr>
                <w:rFonts w:ascii="Tw Cen MT Condensed Extra Bold"/>
                <w:sz w:val="20"/>
              </w:rPr>
            </w:pPr>
          </w:p>
          <w:p>
            <w:pPr>
              <w:pStyle w:val="TableParagraph"/>
              <w:spacing w:before="125"/>
              <w:ind w:left="81" w:right="157"/>
              <w:rPr>
                <w:rFonts w:ascii="Corbel" w:hAnsi="Corbel"/>
                <w:sz w:val="20"/>
              </w:rPr>
            </w:pPr>
            <w:r>
              <w:rPr>
                <w:rFonts w:ascii="Corbel" w:hAnsi="Corbel"/>
                <w:sz w:val="20"/>
              </w:rPr>
              <w:t>Conservación de los recursos forestales, la flora y la fauna municipal</w:t>
            </w:r>
          </w:p>
        </w:tc>
      </w:tr>
    </w:tbl>
    <w:p>
      <w:pPr>
        <w:spacing w:after="0"/>
        <w:rPr>
          <w:rFonts w:ascii="Corbel" w:hAnsi="Corbel"/>
          <w:sz w:val="20"/>
        </w:rPr>
        <w:sectPr>
          <w:pgSz w:w="12240" w:h="15840"/>
          <w:pgMar w:header="178" w:footer="1076" w:top="1120" w:bottom="1340" w:left="460" w:right="220"/>
        </w:sectPr>
      </w:pPr>
    </w:p>
    <w:p>
      <w:pPr>
        <w:pStyle w:val="BodyText"/>
        <w:rPr>
          <w:rFonts w:ascii="Times New Roman"/>
          <w:sz w:val="20"/>
        </w:rPr>
      </w:pPr>
    </w:p>
    <w:p>
      <w:pPr>
        <w:pStyle w:val="BodyText"/>
        <w:spacing w:before="6"/>
        <w:rPr>
          <w:rFonts w:ascii="Times New Roman"/>
          <w:sz w:val="25"/>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477"/>
      </w:tblGrid>
      <w:tr>
        <w:trPr>
          <w:trHeight w:val="3745" w:hRule="atLeast"/>
        </w:trPr>
        <w:tc>
          <w:tcPr>
            <w:tcW w:w="4577" w:type="dxa"/>
            <w:tcBorders>
              <w:top w:val="nil"/>
              <w:bottom w:val="single" w:sz="2" w:space="0" w:color="CED6E7"/>
            </w:tcBorders>
            <w:shd w:val="clear" w:color="auto" w:fill="C2D59B"/>
          </w:tcPr>
          <w:p>
            <w:pPr>
              <w:pStyle w:val="TableParagraph"/>
              <w:spacing w:line="276" w:lineRule="auto" w:before="80"/>
              <w:ind w:left="798" w:right="159"/>
              <w:rPr>
                <w:rFonts w:ascii="Corbel" w:hAnsi="Corbel"/>
                <w:sz w:val="20"/>
              </w:rPr>
            </w:pPr>
            <w:r>
              <w:rPr>
                <w:rFonts w:ascii="Corbel" w:hAnsi="Corbel"/>
                <w:spacing w:val="-1"/>
                <w:w w:val="99"/>
                <w:sz w:val="20"/>
              </w:rPr>
              <w:t>ha</w:t>
            </w:r>
            <w:r>
              <w:rPr>
                <w:rFonts w:ascii="Corbel" w:hAnsi="Corbel"/>
                <w:spacing w:val="1"/>
                <w:w w:val="99"/>
                <w:sz w:val="20"/>
              </w:rPr>
              <w:t>s</w:t>
            </w:r>
            <w:r>
              <w:rPr>
                <w:rFonts w:ascii="Corbel" w:hAnsi="Corbel"/>
                <w:spacing w:val="-1"/>
                <w:w w:val="99"/>
                <w:sz w:val="20"/>
              </w:rPr>
              <w:t>t</w:t>
            </w:r>
            <w:r>
              <w:rPr>
                <w:rFonts w:ascii="Corbel" w:hAnsi="Corbel"/>
                <w:w w:val="99"/>
                <w:sz w:val="20"/>
              </w:rPr>
              <w:t>a</w:t>
            </w:r>
            <w:r>
              <w:rPr>
                <w:rFonts w:ascii="Corbel" w:hAnsi="Corbel"/>
                <w:spacing w:val="2"/>
                <w:sz w:val="20"/>
              </w:rPr>
              <w:t> </w:t>
            </w:r>
            <w:r>
              <w:rPr>
                <w:rFonts w:ascii="Corbel" w:hAnsi="Corbel"/>
                <w:spacing w:val="-1"/>
                <w:w w:val="99"/>
                <w:sz w:val="20"/>
              </w:rPr>
              <w:t>l</w:t>
            </w:r>
            <w:r>
              <w:rPr>
                <w:rFonts w:ascii="Corbel" w:hAnsi="Corbel"/>
                <w:w w:val="99"/>
                <w:sz w:val="20"/>
              </w:rPr>
              <w:t>a</w:t>
            </w:r>
            <w:r>
              <w:rPr>
                <w:rFonts w:ascii="Corbel" w:hAnsi="Corbel"/>
                <w:spacing w:val="1"/>
                <w:sz w:val="20"/>
              </w:rPr>
              <w:t> </w:t>
            </w:r>
            <w:r>
              <w:rPr>
                <w:rFonts w:ascii="Corbel" w:hAnsi="Corbel"/>
                <w:spacing w:val="-1"/>
                <w:w w:val="99"/>
                <w:sz w:val="20"/>
              </w:rPr>
              <w:t>fech</w:t>
            </w:r>
            <w:r>
              <w:rPr>
                <w:rFonts w:ascii="Corbel" w:hAnsi="Corbel"/>
                <w:w w:val="99"/>
                <w:sz w:val="20"/>
              </w:rPr>
              <w:t>a</w:t>
            </w:r>
            <w:r>
              <w:rPr>
                <w:rFonts w:ascii="Corbel" w:hAnsi="Corbel"/>
                <w:spacing w:val="1"/>
                <w:sz w:val="20"/>
              </w:rPr>
              <w:t> </w:t>
            </w:r>
            <w:r>
              <w:rPr>
                <w:rFonts w:ascii="Corbel" w:hAnsi="Corbel"/>
                <w:w w:val="99"/>
                <w:sz w:val="20"/>
              </w:rPr>
              <w:t>y</w:t>
            </w:r>
            <w:r>
              <w:rPr>
                <w:rFonts w:ascii="Corbel" w:hAnsi="Corbel"/>
                <w:spacing w:val="1"/>
                <w:sz w:val="20"/>
              </w:rPr>
              <w:t> </w:t>
            </w:r>
            <w:r>
              <w:rPr>
                <w:rFonts w:ascii="Corbel" w:hAnsi="Corbel"/>
                <w:w w:val="99"/>
                <w:sz w:val="20"/>
              </w:rPr>
              <w:t>p</w:t>
            </w:r>
            <w:r>
              <w:rPr>
                <w:rFonts w:ascii="Corbel" w:hAnsi="Corbel"/>
                <w:spacing w:val="-1"/>
                <w:w w:val="99"/>
                <w:sz w:val="20"/>
              </w:rPr>
              <w:t>o</w:t>
            </w:r>
            <w:r>
              <w:rPr>
                <w:rFonts w:ascii="Corbel" w:hAnsi="Corbel"/>
                <w:w w:val="99"/>
                <w:sz w:val="20"/>
              </w:rPr>
              <w:t>r</w:t>
            </w:r>
            <w:r>
              <w:rPr>
                <w:rFonts w:ascii="Corbel" w:hAnsi="Corbel"/>
                <w:spacing w:val="1"/>
                <w:sz w:val="20"/>
              </w:rPr>
              <w:t> </w:t>
            </w:r>
            <w:r>
              <w:rPr>
                <w:rFonts w:ascii="Corbel" w:hAnsi="Corbel"/>
                <w:spacing w:val="-1"/>
                <w:w w:val="99"/>
                <w:sz w:val="20"/>
              </w:rPr>
              <w:t>l</w:t>
            </w:r>
            <w:r>
              <w:rPr>
                <w:rFonts w:ascii="Corbel" w:hAnsi="Corbel"/>
                <w:w w:val="99"/>
                <w:sz w:val="20"/>
              </w:rPr>
              <w:t>o</w:t>
            </w:r>
            <w:r>
              <w:rPr>
                <w:rFonts w:ascii="Corbel" w:hAnsi="Corbel"/>
                <w:sz w:val="20"/>
              </w:rPr>
              <w:t> </w:t>
            </w:r>
            <w:r>
              <w:rPr>
                <w:rFonts w:ascii="Corbel" w:hAnsi="Corbel"/>
                <w:spacing w:val="2"/>
                <w:w w:val="99"/>
                <w:sz w:val="20"/>
              </w:rPr>
              <w:t>g</w:t>
            </w:r>
            <w:r>
              <w:rPr>
                <w:rFonts w:ascii="Corbel" w:hAnsi="Corbel"/>
                <w:spacing w:val="-1"/>
                <w:w w:val="99"/>
                <w:sz w:val="20"/>
              </w:rPr>
              <w:t>e</w:t>
            </w:r>
            <w:r>
              <w:rPr>
                <w:rFonts w:ascii="Corbel" w:hAnsi="Corbel"/>
                <w:w w:val="99"/>
                <w:sz w:val="20"/>
              </w:rPr>
              <w:t>n</w:t>
            </w:r>
            <w:r>
              <w:rPr>
                <w:rFonts w:ascii="Corbel" w:hAnsi="Corbel"/>
                <w:spacing w:val="-1"/>
                <w:w w:val="99"/>
                <w:sz w:val="20"/>
              </w:rPr>
              <w:t>e</w:t>
            </w:r>
            <w:r>
              <w:rPr>
                <w:rFonts w:ascii="Corbel" w:hAnsi="Corbel"/>
                <w:w w:val="99"/>
                <w:sz w:val="20"/>
              </w:rPr>
              <w:t>r</w:t>
            </w:r>
            <w:r>
              <w:rPr>
                <w:rFonts w:ascii="Corbel" w:hAnsi="Corbel"/>
                <w:spacing w:val="1"/>
                <w:w w:val="99"/>
                <w:sz w:val="20"/>
              </w:rPr>
              <w:t>a</w:t>
            </w:r>
            <w:r>
              <w:rPr>
                <w:rFonts w:ascii="Corbel" w:hAnsi="Corbel"/>
                <w:w w:val="99"/>
                <w:sz w:val="20"/>
              </w:rPr>
              <w:t>l</w:t>
            </w:r>
            <w:r>
              <w:rPr>
                <w:rFonts w:ascii="Corbel" w:hAnsi="Corbel"/>
                <w:spacing w:val="3"/>
                <w:sz w:val="20"/>
              </w:rPr>
              <w:t> </w:t>
            </w:r>
            <w:r>
              <w:rPr>
                <w:rFonts w:ascii="Corbel" w:hAnsi="Corbel"/>
                <w:spacing w:val="1"/>
                <w:w w:val="99"/>
                <w:sz w:val="20"/>
              </w:rPr>
              <w:t>s</w:t>
            </w:r>
            <w:r>
              <w:rPr>
                <w:rFonts w:ascii="Corbel" w:hAnsi="Corbel"/>
                <w:w w:val="99"/>
                <w:sz w:val="20"/>
              </w:rPr>
              <w:t>e</w:t>
            </w:r>
            <w:r>
              <w:rPr>
                <w:rFonts w:ascii="Corbel" w:hAnsi="Corbel"/>
                <w:sz w:val="20"/>
              </w:rPr>
              <w:t> </w:t>
            </w:r>
            <w:r>
              <w:rPr>
                <w:rFonts w:ascii="Corbel" w:hAnsi="Corbel"/>
                <w:w w:val="99"/>
                <w:sz w:val="20"/>
              </w:rPr>
              <w:t>re</w:t>
            </w:r>
            <w:r>
              <w:rPr>
                <w:rFonts w:ascii="Corbel" w:hAnsi="Corbel"/>
                <w:spacing w:val="-2"/>
                <w:w w:val="99"/>
                <w:sz w:val="20"/>
              </w:rPr>
              <w:t>f</w:t>
            </w:r>
            <w:r>
              <w:rPr>
                <w:rFonts w:ascii="Corbel" w:hAnsi="Corbel"/>
                <w:spacing w:val="-1"/>
                <w:w w:val="99"/>
                <w:sz w:val="20"/>
              </w:rPr>
              <w:t>or</w:t>
            </w:r>
            <w:r>
              <w:rPr>
                <w:rFonts w:ascii="Corbel" w:hAnsi="Corbel"/>
                <w:spacing w:val="-2"/>
                <w:w w:val="99"/>
                <w:sz w:val="20"/>
              </w:rPr>
              <w:t>e</w:t>
            </w:r>
            <w:r>
              <w:rPr>
                <w:rFonts w:ascii="Corbel" w:hAnsi="Corbel"/>
                <w:w w:val="99"/>
                <w:sz w:val="20"/>
              </w:rPr>
              <w:t>s</w:t>
            </w:r>
            <w:r>
              <w:rPr>
                <w:rFonts w:ascii="Corbel" w:hAnsi="Corbel"/>
                <w:spacing w:val="-1"/>
                <w:w w:val="99"/>
                <w:sz w:val="20"/>
              </w:rPr>
              <w:t>ta co</w:t>
            </w:r>
            <w:r>
              <w:rPr>
                <w:rFonts w:ascii="Corbel" w:hAnsi="Corbel"/>
                <w:w w:val="99"/>
                <w:sz w:val="20"/>
              </w:rPr>
              <w:t>n</w:t>
            </w:r>
            <w:r>
              <w:rPr>
                <w:rFonts w:ascii="Corbel" w:hAnsi="Corbel"/>
                <w:sz w:val="20"/>
              </w:rPr>
              <w:t> </w:t>
            </w:r>
            <w:r>
              <w:rPr>
                <w:rFonts w:ascii="Corbel" w:hAnsi="Corbel"/>
                <w:w w:val="99"/>
                <w:sz w:val="20"/>
              </w:rPr>
              <w:t>p</w:t>
            </w:r>
            <w:r>
              <w:rPr>
                <w:rFonts w:ascii="Corbel" w:hAnsi="Corbel"/>
                <w:spacing w:val="-1"/>
                <w:w w:val="99"/>
                <w:sz w:val="20"/>
              </w:rPr>
              <w:t>l</w:t>
            </w:r>
            <w:r>
              <w:rPr>
                <w:rFonts w:ascii="Corbel" w:hAnsi="Corbel"/>
                <w:w w:val="99"/>
                <w:sz w:val="20"/>
              </w:rPr>
              <w:t>an</w:t>
            </w:r>
            <w:r>
              <w:rPr>
                <w:rFonts w:ascii="Corbel" w:hAnsi="Corbel"/>
                <w:spacing w:val="-1"/>
                <w:w w:val="99"/>
                <w:sz w:val="20"/>
              </w:rPr>
              <w:t>t</w:t>
            </w:r>
            <w:r>
              <w:rPr>
                <w:rFonts w:ascii="Corbel" w:hAnsi="Corbel"/>
                <w:w w:val="99"/>
                <w:sz w:val="20"/>
              </w:rPr>
              <w:t>as</w:t>
            </w:r>
            <w:r>
              <w:rPr>
                <w:rFonts w:ascii="Corbel" w:hAnsi="Corbel"/>
                <w:spacing w:val="2"/>
                <w:sz w:val="20"/>
              </w:rPr>
              <w:t> </w:t>
            </w:r>
            <w:r>
              <w:rPr>
                <w:rFonts w:ascii="Corbel" w:hAnsi="Corbel"/>
                <w:spacing w:val="-2"/>
                <w:w w:val="99"/>
                <w:sz w:val="20"/>
              </w:rPr>
              <w:t>d</w:t>
            </w:r>
            <w:r>
              <w:rPr>
                <w:rFonts w:ascii="Corbel" w:hAnsi="Corbel"/>
                <w:w w:val="99"/>
                <w:sz w:val="20"/>
              </w:rPr>
              <w:t>e</w:t>
            </w:r>
            <w:r>
              <w:rPr>
                <w:rFonts w:ascii="Corbel" w:hAnsi="Corbel"/>
                <w:sz w:val="20"/>
              </w:rPr>
              <w:t> </w:t>
            </w:r>
            <w:r>
              <w:rPr>
                <w:rFonts w:ascii="Corbel" w:hAnsi="Corbel"/>
                <w:w w:val="99"/>
                <w:sz w:val="20"/>
              </w:rPr>
              <w:t>p</w:t>
            </w:r>
            <w:r>
              <w:rPr>
                <w:rFonts w:ascii="Corbel" w:hAnsi="Corbel"/>
                <w:spacing w:val="-1"/>
                <w:w w:val="99"/>
                <w:sz w:val="20"/>
              </w:rPr>
              <w:t>i</w:t>
            </w:r>
            <w:r>
              <w:rPr>
                <w:rFonts w:ascii="Corbel" w:hAnsi="Corbel"/>
                <w:spacing w:val="2"/>
                <w:w w:val="99"/>
                <w:sz w:val="20"/>
              </w:rPr>
              <w:t>n</w:t>
            </w:r>
            <w:r>
              <w:rPr>
                <w:rFonts w:ascii="Corbel" w:hAnsi="Corbel"/>
                <w:w w:val="99"/>
                <w:sz w:val="20"/>
              </w:rPr>
              <w:t>o</w:t>
            </w:r>
            <w:r>
              <w:rPr>
                <w:rFonts w:ascii="Corbel" w:hAnsi="Corbel"/>
                <w:sz w:val="20"/>
              </w:rPr>
              <w:t> </w:t>
            </w:r>
            <w:r>
              <w:rPr>
                <w:rFonts w:ascii="Corbel" w:hAnsi="Corbel"/>
                <w:w w:val="99"/>
                <w:sz w:val="20"/>
              </w:rPr>
              <w:t>y</w:t>
            </w:r>
            <w:r>
              <w:rPr>
                <w:rFonts w:ascii="Corbel" w:hAnsi="Corbel"/>
                <w:spacing w:val="1"/>
                <w:sz w:val="20"/>
              </w:rPr>
              <w:t> </w:t>
            </w:r>
            <w:r>
              <w:rPr>
                <w:rFonts w:ascii="Corbel" w:hAnsi="Corbel"/>
                <w:spacing w:val="-1"/>
                <w:w w:val="99"/>
                <w:sz w:val="20"/>
              </w:rPr>
              <w:t>otr</w:t>
            </w:r>
            <w:r>
              <w:rPr>
                <w:rFonts w:ascii="Corbel" w:hAnsi="Corbel"/>
                <w:w w:val="99"/>
                <w:sz w:val="20"/>
              </w:rPr>
              <w:t>as</w:t>
            </w:r>
            <w:r>
              <w:rPr>
                <w:rFonts w:ascii="Corbel" w:hAnsi="Corbel"/>
                <w:spacing w:val="2"/>
                <w:sz w:val="20"/>
              </w:rPr>
              <w:t> </w:t>
            </w:r>
            <w:r>
              <w:rPr>
                <w:rFonts w:ascii="Corbel" w:hAnsi="Corbel"/>
                <w:spacing w:val="-1"/>
                <w:w w:val="99"/>
                <w:sz w:val="20"/>
              </w:rPr>
              <w:t>e</w:t>
            </w:r>
            <w:r>
              <w:rPr>
                <w:rFonts w:ascii="Corbel" w:hAnsi="Corbel"/>
                <w:w w:val="99"/>
                <w:sz w:val="20"/>
              </w:rPr>
              <w:t>sp</w:t>
            </w:r>
            <w:r>
              <w:rPr>
                <w:rFonts w:ascii="Corbel" w:hAnsi="Corbel"/>
                <w:spacing w:val="-1"/>
                <w:w w:val="99"/>
                <w:sz w:val="20"/>
              </w:rPr>
              <w:t>e</w:t>
            </w:r>
            <w:r>
              <w:rPr>
                <w:rFonts w:ascii="Corbel" w:hAnsi="Corbel"/>
                <w:spacing w:val="1"/>
                <w:w w:val="99"/>
                <w:sz w:val="20"/>
              </w:rPr>
              <w:t>c</w:t>
            </w:r>
            <w:r>
              <w:rPr>
                <w:rFonts w:ascii="Corbel" w:hAnsi="Corbel"/>
                <w:spacing w:val="-1"/>
                <w:w w:val="99"/>
                <w:sz w:val="20"/>
              </w:rPr>
              <w:t>ie</w:t>
            </w:r>
            <w:r>
              <w:rPr>
                <w:rFonts w:ascii="Corbel" w:hAnsi="Corbel"/>
                <w:w w:val="99"/>
                <w:sz w:val="20"/>
              </w:rPr>
              <w:t>s</w:t>
            </w:r>
            <w:r>
              <w:rPr>
                <w:rFonts w:ascii="Corbel" w:hAnsi="Corbel"/>
                <w:spacing w:val="2"/>
                <w:sz w:val="20"/>
              </w:rPr>
              <w:t> </w:t>
            </w:r>
            <w:r>
              <w:rPr>
                <w:rFonts w:ascii="Corbel" w:hAnsi="Corbel"/>
                <w:spacing w:val="1"/>
                <w:w w:val="99"/>
                <w:sz w:val="20"/>
              </w:rPr>
              <w:t>de </w:t>
            </w:r>
            <w:r>
              <w:rPr>
                <w:rFonts w:ascii="Corbel" w:hAnsi="Corbel"/>
                <w:spacing w:val="-1"/>
                <w:w w:val="99"/>
                <w:sz w:val="20"/>
              </w:rPr>
              <w:t>t</w:t>
            </w:r>
            <w:r>
              <w:rPr>
                <w:rFonts w:ascii="Corbel" w:hAnsi="Corbel"/>
                <w:w w:val="99"/>
                <w:sz w:val="20"/>
              </w:rPr>
              <w:t>am</w:t>
            </w:r>
            <w:r>
              <w:rPr>
                <w:rFonts w:ascii="Corbel" w:hAnsi="Corbel"/>
                <w:spacing w:val="1"/>
                <w:w w:val="99"/>
                <w:sz w:val="20"/>
              </w:rPr>
              <w:t>a</w:t>
            </w:r>
            <w:r>
              <w:rPr>
                <w:rFonts w:ascii="Corbel" w:hAnsi="Corbel"/>
                <w:w w:val="99"/>
                <w:sz w:val="20"/>
              </w:rPr>
              <w:t>ñ</w:t>
            </w:r>
            <w:r>
              <w:rPr>
                <w:rFonts w:ascii="Corbel" w:hAnsi="Corbel"/>
                <w:spacing w:val="-1"/>
                <w:w w:val="99"/>
                <w:sz w:val="20"/>
              </w:rPr>
              <w:t>o</w:t>
            </w:r>
            <w:r>
              <w:rPr>
                <w:rFonts w:ascii="Corbel" w:hAnsi="Corbel"/>
                <w:w w:val="99"/>
                <w:sz w:val="20"/>
              </w:rPr>
              <w:t>s</w:t>
            </w:r>
            <w:r>
              <w:rPr>
                <w:rFonts w:ascii="Corbel" w:hAnsi="Corbel"/>
                <w:spacing w:val="2"/>
                <w:sz w:val="20"/>
              </w:rPr>
              <w:t> </w:t>
            </w:r>
            <w:r>
              <w:rPr>
                <w:rFonts w:ascii="Corbel" w:hAnsi="Corbel"/>
                <w:spacing w:val="-2"/>
                <w:w w:val="99"/>
                <w:sz w:val="20"/>
              </w:rPr>
              <w:t>q</w:t>
            </w:r>
            <w:r>
              <w:rPr>
                <w:rFonts w:ascii="Corbel" w:hAnsi="Corbel"/>
                <w:w w:val="99"/>
                <w:sz w:val="20"/>
              </w:rPr>
              <w:t>ue</w:t>
            </w:r>
            <w:r>
              <w:rPr>
                <w:rFonts w:ascii="Corbel" w:hAnsi="Corbel"/>
                <w:sz w:val="20"/>
              </w:rPr>
              <w:t> </w:t>
            </w:r>
            <w:r>
              <w:rPr>
                <w:rFonts w:ascii="Corbel" w:hAnsi="Corbel"/>
                <w:spacing w:val="-1"/>
                <w:w w:val="99"/>
                <w:sz w:val="20"/>
              </w:rPr>
              <w:t>fl</w:t>
            </w:r>
            <w:r>
              <w:rPr>
                <w:rFonts w:ascii="Corbel" w:hAnsi="Corbel"/>
                <w:spacing w:val="2"/>
                <w:w w:val="99"/>
                <w:sz w:val="20"/>
              </w:rPr>
              <w:t>u</w:t>
            </w:r>
            <w:r>
              <w:rPr>
                <w:rFonts w:ascii="Corbel" w:hAnsi="Corbel"/>
                <w:spacing w:val="-1"/>
                <w:w w:val="99"/>
                <w:sz w:val="20"/>
              </w:rPr>
              <w:t>ctú</w:t>
            </w:r>
            <w:r>
              <w:rPr>
                <w:rFonts w:ascii="Corbel" w:hAnsi="Corbel"/>
                <w:w w:val="99"/>
                <w:sz w:val="20"/>
              </w:rPr>
              <w:t>an</w:t>
            </w:r>
            <w:r>
              <w:rPr>
                <w:rFonts w:ascii="Corbel" w:hAnsi="Corbel"/>
                <w:spacing w:val="2"/>
                <w:sz w:val="20"/>
              </w:rPr>
              <w:t> </w:t>
            </w:r>
            <w:r>
              <w:rPr>
                <w:rFonts w:ascii="Corbel" w:hAnsi="Corbel"/>
                <w:spacing w:val="-1"/>
                <w:w w:val="99"/>
                <w:sz w:val="20"/>
              </w:rPr>
              <w:t>e</w:t>
            </w:r>
            <w:r>
              <w:rPr>
                <w:rFonts w:ascii="Corbel" w:hAnsi="Corbel"/>
                <w:w w:val="99"/>
                <w:sz w:val="20"/>
              </w:rPr>
              <w:t>n</w:t>
            </w:r>
            <w:r>
              <w:rPr>
                <w:rFonts w:ascii="Corbel" w:hAnsi="Corbel"/>
                <w:spacing w:val="-1"/>
                <w:w w:val="99"/>
                <w:sz w:val="20"/>
              </w:rPr>
              <w:t>t</w:t>
            </w:r>
            <w:r>
              <w:rPr>
                <w:rFonts w:ascii="Corbel" w:hAnsi="Corbel"/>
                <w:w w:val="99"/>
                <w:sz w:val="20"/>
              </w:rPr>
              <w:t>re</w:t>
            </w:r>
            <w:r>
              <w:rPr>
                <w:rFonts w:ascii="Corbel" w:hAnsi="Corbel"/>
                <w:sz w:val="20"/>
              </w:rPr>
              <w:t> </w:t>
            </w:r>
            <w:r>
              <w:rPr>
                <w:rFonts w:ascii="Corbel" w:hAnsi="Corbel"/>
                <w:spacing w:val="1"/>
                <w:w w:val="99"/>
                <w:sz w:val="20"/>
              </w:rPr>
              <w:t>l</w:t>
            </w:r>
            <w:r>
              <w:rPr>
                <w:rFonts w:ascii="Corbel" w:hAnsi="Corbel"/>
                <w:spacing w:val="-1"/>
                <w:w w:val="99"/>
                <w:sz w:val="20"/>
              </w:rPr>
              <w:t>o</w:t>
            </w:r>
            <w:r>
              <w:rPr>
                <w:rFonts w:ascii="Corbel" w:hAnsi="Corbel"/>
                <w:w w:val="99"/>
                <w:sz w:val="20"/>
              </w:rPr>
              <w:t>s</w:t>
            </w:r>
            <w:r>
              <w:rPr>
                <w:rFonts w:ascii="Corbel" w:hAnsi="Corbel"/>
                <w:spacing w:val="1"/>
                <w:sz w:val="20"/>
              </w:rPr>
              <w:t> </w:t>
            </w:r>
            <w:r>
              <w:rPr>
                <w:rFonts w:ascii="Corbel" w:hAnsi="Corbel"/>
                <w:smallCaps/>
                <w:spacing w:val="-1"/>
                <w:w w:val="99"/>
                <w:sz w:val="20"/>
              </w:rPr>
              <w:t>2</w:t>
            </w:r>
            <w:r>
              <w:rPr>
                <w:rFonts w:ascii="Corbel" w:hAnsi="Corbel"/>
                <w:smallCaps/>
                <w:w w:val="99"/>
                <w:sz w:val="20"/>
              </w:rPr>
              <w:t>5</w:t>
            </w:r>
            <w:r>
              <w:rPr>
                <w:rFonts w:ascii="Corbel" w:hAnsi="Corbel"/>
                <w:smallCaps w:val="0"/>
                <w:spacing w:val="2"/>
                <w:sz w:val="20"/>
              </w:rPr>
              <w:t> </w:t>
            </w:r>
            <w:r>
              <w:rPr>
                <w:rFonts w:ascii="Corbel" w:hAnsi="Corbel"/>
                <w:smallCaps w:val="0"/>
                <w:spacing w:val="-1"/>
                <w:w w:val="99"/>
                <w:sz w:val="20"/>
              </w:rPr>
              <w:t>c</w:t>
            </w:r>
            <w:r>
              <w:rPr>
                <w:rFonts w:ascii="Corbel" w:hAnsi="Corbel"/>
                <w:smallCaps w:val="0"/>
                <w:w w:val="99"/>
                <w:sz w:val="20"/>
              </w:rPr>
              <w:t>m.</w:t>
            </w:r>
            <w:r>
              <w:rPr>
                <w:rFonts w:ascii="Corbel" w:hAnsi="Corbel"/>
                <w:smallCaps w:val="0"/>
                <w:spacing w:val="1"/>
                <w:sz w:val="20"/>
              </w:rPr>
              <w:t> </w:t>
            </w:r>
            <w:r>
              <w:rPr>
                <w:rFonts w:ascii="Corbel" w:hAnsi="Corbel"/>
                <w:smallCaps w:val="0"/>
                <w:w w:val="99"/>
                <w:sz w:val="20"/>
              </w:rPr>
              <w:t>y</w:t>
            </w:r>
            <w:r>
              <w:rPr>
                <w:rFonts w:ascii="Corbel" w:hAnsi="Corbel"/>
                <w:smallCaps w:val="0"/>
                <w:spacing w:val="1"/>
                <w:sz w:val="20"/>
              </w:rPr>
              <w:t> </w:t>
            </w:r>
            <w:r>
              <w:rPr>
                <w:rFonts w:ascii="Corbel" w:hAnsi="Corbel"/>
                <w:smallCaps w:val="0"/>
                <w:spacing w:val="-1"/>
                <w:w w:val="99"/>
                <w:sz w:val="20"/>
              </w:rPr>
              <w:t>el </w:t>
            </w:r>
            <w:r>
              <w:rPr>
                <w:rFonts w:ascii="Corbel" w:hAnsi="Corbel"/>
                <w:smallCaps w:val="0"/>
                <w:w w:val="99"/>
                <w:sz w:val="20"/>
              </w:rPr>
              <w:t>metro</w:t>
            </w:r>
            <w:r>
              <w:rPr>
                <w:rFonts w:ascii="Corbel" w:hAnsi="Corbel"/>
                <w:smallCaps w:val="0"/>
                <w:sz w:val="20"/>
              </w:rPr>
              <w:t> </w:t>
            </w:r>
            <w:r>
              <w:rPr>
                <w:rFonts w:ascii="Corbel" w:hAnsi="Corbel"/>
                <w:smallCaps w:val="0"/>
                <w:w w:val="99"/>
                <w:sz w:val="20"/>
              </w:rPr>
              <w:t>y</w:t>
            </w:r>
            <w:r>
              <w:rPr>
                <w:rFonts w:ascii="Corbel" w:hAnsi="Corbel"/>
                <w:smallCaps w:val="0"/>
                <w:spacing w:val="1"/>
                <w:sz w:val="20"/>
              </w:rPr>
              <w:t> </w:t>
            </w:r>
            <w:r>
              <w:rPr>
                <w:rFonts w:ascii="Corbel" w:hAnsi="Corbel"/>
                <w:smallCaps w:val="0"/>
                <w:w w:val="99"/>
                <w:sz w:val="20"/>
              </w:rPr>
              <w:t>med</w:t>
            </w:r>
            <w:r>
              <w:rPr>
                <w:rFonts w:ascii="Corbel" w:hAnsi="Corbel"/>
                <w:smallCaps w:val="0"/>
                <w:spacing w:val="-1"/>
                <w:w w:val="99"/>
                <w:sz w:val="20"/>
              </w:rPr>
              <w:t>io</w:t>
            </w:r>
            <w:r>
              <w:rPr>
                <w:rFonts w:ascii="Corbel" w:hAnsi="Corbel"/>
                <w:smallCaps w:val="0"/>
                <w:w w:val="99"/>
                <w:sz w:val="20"/>
              </w:rPr>
              <w:t>,</w:t>
            </w:r>
            <w:r>
              <w:rPr>
                <w:rFonts w:ascii="Corbel" w:hAnsi="Corbel"/>
                <w:smallCaps w:val="0"/>
                <w:sz w:val="20"/>
              </w:rPr>
              <w:t> </w:t>
            </w:r>
            <w:r>
              <w:rPr>
                <w:rFonts w:ascii="Corbel" w:hAnsi="Corbel"/>
                <w:smallCaps w:val="0"/>
                <w:w w:val="99"/>
                <w:sz w:val="20"/>
              </w:rPr>
              <w:t>s</w:t>
            </w:r>
            <w:r>
              <w:rPr>
                <w:rFonts w:ascii="Corbel" w:hAnsi="Corbel"/>
                <w:smallCaps w:val="0"/>
                <w:spacing w:val="-1"/>
                <w:w w:val="99"/>
                <w:sz w:val="20"/>
              </w:rPr>
              <w:t>o</w:t>
            </w:r>
            <w:r>
              <w:rPr>
                <w:rFonts w:ascii="Corbel" w:hAnsi="Corbel"/>
                <w:smallCaps w:val="0"/>
                <w:spacing w:val="-2"/>
                <w:w w:val="99"/>
                <w:sz w:val="20"/>
              </w:rPr>
              <w:t>b</w:t>
            </w:r>
            <w:r>
              <w:rPr>
                <w:rFonts w:ascii="Corbel" w:hAnsi="Corbel"/>
                <w:smallCaps w:val="0"/>
                <w:spacing w:val="2"/>
                <w:w w:val="99"/>
                <w:sz w:val="20"/>
              </w:rPr>
              <w:t>r</w:t>
            </w:r>
            <w:r>
              <w:rPr>
                <w:rFonts w:ascii="Corbel" w:hAnsi="Corbel"/>
                <w:smallCaps w:val="0"/>
                <w:spacing w:val="-1"/>
                <w:w w:val="99"/>
                <w:sz w:val="20"/>
              </w:rPr>
              <w:t>e</w:t>
            </w:r>
            <w:r>
              <w:rPr>
                <w:rFonts w:ascii="Corbel" w:hAnsi="Corbel"/>
                <w:smallCaps w:val="0"/>
                <w:spacing w:val="1"/>
                <w:w w:val="99"/>
                <w:sz w:val="20"/>
              </w:rPr>
              <w:t>v</w:t>
            </w:r>
            <w:r>
              <w:rPr>
                <w:rFonts w:ascii="Corbel" w:hAnsi="Corbel"/>
                <w:smallCaps w:val="0"/>
                <w:spacing w:val="-1"/>
                <w:w w:val="99"/>
                <w:sz w:val="20"/>
              </w:rPr>
              <w:t>i</w:t>
            </w:r>
            <w:r>
              <w:rPr>
                <w:rFonts w:ascii="Corbel" w:hAnsi="Corbel"/>
                <w:smallCaps w:val="0"/>
                <w:spacing w:val="1"/>
                <w:w w:val="99"/>
                <w:sz w:val="20"/>
              </w:rPr>
              <w:t>v</w:t>
            </w:r>
            <w:r>
              <w:rPr>
                <w:rFonts w:ascii="Corbel" w:hAnsi="Corbel"/>
                <w:smallCaps w:val="0"/>
                <w:spacing w:val="-1"/>
                <w:w w:val="99"/>
                <w:sz w:val="20"/>
              </w:rPr>
              <w:t>ie</w:t>
            </w:r>
            <w:r>
              <w:rPr>
                <w:rFonts w:ascii="Corbel" w:hAnsi="Corbel"/>
                <w:smallCaps w:val="0"/>
                <w:spacing w:val="2"/>
                <w:w w:val="99"/>
                <w:sz w:val="20"/>
              </w:rPr>
              <w:t>n</w:t>
            </w:r>
            <w:r>
              <w:rPr>
                <w:rFonts w:ascii="Corbel" w:hAnsi="Corbel"/>
                <w:smallCaps w:val="0"/>
                <w:spacing w:val="1"/>
                <w:w w:val="99"/>
                <w:sz w:val="20"/>
              </w:rPr>
              <w:t>d</w:t>
            </w:r>
            <w:r>
              <w:rPr>
                <w:rFonts w:ascii="Corbel" w:hAnsi="Corbel"/>
                <w:smallCaps w:val="0"/>
                <w:w w:val="99"/>
                <w:sz w:val="20"/>
              </w:rPr>
              <w:t>o</w:t>
            </w:r>
            <w:r>
              <w:rPr>
                <w:rFonts w:ascii="Corbel" w:hAnsi="Corbel"/>
                <w:smallCaps w:val="0"/>
                <w:spacing w:val="2"/>
                <w:sz w:val="20"/>
              </w:rPr>
              <w:t> </w:t>
            </w:r>
            <w:r>
              <w:rPr>
                <w:rFonts w:ascii="Corbel" w:hAnsi="Corbel"/>
                <w:smallCaps w:val="0"/>
                <w:spacing w:val="-1"/>
                <w:w w:val="99"/>
                <w:sz w:val="20"/>
              </w:rPr>
              <w:t>t</w:t>
            </w:r>
            <w:r>
              <w:rPr>
                <w:rFonts w:ascii="Corbel" w:hAnsi="Corbel"/>
                <w:smallCaps w:val="0"/>
                <w:w w:val="99"/>
                <w:sz w:val="20"/>
              </w:rPr>
              <w:t>an</w:t>
            </w:r>
            <w:r>
              <w:rPr>
                <w:rFonts w:ascii="Corbel" w:hAnsi="Corbel"/>
                <w:smallCaps w:val="0"/>
                <w:spacing w:val="1"/>
                <w:sz w:val="20"/>
              </w:rPr>
              <w:t> </w:t>
            </w:r>
            <w:r>
              <w:rPr>
                <w:rFonts w:ascii="Corbel" w:hAnsi="Corbel"/>
                <w:smallCaps w:val="0"/>
                <w:w w:val="99"/>
                <w:sz w:val="20"/>
              </w:rPr>
              <w:t>s</w:t>
            </w:r>
            <w:r>
              <w:rPr>
                <w:rFonts w:ascii="Corbel" w:hAnsi="Corbel"/>
                <w:smallCaps w:val="0"/>
                <w:spacing w:val="-1"/>
                <w:w w:val="99"/>
                <w:sz w:val="20"/>
              </w:rPr>
              <w:t>o</w:t>
            </w:r>
            <w:r>
              <w:rPr>
                <w:rFonts w:ascii="Corbel" w:hAnsi="Corbel"/>
                <w:smallCaps w:val="0"/>
                <w:spacing w:val="-2"/>
                <w:w w:val="99"/>
                <w:sz w:val="20"/>
              </w:rPr>
              <w:t>l</w:t>
            </w:r>
            <w:r>
              <w:rPr>
                <w:rFonts w:ascii="Corbel" w:hAnsi="Corbel"/>
                <w:smallCaps w:val="0"/>
                <w:w w:val="99"/>
                <w:sz w:val="20"/>
              </w:rPr>
              <w:t>o</w:t>
            </w:r>
            <w:r>
              <w:rPr>
                <w:rFonts w:ascii="Corbel" w:hAnsi="Corbel"/>
                <w:smallCaps w:val="0"/>
                <w:sz w:val="20"/>
              </w:rPr>
              <w:t> </w:t>
            </w:r>
            <w:r>
              <w:rPr>
                <w:rFonts w:ascii="Corbel" w:hAnsi="Corbel"/>
                <w:smallCaps w:val="0"/>
                <w:w w:val="99"/>
                <w:sz w:val="20"/>
              </w:rPr>
              <w:t>un</w:t>
            </w:r>
            <w:r>
              <w:rPr>
                <w:rFonts w:ascii="Corbel" w:hAnsi="Corbel"/>
                <w:smallCaps w:val="0"/>
                <w:spacing w:val="-1"/>
                <w:w w:val="99"/>
                <w:sz w:val="20"/>
              </w:rPr>
              <w:t>os </w:t>
            </w:r>
            <w:r>
              <w:rPr>
                <w:rFonts w:ascii="Corbel" w:hAnsi="Corbel"/>
                <w:smallCaps w:val="0"/>
                <w:w w:val="99"/>
                <w:sz w:val="20"/>
              </w:rPr>
              <w:t>p</w:t>
            </w:r>
            <w:r>
              <w:rPr>
                <w:rFonts w:ascii="Corbel" w:hAnsi="Corbel"/>
                <w:smallCaps w:val="0"/>
                <w:spacing w:val="-1"/>
                <w:w w:val="99"/>
                <w:sz w:val="20"/>
              </w:rPr>
              <w:t>o</w:t>
            </w:r>
            <w:r>
              <w:rPr>
                <w:rFonts w:ascii="Corbel" w:hAnsi="Corbel"/>
                <w:smallCaps w:val="0"/>
                <w:spacing w:val="1"/>
                <w:w w:val="99"/>
                <w:sz w:val="20"/>
              </w:rPr>
              <w:t>c</w:t>
            </w:r>
            <w:r>
              <w:rPr>
                <w:rFonts w:ascii="Corbel" w:hAnsi="Corbel"/>
                <w:smallCaps w:val="0"/>
                <w:spacing w:val="-1"/>
                <w:w w:val="99"/>
                <w:sz w:val="20"/>
              </w:rPr>
              <w:t>o</w:t>
            </w:r>
            <w:r>
              <w:rPr>
                <w:rFonts w:ascii="Corbel" w:hAnsi="Corbel"/>
                <w:smallCaps w:val="0"/>
                <w:w w:val="99"/>
                <w:sz w:val="20"/>
              </w:rPr>
              <w:t>s</w:t>
            </w:r>
            <w:r>
              <w:rPr>
                <w:rFonts w:ascii="Corbel" w:hAnsi="Corbel"/>
                <w:smallCaps w:val="0"/>
                <w:spacing w:val="1"/>
                <w:sz w:val="20"/>
              </w:rPr>
              <w:t> </w:t>
            </w:r>
            <w:r>
              <w:rPr>
                <w:rFonts w:ascii="Corbel" w:hAnsi="Corbel"/>
                <w:smallCaps w:val="0"/>
                <w:spacing w:val="-1"/>
                <w:w w:val="99"/>
                <w:sz w:val="20"/>
              </w:rPr>
              <w:t>e</w:t>
            </w:r>
            <w:r>
              <w:rPr>
                <w:rFonts w:ascii="Corbel" w:hAnsi="Corbel"/>
                <w:smallCaps w:val="0"/>
                <w:w w:val="99"/>
                <w:sz w:val="20"/>
              </w:rPr>
              <w:t>sp</w:t>
            </w:r>
            <w:r>
              <w:rPr>
                <w:rFonts w:ascii="Corbel" w:hAnsi="Corbel"/>
                <w:smallCaps w:val="0"/>
                <w:spacing w:val="-1"/>
                <w:w w:val="99"/>
                <w:sz w:val="20"/>
              </w:rPr>
              <w:t>e</w:t>
            </w:r>
            <w:r>
              <w:rPr>
                <w:rFonts w:ascii="Corbel" w:hAnsi="Corbel"/>
                <w:smallCaps w:val="0"/>
                <w:spacing w:val="1"/>
                <w:w w:val="99"/>
                <w:sz w:val="20"/>
              </w:rPr>
              <w:t>c</w:t>
            </w:r>
            <w:r>
              <w:rPr>
                <w:rFonts w:ascii="Corbel" w:hAnsi="Corbel"/>
                <w:smallCaps w:val="0"/>
                <w:spacing w:val="-1"/>
                <w:w w:val="99"/>
                <w:sz w:val="20"/>
              </w:rPr>
              <w:t>í</w:t>
            </w:r>
            <w:r>
              <w:rPr>
                <w:rFonts w:ascii="Corbel" w:hAnsi="Corbel"/>
                <w:smallCaps w:val="0"/>
                <w:w w:val="99"/>
                <w:sz w:val="20"/>
              </w:rPr>
              <w:t>me</w:t>
            </w:r>
            <w:r>
              <w:rPr>
                <w:rFonts w:ascii="Corbel" w:hAnsi="Corbel"/>
                <w:smallCaps w:val="0"/>
                <w:spacing w:val="2"/>
                <w:w w:val="99"/>
                <w:sz w:val="20"/>
              </w:rPr>
              <w:t>n</w:t>
            </w:r>
            <w:r>
              <w:rPr>
                <w:rFonts w:ascii="Corbel" w:hAnsi="Corbel"/>
                <w:smallCaps w:val="0"/>
                <w:spacing w:val="-1"/>
                <w:w w:val="99"/>
                <w:sz w:val="20"/>
              </w:rPr>
              <w:t>e</w:t>
            </w:r>
            <w:r>
              <w:rPr>
                <w:rFonts w:ascii="Corbel" w:hAnsi="Corbel"/>
                <w:smallCaps w:val="0"/>
                <w:w w:val="99"/>
                <w:sz w:val="20"/>
              </w:rPr>
              <w:t>s.</w:t>
            </w:r>
          </w:p>
          <w:p>
            <w:pPr>
              <w:pStyle w:val="TableParagraph"/>
              <w:rPr>
                <w:rFonts w:ascii="Times New Roman"/>
                <w:sz w:val="20"/>
              </w:rPr>
            </w:pPr>
          </w:p>
          <w:p>
            <w:pPr>
              <w:pStyle w:val="TableParagraph"/>
              <w:spacing w:before="8"/>
              <w:rPr>
                <w:rFonts w:ascii="Times New Roman"/>
                <w:sz w:val="18"/>
              </w:rPr>
            </w:pPr>
          </w:p>
          <w:p>
            <w:pPr>
              <w:pStyle w:val="TableParagraph"/>
              <w:tabs>
                <w:tab w:pos="798" w:val="left" w:leader="none"/>
              </w:tabs>
              <w:spacing w:line="276" w:lineRule="auto"/>
              <w:ind w:left="798" w:right="133" w:hanging="360"/>
              <w:rPr>
                <w:rFonts w:ascii="Corbel" w:hAnsi="Corbel"/>
                <w:sz w:val="20"/>
              </w:rPr>
            </w:pPr>
            <w:r>
              <w:rPr>
                <w:rFonts w:ascii="Corbel" w:hAnsi="Corbel"/>
                <w:sz w:val="20"/>
              </w:rPr>
              <w:t>7.</w:t>
              <w:tab/>
              <w:t>Incendios forestales presentes casi todos</w:t>
            </w:r>
            <w:r>
              <w:rPr>
                <w:rFonts w:ascii="Corbel" w:hAnsi="Corbel"/>
                <w:spacing w:val="-23"/>
                <w:sz w:val="20"/>
              </w:rPr>
              <w:t> </w:t>
            </w:r>
            <w:r>
              <w:rPr>
                <w:rFonts w:ascii="Corbel" w:hAnsi="Corbel"/>
                <w:sz w:val="20"/>
              </w:rPr>
              <w:t>los años, que devastan la masa forestal de magdalena.</w:t>
            </w:r>
          </w:p>
        </w:tc>
        <w:tc>
          <w:tcPr>
            <w:tcW w:w="4477" w:type="dxa"/>
            <w:tcBorders>
              <w:top w:val="nil"/>
              <w:bottom w:val="single" w:sz="2" w:space="0" w:color="CED6E7"/>
            </w:tcBorders>
            <w:shd w:val="clear" w:color="auto" w:fill="CDDDAC"/>
          </w:tcPr>
          <w:p>
            <w:pPr>
              <w:pStyle w:val="TableParagraph"/>
              <w:rPr>
                <w:rFonts w:ascii="Times New Roman"/>
                <w:sz w:val="20"/>
              </w:rPr>
            </w:pPr>
          </w:p>
        </w:tc>
      </w:tr>
    </w:tbl>
    <w:p>
      <w:pPr>
        <w:pStyle w:val="BodyText"/>
        <w:rPr>
          <w:rFonts w:ascii="Times New Roman"/>
          <w:sz w:val="20"/>
        </w:rPr>
      </w:pPr>
    </w:p>
    <w:p>
      <w:pPr>
        <w:pStyle w:val="BodyText"/>
        <w:rPr>
          <w:rFonts w:ascii="Times New Roman"/>
          <w:sz w:val="20"/>
        </w:rPr>
      </w:pPr>
    </w:p>
    <w:p>
      <w:pPr>
        <w:pStyle w:val="BodyText"/>
        <w:spacing w:before="3"/>
        <w:rPr>
          <w:rFonts w:ascii="Times New Roman"/>
          <w:sz w:val="19"/>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477"/>
      </w:tblGrid>
      <w:tr>
        <w:trPr>
          <w:trHeight w:val="2156" w:hRule="atLeast"/>
        </w:trPr>
        <w:tc>
          <w:tcPr>
            <w:tcW w:w="4577" w:type="dxa"/>
            <w:tcBorders>
              <w:top w:val="nil"/>
              <w:bottom w:val="single" w:sz="2" w:space="0" w:color="CED6E7"/>
            </w:tcBorders>
            <w:shd w:val="clear" w:color="auto" w:fill="76923B"/>
          </w:tcPr>
          <w:p>
            <w:pPr>
              <w:pStyle w:val="TableParagraph"/>
              <w:spacing w:before="10"/>
              <w:rPr>
                <w:rFonts w:ascii="Times New Roman"/>
                <w:sz w:val="57"/>
              </w:rPr>
            </w:pPr>
          </w:p>
          <w:p>
            <w:pPr>
              <w:pStyle w:val="TableParagraph"/>
              <w:ind w:left="1300"/>
              <w:rPr>
                <w:rFonts w:ascii="Corbel"/>
                <w:sz w:val="48"/>
              </w:rPr>
            </w:pPr>
            <w:r>
              <w:rPr>
                <w:rFonts w:ascii="Corbel"/>
                <w:color w:val="FFFFFF"/>
                <w:sz w:val="48"/>
              </w:rPr>
              <w:t>Programa</w:t>
            </w:r>
          </w:p>
        </w:tc>
        <w:tc>
          <w:tcPr>
            <w:tcW w:w="4477" w:type="dxa"/>
            <w:tcBorders>
              <w:top w:val="nil"/>
              <w:bottom w:val="single" w:sz="6" w:space="0" w:color="000000"/>
            </w:tcBorders>
            <w:shd w:val="clear" w:color="auto" w:fill="C2D59B"/>
          </w:tcPr>
          <w:p>
            <w:pPr>
              <w:pStyle w:val="TableParagraph"/>
              <w:spacing w:before="10"/>
              <w:rPr>
                <w:rFonts w:ascii="Times New Roman"/>
                <w:sz w:val="57"/>
              </w:rPr>
            </w:pPr>
          </w:p>
          <w:p>
            <w:pPr>
              <w:pStyle w:val="TableParagraph"/>
              <w:ind w:left="1245"/>
              <w:rPr>
                <w:rFonts w:ascii="Corbel"/>
                <w:sz w:val="48"/>
              </w:rPr>
            </w:pPr>
            <w:r>
              <w:rPr>
                <w:rFonts w:ascii="Corbel"/>
                <w:color w:val="76923B"/>
                <w:sz w:val="48"/>
              </w:rPr>
              <w:t>Proyectos</w:t>
            </w:r>
          </w:p>
        </w:tc>
      </w:tr>
      <w:tr>
        <w:trPr>
          <w:trHeight w:val="4354" w:hRule="atLeast"/>
        </w:trPr>
        <w:tc>
          <w:tcPr>
            <w:tcW w:w="4577" w:type="dxa"/>
            <w:tcBorders>
              <w:top w:val="single" w:sz="2" w:space="0" w:color="CED6E7"/>
              <w:bottom w:val="single" w:sz="2" w:space="0" w:color="CED6E7"/>
            </w:tcBorders>
            <w:shd w:val="clear" w:color="auto" w:fill="C2D59B"/>
          </w:tcPr>
          <w:p>
            <w:pPr>
              <w:pStyle w:val="TableParagraph"/>
              <w:spacing w:before="2"/>
              <w:rPr>
                <w:rFonts w:ascii="Times New Roman"/>
                <w:sz w:val="32"/>
              </w:rPr>
            </w:pPr>
          </w:p>
          <w:p>
            <w:pPr>
              <w:pStyle w:val="TableParagraph"/>
              <w:ind w:left="438"/>
              <w:rPr>
                <w:rFonts w:ascii="Corbel"/>
                <w:sz w:val="20"/>
              </w:rPr>
            </w:pPr>
            <w:r>
              <w:rPr>
                <w:rFonts w:ascii="Arial"/>
                <w:sz w:val="20"/>
              </w:rPr>
              <w:t>1. </w:t>
            </w:r>
            <w:r>
              <w:rPr>
                <w:rFonts w:ascii="Corbel"/>
                <w:color w:val="404040"/>
                <w:sz w:val="20"/>
              </w:rPr>
              <w:t>Imperio de la ley ambiental</w:t>
            </w:r>
          </w:p>
        </w:tc>
        <w:tc>
          <w:tcPr>
            <w:tcW w:w="4477" w:type="dxa"/>
            <w:tcBorders>
              <w:top w:val="single" w:sz="6" w:space="0" w:color="000000"/>
              <w:bottom w:val="single" w:sz="2" w:space="0" w:color="CED6E7"/>
            </w:tcBorders>
            <w:shd w:val="clear" w:color="auto" w:fill="D5E2BB"/>
          </w:tcPr>
          <w:p>
            <w:pPr>
              <w:pStyle w:val="TableParagraph"/>
              <w:spacing w:before="1"/>
              <w:rPr>
                <w:rFonts w:ascii="Times New Roman"/>
                <w:sz w:val="29"/>
              </w:rPr>
            </w:pPr>
          </w:p>
          <w:p>
            <w:pPr>
              <w:pStyle w:val="TableParagraph"/>
              <w:numPr>
                <w:ilvl w:val="0"/>
                <w:numId w:val="20"/>
              </w:numPr>
              <w:tabs>
                <w:tab w:pos="801" w:val="left" w:leader="none"/>
                <w:tab w:pos="802" w:val="left" w:leader="none"/>
              </w:tabs>
              <w:spacing w:line="240" w:lineRule="auto" w:before="1" w:after="0"/>
              <w:ind w:left="801" w:right="207" w:hanging="361"/>
              <w:jc w:val="left"/>
              <w:rPr>
                <w:rFonts w:ascii="Corbel" w:hAnsi="Corbel"/>
                <w:sz w:val="20"/>
              </w:rPr>
            </w:pPr>
            <w:r>
              <w:rPr>
                <w:rFonts w:ascii="Corbel" w:hAnsi="Corbel"/>
                <w:color w:val="252525"/>
                <w:sz w:val="20"/>
              </w:rPr>
              <w:t>Actualizar la reglamentación municipal</w:t>
            </w:r>
            <w:r>
              <w:rPr>
                <w:rFonts w:ascii="Corbel" w:hAnsi="Corbel"/>
                <w:color w:val="252525"/>
                <w:spacing w:val="-17"/>
                <w:sz w:val="20"/>
              </w:rPr>
              <w:t> </w:t>
            </w:r>
            <w:r>
              <w:rPr>
                <w:rFonts w:ascii="Corbel" w:hAnsi="Corbel"/>
                <w:color w:val="252525"/>
                <w:sz w:val="20"/>
              </w:rPr>
              <w:t>en materia forestal.</w:t>
            </w:r>
          </w:p>
          <w:p>
            <w:pPr>
              <w:pStyle w:val="TableParagraph"/>
              <w:rPr>
                <w:rFonts w:ascii="Times New Roman"/>
                <w:sz w:val="20"/>
              </w:rPr>
            </w:pPr>
          </w:p>
          <w:p>
            <w:pPr>
              <w:pStyle w:val="TableParagraph"/>
              <w:spacing w:before="7"/>
              <w:rPr>
                <w:rFonts w:ascii="Times New Roman"/>
                <w:sz w:val="18"/>
              </w:rPr>
            </w:pPr>
          </w:p>
          <w:p>
            <w:pPr>
              <w:pStyle w:val="TableParagraph"/>
              <w:numPr>
                <w:ilvl w:val="0"/>
                <w:numId w:val="20"/>
              </w:numPr>
              <w:tabs>
                <w:tab w:pos="801" w:val="left" w:leader="none"/>
                <w:tab w:pos="802" w:val="left" w:leader="none"/>
              </w:tabs>
              <w:spacing w:line="240" w:lineRule="auto" w:before="0" w:after="0"/>
              <w:ind w:left="801" w:right="777" w:hanging="361"/>
              <w:jc w:val="left"/>
              <w:rPr>
                <w:rFonts w:ascii="Corbel" w:hAnsi="Corbel"/>
                <w:sz w:val="20"/>
              </w:rPr>
            </w:pPr>
            <w:r>
              <w:rPr>
                <w:rFonts w:ascii="Corbel" w:hAnsi="Corbel"/>
                <w:color w:val="252525"/>
                <w:sz w:val="20"/>
              </w:rPr>
              <w:t>Llevar a cabo un control estricto de aserraderos</w:t>
            </w:r>
            <w:r>
              <w:rPr>
                <w:rFonts w:ascii="Corbel" w:hAnsi="Corbel"/>
                <w:color w:val="252525"/>
                <w:spacing w:val="1"/>
                <w:sz w:val="20"/>
              </w:rPr>
              <w:t> </w:t>
            </w:r>
            <w:r>
              <w:rPr>
                <w:rFonts w:ascii="Corbel" w:hAnsi="Corbel"/>
                <w:color w:val="252525"/>
                <w:sz w:val="20"/>
              </w:rPr>
              <w:t>oficiales.</w:t>
            </w:r>
          </w:p>
          <w:p>
            <w:pPr>
              <w:pStyle w:val="TableParagraph"/>
              <w:spacing w:before="3"/>
              <w:rPr>
                <w:rFonts w:ascii="Times New Roman"/>
                <w:sz w:val="21"/>
              </w:rPr>
            </w:pPr>
          </w:p>
          <w:p>
            <w:pPr>
              <w:pStyle w:val="TableParagraph"/>
              <w:numPr>
                <w:ilvl w:val="0"/>
                <w:numId w:val="20"/>
              </w:numPr>
              <w:tabs>
                <w:tab w:pos="801" w:val="left" w:leader="none"/>
                <w:tab w:pos="802" w:val="left" w:leader="none"/>
              </w:tabs>
              <w:spacing w:line="240" w:lineRule="auto" w:before="1" w:after="0"/>
              <w:ind w:left="801" w:right="0" w:hanging="361"/>
              <w:jc w:val="left"/>
              <w:rPr>
                <w:rFonts w:ascii="Corbel" w:hAnsi="Corbel"/>
                <w:sz w:val="20"/>
              </w:rPr>
            </w:pPr>
            <w:r>
              <w:rPr>
                <w:rFonts w:ascii="Corbel" w:hAnsi="Corbel"/>
                <w:color w:val="252525"/>
                <w:sz w:val="20"/>
              </w:rPr>
              <w:t>Vigilar y controlar la tala</w:t>
            </w:r>
            <w:r>
              <w:rPr>
                <w:rFonts w:ascii="Corbel" w:hAnsi="Corbel"/>
                <w:color w:val="252525"/>
                <w:spacing w:val="-3"/>
                <w:sz w:val="20"/>
              </w:rPr>
              <w:t> </w:t>
            </w:r>
            <w:r>
              <w:rPr>
                <w:rFonts w:ascii="Corbel" w:hAnsi="Corbel"/>
                <w:color w:val="252525"/>
                <w:sz w:val="20"/>
              </w:rPr>
              <w:t>clandestina.</w:t>
            </w:r>
          </w:p>
          <w:p>
            <w:pPr>
              <w:pStyle w:val="TableParagraph"/>
              <w:rPr>
                <w:rFonts w:ascii="Times New Roman"/>
                <w:sz w:val="21"/>
              </w:rPr>
            </w:pPr>
          </w:p>
          <w:p>
            <w:pPr>
              <w:pStyle w:val="TableParagraph"/>
              <w:numPr>
                <w:ilvl w:val="0"/>
                <w:numId w:val="20"/>
              </w:numPr>
              <w:tabs>
                <w:tab w:pos="801" w:val="left" w:leader="none"/>
                <w:tab w:pos="802" w:val="left" w:leader="none"/>
              </w:tabs>
              <w:spacing w:line="240" w:lineRule="auto" w:before="0" w:after="0"/>
              <w:ind w:left="801" w:right="264" w:hanging="361"/>
              <w:jc w:val="left"/>
              <w:rPr>
                <w:rFonts w:ascii="Corbel" w:hAnsi="Corbel"/>
                <w:sz w:val="20"/>
              </w:rPr>
            </w:pPr>
            <w:r>
              <w:rPr>
                <w:rFonts w:ascii="Corbel" w:hAnsi="Corbel"/>
                <w:color w:val="252525"/>
                <w:sz w:val="20"/>
              </w:rPr>
              <w:t>Actualizar el Plan Urbano de Centro de Población y los reglamentos municipales respectivos para controlar los cambios</w:t>
            </w:r>
            <w:r>
              <w:rPr>
                <w:rFonts w:ascii="Corbel" w:hAnsi="Corbel"/>
                <w:color w:val="252525"/>
                <w:spacing w:val="-20"/>
                <w:sz w:val="20"/>
              </w:rPr>
              <w:t> </w:t>
            </w:r>
            <w:r>
              <w:rPr>
                <w:rFonts w:ascii="Corbel" w:hAnsi="Corbel"/>
                <w:color w:val="252525"/>
                <w:sz w:val="20"/>
              </w:rPr>
              <w:t>de uso de</w:t>
            </w:r>
            <w:r>
              <w:rPr>
                <w:rFonts w:ascii="Corbel" w:hAnsi="Corbel"/>
                <w:color w:val="252525"/>
                <w:spacing w:val="-1"/>
                <w:sz w:val="20"/>
              </w:rPr>
              <w:t> </w:t>
            </w:r>
            <w:r>
              <w:rPr>
                <w:rFonts w:ascii="Corbel" w:hAnsi="Corbel"/>
                <w:color w:val="252525"/>
                <w:sz w:val="20"/>
              </w:rPr>
              <w:t>suelo.</w:t>
            </w:r>
          </w:p>
        </w:tc>
      </w:tr>
    </w:tbl>
    <w:p>
      <w:pPr>
        <w:pStyle w:val="BodyText"/>
        <w:rPr>
          <w:rFonts w:ascii="Times New Roman"/>
          <w:sz w:val="20"/>
        </w:rPr>
      </w:pPr>
    </w:p>
    <w:p>
      <w:pPr>
        <w:pStyle w:val="BodyText"/>
        <w:rPr>
          <w:rFonts w:ascii="Times New Roman"/>
          <w:sz w:val="20"/>
        </w:rPr>
      </w:pPr>
    </w:p>
    <w:p>
      <w:pPr>
        <w:pStyle w:val="BodyText"/>
        <w:spacing w:before="4"/>
        <w:rPr>
          <w:rFonts w:ascii="Times New Roman"/>
          <w:sz w:val="21"/>
        </w:rPr>
      </w:pPr>
    </w:p>
    <w:tbl>
      <w:tblPr>
        <w:tblW w:w="0" w:type="auto"/>
        <w:jc w:val="left"/>
        <w:tblInd w:w="8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477"/>
      </w:tblGrid>
      <w:tr>
        <w:trPr>
          <w:trHeight w:val="990" w:hRule="atLeast"/>
        </w:trPr>
        <w:tc>
          <w:tcPr>
            <w:tcW w:w="4577" w:type="dxa"/>
            <w:tcBorders>
              <w:top w:val="nil"/>
              <w:bottom w:val="single" w:sz="24" w:space="0" w:color="FFFFFF"/>
            </w:tcBorders>
            <w:shd w:val="clear" w:color="auto" w:fill="C2D59B"/>
          </w:tcPr>
          <w:p>
            <w:pPr>
              <w:pStyle w:val="TableParagraph"/>
              <w:spacing w:before="1"/>
              <w:rPr>
                <w:rFonts w:ascii="Times New Roman"/>
                <w:sz w:val="32"/>
              </w:rPr>
            </w:pPr>
          </w:p>
          <w:p>
            <w:pPr>
              <w:pStyle w:val="TableParagraph"/>
              <w:ind w:left="438"/>
              <w:rPr>
                <w:rFonts w:ascii="Corbel" w:hAnsi="Corbel"/>
                <w:sz w:val="20"/>
              </w:rPr>
            </w:pPr>
            <w:r>
              <w:rPr>
                <w:rFonts w:ascii="Arial" w:hAnsi="Arial"/>
                <w:b/>
                <w:sz w:val="22"/>
              </w:rPr>
              <w:t>2. </w:t>
            </w:r>
            <w:r>
              <w:rPr>
                <w:rFonts w:ascii="Corbel" w:hAnsi="Corbel"/>
                <w:color w:val="404040"/>
                <w:sz w:val="20"/>
              </w:rPr>
              <w:t>Conservación de flora y fauna</w:t>
            </w:r>
          </w:p>
        </w:tc>
        <w:tc>
          <w:tcPr>
            <w:tcW w:w="4477" w:type="dxa"/>
            <w:tcBorders>
              <w:top w:val="single" w:sz="4" w:space="0" w:color="000000"/>
              <w:bottom w:val="single" w:sz="24" w:space="0" w:color="FFFFFF"/>
            </w:tcBorders>
            <w:shd w:val="clear" w:color="auto" w:fill="D5E2BB"/>
          </w:tcPr>
          <w:p>
            <w:pPr>
              <w:pStyle w:val="TableParagraph"/>
              <w:rPr>
                <w:rFonts w:ascii="Times New Roman"/>
                <w:sz w:val="24"/>
              </w:rPr>
            </w:pPr>
          </w:p>
          <w:p>
            <w:pPr>
              <w:pStyle w:val="TableParagraph"/>
              <w:spacing w:before="6"/>
              <w:rPr>
                <w:rFonts w:ascii="Times New Roman"/>
                <w:sz w:val="26"/>
              </w:rPr>
            </w:pPr>
          </w:p>
          <w:p>
            <w:pPr>
              <w:pStyle w:val="TableParagraph"/>
              <w:numPr>
                <w:ilvl w:val="0"/>
                <w:numId w:val="21"/>
              </w:numPr>
              <w:tabs>
                <w:tab w:pos="801" w:val="left" w:leader="none"/>
                <w:tab w:pos="802" w:val="left" w:leader="none"/>
              </w:tabs>
              <w:spacing w:line="240" w:lineRule="auto" w:before="0" w:after="0"/>
              <w:ind w:left="801" w:right="0" w:hanging="361"/>
              <w:jc w:val="left"/>
              <w:rPr>
                <w:rFonts w:ascii="Corbel" w:hAnsi="Corbel"/>
                <w:sz w:val="20"/>
              </w:rPr>
            </w:pPr>
            <w:r>
              <w:rPr>
                <w:rFonts w:ascii="Corbel" w:hAnsi="Corbel"/>
                <w:color w:val="252525"/>
                <w:sz w:val="20"/>
              </w:rPr>
              <w:t>Elaborar un inventario de flora y fauna</w:t>
            </w:r>
            <w:r>
              <w:rPr>
                <w:rFonts w:ascii="Corbel" w:hAnsi="Corbel"/>
                <w:color w:val="252525"/>
                <w:spacing w:val="-5"/>
                <w:sz w:val="20"/>
              </w:rPr>
              <w:t> </w:t>
            </w:r>
            <w:r>
              <w:rPr>
                <w:rFonts w:ascii="Corbel" w:hAnsi="Corbel"/>
                <w:color w:val="252525"/>
                <w:sz w:val="20"/>
              </w:rPr>
              <w:t>del</w:t>
            </w:r>
          </w:p>
        </w:tc>
      </w:tr>
    </w:tbl>
    <w:p>
      <w:pPr>
        <w:spacing w:after="0" w:line="240" w:lineRule="auto"/>
        <w:jc w:val="left"/>
        <w:rPr>
          <w:rFonts w:ascii="Corbel" w:hAnsi="Corbel"/>
          <w:sz w:val="20"/>
        </w:rPr>
        <w:sectPr>
          <w:pgSz w:w="12240" w:h="15840"/>
          <w:pgMar w:header="178" w:footer="1076" w:top="1120" w:bottom="1360" w:left="460" w:right="220"/>
        </w:sectPr>
      </w:pPr>
    </w:p>
    <w:p>
      <w:pPr>
        <w:pStyle w:val="BodyText"/>
        <w:rPr>
          <w:rFonts w:ascii="Times New Roman"/>
          <w:sz w:val="20"/>
        </w:rPr>
      </w:pPr>
    </w:p>
    <w:p>
      <w:pPr>
        <w:pStyle w:val="BodyText"/>
        <w:spacing w:before="9"/>
        <w:rPr>
          <w:rFonts w:ascii="Times New Roman"/>
          <w:sz w:val="23"/>
        </w:rPr>
      </w:pPr>
    </w:p>
    <w:p>
      <w:pPr>
        <w:pStyle w:val="BodyText"/>
        <w:ind w:left="812"/>
        <w:rPr>
          <w:rFonts w:ascii="Times New Roman"/>
          <w:sz w:val="20"/>
        </w:rPr>
      </w:pPr>
      <w:r>
        <w:rPr>
          <w:rFonts w:ascii="Times New Roman"/>
          <w:sz w:val="20"/>
        </w:rPr>
        <w:pict>
          <v:group style="width:453.7pt;height:128.65pt;mso-position-horizontal-relative:char;mso-position-vertical-relative:line" coordorigin="0,0" coordsize="9074,2573">
            <v:rect style="position:absolute;left:19;top:100;width:4558;height:2472" filled="true" fillcolor="#c2d59b" stroked="false">
              <v:fill type="solid"/>
            </v:rect>
            <v:rect style="position:absolute;left:88;top:100;width:4419;height:264" filled="true" fillcolor="#c2d59b" stroked="false">
              <v:fill type="solid"/>
            </v:rect>
            <v:rect style="position:absolute;left:19;top:19;width:4558;height:82" filled="true" fillcolor="#c2d59b" stroked="false">
              <v:fill type="solid"/>
            </v:rect>
            <v:line style="position:absolute" from="4597,5" to="9054,5" stroked="true" strokeweight=".48pt" strokecolor="#000000">
              <v:stroke dashstyle="solid"/>
            </v:line>
            <v:rect style="position:absolute;left:9054;top:0;width:20;height:10" filled="true" fillcolor="#000000" stroked="false">
              <v:fill type="solid"/>
            </v:rect>
            <v:rect style="position:absolute;left:9;top:2493;width:4578;height:80" filled="true" fillcolor="#c2d59b" stroked="false">
              <v:fill type="solid"/>
            </v:rect>
            <v:line style="position:absolute" from="10,101" to="10,2573" stroked="true" strokeweight=".96pt" strokecolor="#ffffff">
              <v:stroke dashstyle="solid"/>
            </v:line>
            <v:line style="position:absolute" from="4587,101" to="4587,2573" stroked="true" strokeweight=".95999pt" strokecolor="#ffffff">
              <v:stroke dashstyle="solid"/>
            </v:line>
            <v:line style="position:absolute" from="9064,101" to="9064,2573" stroked="true" strokeweight=".96002pt" strokecolor="#ffffff">
              <v:stroke dashstyle="solid"/>
            </v:line>
            <v:shape style="position:absolute;left:4596;top:9;width:4458;height:2564" type="#_x0000_t202" filled="true" fillcolor="#d5e2bb" stroked="false">
              <v:textbox inset="0,0,0,0">
                <w:txbxContent>
                  <w:p>
                    <w:pPr>
                      <w:spacing w:before="90"/>
                      <w:ind w:left="792" w:right="475" w:firstLine="0"/>
                      <w:jc w:val="left"/>
                      <w:rPr>
                        <w:rFonts w:ascii="Corbel" w:hAnsi="Corbel"/>
                        <w:sz w:val="20"/>
                      </w:rPr>
                    </w:pPr>
                    <w:r>
                      <w:rPr>
                        <w:rFonts w:ascii="Corbel" w:hAnsi="Corbel"/>
                        <w:color w:val="252525"/>
                        <w:sz w:val="20"/>
                      </w:rPr>
                      <w:t>municipio, para conservar las plantas autóctonas y originarias del municipio. Mayor exigencia en la sustitución de árboles que se derriben.</w:t>
                    </w:r>
                  </w:p>
                  <w:p>
                    <w:pPr>
                      <w:spacing w:line="240" w:lineRule="auto" w:before="0"/>
                      <w:rPr>
                        <w:rFonts w:ascii="Times New Roman"/>
                        <w:sz w:val="20"/>
                      </w:rPr>
                    </w:pPr>
                  </w:p>
                  <w:p>
                    <w:pPr>
                      <w:spacing w:line="240" w:lineRule="auto" w:before="9"/>
                      <w:rPr>
                        <w:rFonts w:ascii="Times New Roman"/>
                        <w:sz w:val="18"/>
                      </w:rPr>
                    </w:pPr>
                  </w:p>
                  <w:p>
                    <w:pPr>
                      <w:numPr>
                        <w:ilvl w:val="0"/>
                        <w:numId w:val="22"/>
                      </w:numPr>
                      <w:tabs>
                        <w:tab w:pos="792" w:val="left" w:leader="none"/>
                        <w:tab w:pos="793" w:val="left" w:leader="none"/>
                      </w:tabs>
                      <w:spacing w:before="0"/>
                      <w:ind w:left="792" w:right="483" w:hanging="361"/>
                      <w:jc w:val="left"/>
                      <w:rPr>
                        <w:rFonts w:ascii="Corbel" w:hAnsi="Corbel"/>
                        <w:sz w:val="20"/>
                      </w:rPr>
                    </w:pPr>
                    <w:r>
                      <w:rPr>
                        <w:rFonts w:ascii="Corbel" w:hAnsi="Corbel"/>
                        <w:color w:val="252525"/>
                        <w:sz w:val="20"/>
                      </w:rPr>
                      <w:t>Gestionar ante la SEMARNAT áreas</w:t>
                    </w:r>
                    <w:r>
                      <w:rPr>
                        <w:rFonts w:ascii="Corbel" w:hAnsi="Corbel"/>
                        <w:color w:val="252525"/>
                        <w:spacing w:val="-15"/>
                        <w:sz w:val="20"/>
                      </w:rPr>
                      <w:t> </w:t>
                    </w:r>
                    <w:r>
                      <w:rPr>
                        <w:rFonts w:ascii="Corbel" w:hAnsi="Corbel"/>
                        <w:color w:val="252525"/>
                        <w:sz w:val="20"/>
                      </w:rPr>
                      <w:t>de protección de flora y fauna. Vigilar y Controlar la tala clandestina.</w:t>
                    </w:r>
                  </w:p>
                </w:txbxContent>
              </v:textbox>
              <v:fill type="solid"/>
              <w10:wrap type="none"/>
            </v:shape>
          </v:group>
        </w:pict>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8"/>
        <w:rPr>
          <w:rFonts w:ascii="Times New Roman"/>
        </w:rPr>
      </w:pPr>
    </w:p>
    <w:p>
      <w:pPr>
        <w:spacing w:before="101" w:after="22"/>
        <w:ind w:left="901" w:right="0" w:firstLine="0"/>
        <w:jc w:val="left"/>
        <w:rPr>
          <w:rFonts w:ascii="Tw Cen MT Condensed Extra Bold"/>
          <w:sz w:val="66"/>
        </w:rPr>
      </w:pPr>
      <w:r>
        <w:rPr/>
        <w:drawing>
          <wp:anchor distT="0" distB="0" distL="0" distR="0" allowOverlap="1" layoutInCell="1" locked="0" behindDoc="0" simplePos="0" relativeHeight="251682816">
            <wp:simplePos x="0" y="0"/>
            <wp:positionH relativeFrom="page">
              <wp:posOffset>4753484</wp:posOffset>
            </wp:positionH>
            <wp:positionV relativeFrom="paragraph">
              <wp:posOffset>-83550</wp:posOffset>
            </wp:positionV>
            <wp:extent cx="554510" cy="381257"/>
            <wp:effectExtent l="0" t="0" r="0" b="0"/>
            <wp:wrapNone/>
            <wp:docPr id="15" name="image14.png"/>
            <wp:cNvGraphicFramePr>
              <a:graphicFrameLocks noChangeAspect="1"/>
            </wp:cNvGraphicFramePr>
            <a:graphic>
              <a:graphicData uri="http://schemas.openxmlformats.org/drawingml/2006/picture">
                <pic:pic>
                  <pic:nvPicPr>
                    <pic:cNvPr id="16" name="image14.png"/>
                    <pic:cNvPicPr/>
                  </pic:nvPicPr>
                  <pic:blipFill>
                    <a:blip r:embed="rId21" cstate="print"/>
                    <a:stretch>
                      <a:fillRect/>
                    </a:stretch>
                  </pic:blipFill>
                  <pic:spPr>
                    <a:xfrm>
                      <a:off x="0" y="0"/>
                      <a:ext cx="554510" cy="381257"/>
                    </a:xfrm>
                    <a:prstGeom prst="rect">
                      <a:avLst/>
                    </a:prstGeom>
                  </pic:spPr>
                </pic:pic>
              </a:graphicData>
            </a:graphic>
          </wp:anchor>
        </w:drawing>
      </w:r>
      <w:r>
        <w:rPr>
          <w:rFonts w:ascii="Tw Cen MT Condensed Extra Bold"/>
          <w:color w:val="933634"/>
          <w:sz w:val="66"/>
        </w:rPr>
        <w:t>Infraestructura</w:t>
      </w: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352"/>
        <w:gridCol w:w="4244"/>
      </w:tblGrid>
      <w:tr>
        <w:trPr>
          <w:trHeight w:val="2156" w:hRule="atLeast"/>
        </w:trPr>
        <w:tc>
          <w:tcPr>
            <w:tcW w:w="4352" w:type="dxa"/>
            <w:tcBorders>
              <w:top w:val="nil"/>
              <w:bottom w:val="single" w:sz="2" w:space="0" w:color="CED6E7"/>
            </w:tcBorders>
            <w:shd w:val="clear" w:color="auto" w:fill="933634"/>
          </w:tcPr>
          <w:p>
            <w:pPr>
              <w:pStyle w:val="TableParagraph"/>
              <w:spacing w:before="3"/>
              <w:rPr>
                <w:rFonts w:ascii="Tw Cen MT Condensed Extra Bold"/>
                <w:sz w:val="61"/>
              </w:rPr>
            </w:pPr>
          </w:p>
          <w:p>
            <w:pPr>
              <w:pStyle w:val="TableParagraph"/>
              <w:ind w:left="1209"/>
              <w:rPr>
                <w:rFonts w:ascii="Corbel"/>
                <w:sz w:val="48"/>
              </w:rPr>
            </w:pPr>
            <w:r>
              <w:rPr>
                <w:rFonts w:ascii="Corbel"/>
                <w:color w:val="FFFFFF"/>
                <w:sz w:val="48"/>
              </w:rPr>
              <w:t>Problema</w:t>
            </w:r>
          </w:p>
        </w:tc>
        <w:tc>
          <w:tcPr>
            <w:tcW w:w="4244" w:type="dxa"/>
            <w:tcBorders>
              <w:top w:val="nil"/>
              <w:bottom w:val="single" w:sz="2" w:space="0" w:color="CED6E7"/>
            </w:tcBorders>
            <w:shd w:val="clear" w:color="auto" w:fill="D99493"/>
          </w:tcPr>
          <w:p>
            <w:pPr>
              <w:pStyle w:val="TableParagraph"/>
              <w:spacing w:before="3"/>
              <w:rPr>
                <w:rFonts w:ascii="Tw Cen MT Condensed Extra Bold"/>
                <w:sz w:val="61"/>
              </w:rPr>
            </w:pPr>
          </w:p>
          <w:p>
            <w:pPr>
              <w:pStyle w:val="TableParagraph"/>
              <w:ind w:left="409"/>
              <w:rPr>
                <w:rFonts w:ascii="Corbel" w:hAnsi="Corbel"/>
                <w:sz w:val="48"/>
              </w:rPr>
            </w:pPr>
            <w:r>
              <w:rPr>
                <w:rFonts w:ascii="Corbel" w:hAnsi="Corbel"/>
                <w:color w:val="FFFFFF"/>
                <w:sz w:val="48"/>
              </w:rPr>
              <w:t>Línea Estratégica</w:t>
            </w:r>
          </w:p>
        </w:tc>
      </w:tr>
      <w:tr>
        <w:trPr>
          <w:trHeight w:val="6151" w:hRule="atLeast"/>
        </w:trPr>
        <w:tc>
          <w:tcPr>
            <w:tcW w:w="4352" w:type="dxa"/>
            <w:tcBorders>
              <w:top w:val="single" w:sz="2" w:space="0" w:color="CED6E7"/>
              <w:bottom w:val="single" w:sz="2" w:space="0" w:color="CED6E7"/>
            </w:tcBorders>
            <w:shd w:val="clear" w:color="auto" w:fill="E4B8B7"/>
          </w:tcPr>
          <w:p>
            <w:pPr>
              <w:pStyle w:val="TableParagraph"/>
              <w:rPr>
                <w:rFonts w:ascii="Tw Cen MT Condensed Extra Bold"/>
                <w:sz w:val="18"/>
              </w:rPr>
            </w:pPr>
          </w:p>
          <w:p>
            <w:pPr>
              <w:pStyle w:val="TableParagraph"/>
              <w:numPr>
                <w:ilvl w:val="0"/>
                <w:numId w:val="23"/>
              </w:numPr>
              <w:tabs>
                <w:tab w:pos="798" w:val="left" w:leader="none"/>
                <w:tab w:pos="799" w:val="left" w:leader="none"/>
              </w:tabs>
              <w:spacing w:line="276" w:lineRule="auto" w:before="155" w:after="0"/>
              <w:ind w:left="798" w:right="229" w:hanging="360"/>
              <w:jc w:val="left"/>
              <w:rPr>
                <w:rFonts w:ascii="Corbel" w:hAnsi="Corbel"/>
                <w:sz w:val="18"/>
              </w:rPr>
            </w:pPr>
            <w:r>
              <w:rPr>
                <w:rFonts w:ascii="Corbel" w:hAnsi="Corbel"/>
                <w:smallCaps w:val="0"/>
                <w:sz w:val="18"/>
              </w:rPr>
              <w:t>El ancho de las banquetas es de menos de</w:t>
            </w:r>
            <w:r>
              <w:rPr>
                <w:rFonts w:ascii="Corbel" w:hAnsi="Corbel"/>
                <w:smallCaps w:val="0"/>
                <w:spacing w:val="-15"/>
                <w:sz w:val="18"/>
              </w:rPr>
              <w:t> </w:t>
            </w:r>
            <w:r>
              <w:rPr>
                <w:rFonts w:ascii="Corbel" w:hAnsi="Corbel"/>
                <w:smallCaps w:val="0"/>
                <w:sz w:val="18"/>
              </w:rPr>
              <w:t>50 cm, sus pendientes, texturas y alturas hace difícil la movilidad peatonal en el</w:t>
            </w:r>
            <w:r>
              <w:rPr>
                <w:rFonts w:ascii="Corbel" w:hAnsi="Corbel"/>
                <w:smallCaps w:val="0"/>
                <w:spacing w:val="-10"/>
                <w:sz w:val="18"/>
              </w:rPr>
              <w:t> </w:t>
            </w:r>
            <w:r>
              <w:rPr>
                <w:rFonts w:ascii="Corbel" w:hAnsi="Corbel"/>
                <w:smallCaps w:val="0"/>
                <w:sz w:val="18"/>
              </w:rPr>
              <w:t>municipio.</w:t>
            </w:r>
          </w:p>
          <w:p>
            <w:pPr>
              <w:pStyle w:val="TableParagraph"/>
              <w:rPr>
                <w:rFonts w:ascii="Tw Cen MT Condensed Extra Bold"/>
                <w:sz w:val="18"/>
              </w:rPr>
            </w:pPr>
          </w:p>
          <w:p>
            <w:pPr>
              <w:pStyle w:val="TableParagraph"/>
              <w:spacing w:before="9"/>
              <w:rPr>
                <w:rFonts w:ascii="Tw Cen MT Condensed Extra Bold"/>
                <w:sz w:val="20"/>
              </w:rPr>
            </w:pPr>
          </w:p>
          <w:p>
            <w:pPr>
              <w:pStyle w:val="TableParagraph"/>
              <w:numPr>
                <w:ilvl w:val="0"/>
                <w:numId w:val="23"/>
              </w:numPr>
              <w:tabs>
                <w:tab w:pos="798" w:val="left" w:leader="none"/>
                <w:tab w:pos="799" w:val="left" w:leader="none"/>
              </w:tabs>
              <w:spacing w:line="276" w:lineRule="auto" w:before="0" w:after="0"/>
              <w:ind w:left="798" w:right="107" w:hanging="360"/>
              <w:jc w:val="left"/>
              <w:rPr>
                <w:rFonts w:ascii="Corbel" w:hAnsi="Corbel"/>
                <w:sz w:val="18"/>
              </w:rPr>
            </w:pPr>
            <w:r>
              <w:rPr>
                <w:rFonts w:ascii="Corbel" w:hAnsi="Corbel"/>
                <w:smallCaps w:val="0"/>
                <w:sz w:val="18"/>
              </w:rPr>
              <w:t>El ancho de calles de doble circulación es de menos de 6 m. por donde transitan más de mil vehículos por</w:t>
            </w:r>
            <w:r>
              <w:rPr>
                <w:rFonts w:ascii="Corbel" w:hAnsi="Corbel"/>
                <w:smallCaps w:val="0"/>
                <w:spacing w:val="-2"/>
                <w:sz w:val="18"/>
              </w:rPr>
              <w:t> </w:t>
            </w:r>
            <w:r>
              <w:rPr>
                <w:rFonts w:ascii="Corbel" w:hAnsi="Corbel"/>
                <w:smallCaps w:val="0"/>
                <w:sz w:val="18"/>
              </w:rPr>
              <w:t>día.</w:t>
            </w:r>
          </w:p>
          <w:p>
            <w:pPr>
              <w:pStyle w:val="TableParagraph"/>
              <w:rPr>
                <w:rFonts w:ascii="Tw Cen MT Condensed Extra Bold"/>
                <w:sz w:val="18"/>
              </w:rPr>
            </w:pPr>
          </w:p>
          <w:p>
            <w:pPr>
              <w:pStyle w:val="TableParagraph"/>
              <w:spacing w:before="7"/>
              <w:rPr>
                <w:rFonts w:ascii="Tw Cen MT Condensed Extra Bold"/>
                <w:sz w:val="20"/>
              </w:rPr>
            </w:pPr>
          </w:p>
          <w:p>
            <w:pPr>
              <w:pStyle w:val="TableParagraph"/>
              <w:numPr>
                <w:ilvl w:val="0"/>
                <w:numId w:val="23"/>
              </w:numPr>
              <w:tabs>
                <w:tab w:pos="798" w:val="left" w:leader="none"/>
                <w:tab w:pos="799" w:val="left" w:leader="none"/>
              </w:tabs>
              <w:spacing w:line="276" w:lineRule="auto" w:before="0" w:after="0"/>
              <w:ind w:left="798" w:right="232" w:hanging="360"/>
              <w:jc w:val="left"/>
              <w:rPr>
                <w:rFonts w:ascii="Corbel" w:hAnsi="Corbel"/>
                <w:sz w:val="18"/>
              </w:rPr>
            </w:pPr>
            <w:r>
              <w:rPr>
                <w:rFonts w:ascii="Corbel" w:hAnsi="Corbel"/>
                <w:sz w:val="18"/>
              </w:rPr>
              <w:t>Mal estado de la carretera La Quemada-San Andrés y libramiento. (</w:t>
            </w:r>
            <w:r>
              <w:rPr>
                <w:rFonts w:ascii="Corbel" w:hAnsi="Corbel"/>
                <w:smallCaps/>
                <w:sz w:val="18"/>
              </w:rPr>
              <w:t>1</w:t>
            </w:r>
            <w:r>
              <w:rPr>
                <w:rFonts w:ascii="Corbel" w:hAnsi="Corbel"/>
                <w:smallCaps w:val="0"/>
                <w:sz w:val="18"/>
              </w:rPr>
              <w:t>0 kms aprox) las</w:t>
            </w:r>
            <w:r>
              <w:rPr>
                <w:rFonts w:ascii="Corbel" w:hAnsi="Corbel"/>
                <w:smallCaps w:val="0"/>
                <w:spacing w:val="-17"/>
                <w:sz w:val="18"/>
              </w:rPr>
              <w:t> </w:t>
            </w:r>
            <w:r>
              <w:rPr>
                <w:rFonts w:ascii="Corbel" w:hAnsi="Corbel"/>
                <w:smallCaps w:val="0"/>
                <w:sz w:val="18"/>
              </w:rPr>
              <w:t>más transitadas. Baja velocidad y daño a los vehiculos.</w:t>
            </w:r>
          </w:p>
          <w:p>
            <w:pPr>
              <w:pStyle w:val="TableParagraph"/>
              <w:rPr>
                <w:rFonts w:ascii="Tw Cen MT Condensed Extra Bold"/>
                <w:sz w:val="18"/>
              </w:rPr>
            </w:pPr>
          </w:p>
          <w:p>
            <w:pPr>
              <w:pStyle w:val="TableParagraph"/>
              <w:spacing w:before="8"/>
              <w:rPr>
                <w:rFonts w:ascii="Tw Cen MT Condensed Extra Bold"/>
                <w:sz w:val="20"/>
              </w:rPr>
            </w:pPr>
          </w:p>
          <w:p>
            <w:pPr>
              <w:pStyle w:val="TableParagraph"/>
              <w:numPr>
                <w:ilvl w:val="0"/>
                <w:numId w:val="23"/>
              </w:numPr>
              <w:tabs>
                <w:tab w:pos="798" w:val="left" w:leader="none"/>
                <w:tab w:pos="799" w:val="left" w:leader="none"/>
              </w:tabs>
              <w:spacing w:line="276" w:lineRule="auto" w:before="1" w:after="0"/>
              <w:ind w:left="798" w:right="136" w:hanging="360"/>
              <w:jc w:val="left"/>
              <w:rPr>
                <w:rFonts w:ascii="Corbel" w:hAnsi="Corbel"/>
                <w:sz w:val="18"/>
              </w:rPr>
            </w:pPr>
            <w:r>
              <w:rPr>
                <w:rFonts w:ascii="Corbel" w:hAnsi="Corbel"/>
                <w:sz w:val="18"/>
              </w:rPr>
              <w:t>Canales pluviales sin mantenimiento. Los más afectados son de aproximadamente 3.5 kilómetros.</w:t>
            </w:r>
          </w:p>
          <w:p>
            <w:pPr>
              <w:pStyle w:val="TableParagraph"/>
              <w:rPr>
                <w:rFonts w:ascii="Tw Cen MT Condensed Extra Bold"/>
                <w:sz w:val="18"/>
              </w:rPr>
            </w:pPr>
          </w:p>
          <w:p>
            <w:pPr>
              <w:pStyle w:val="TableParagraph"/>
              <w:spacing w:before="8"/>
              <w:rPr>
                <w:rFonts w:ascii="Tw Cen MT Condensed Extra Bold"/>
                <w:sz w:val="20"/>
              </w:rPr>
            </w:pPr>
          </w:p>
          <w:p>
            <w:pPr>
              <w:pStyle w:val="TableParagraph"/>
              <w:numPr>
                <w:ilvl w:val="0"/>
                <w:numId w:val="23"/>
              </w:numPr>
              <w:tabs>
                <w:tab w:pos="799" w:val="left" w:leader="none"/>
              </w:tabs>
              <w:spacing w:line="276" w:lineRule="auto" w:before="0" w:after="0"/>
              <w:ind w:left="798" w:right="290" w:hanging="360"/>
              <w:jc w:val="both"/>
              <w:rPr>
                <w:rFonts w:ascii="Corbel" w:hAnsi="Corbel"/>
                <w:sz w:val="18"/>
              </w:rPr>
            </w:pPr>
            <w:r>
              <w:rPr>
                <w:rFonts w:ascii="Corbel" w:hAnsi="Corbel"/>
                <w:sz w:val="18"/>
              </w:rPr>
              <w:t>Falta diagnóstico y mapa de necesidades</w:t>
            </w:r>
            <w:r>
              <w:rPr>
                <w:rFonts w:ascii="Corbel" w:hAnsi="Corbel"/>
                <w:spacing w:val="-18"/>
                <w:sz w:val="18"/>
              </w:rPr>
              <w:t> </w:t>
            </w:r>
            <w:r>
              <w:rPr>
                <w:rFonts w:ascii="Corbel" w:hAnsi="Corbel"/>
                <w:sz w:val="18"/>
              </w:rPr>
              <w:t>de mantenimiento y modernización de calles y carreteras</w:t>
            </w:r>
            <w:r>
              <w:rPr>
                <w:rFonts w:ascii="Corbel" w:hAnsi="Corbel"/>
                <w:spacing w:val="-1"/>
                <w:sz w:val="18"/>
              </w:rPr>
              <w:t> </w:t>
            </w:r>
            <w:r>
              <w:rPr>
                <w:rFonts w:ascii="Corbel" w:hAnsi="Corbel"/>
                <w:sz w:val="18"/>
              </w:rPr>
              <w:t>municipales.</w:t>
            </w:r>
          </w:p>
        </w:tc>
        <w:tc>
          <w:tcPr>
            <w:tcW w:w="4244" w:type="dxa"/>
            <w:tcBorders>
              <w:top w:val="single" w:sz="2" w:space="0" w:color="CED6E7"/>
              <w:bottom w:val="single" w:sz="2" w:space="0" w:color="CED6E7"/>
            </w:tcBorders>
            <w:shd w:val="clear" w:color="auto" w:fill="F1DBDB"/>
          </w:tcPr>
          <w:p>
            <w:pPr>
              <w:pStyle w:val="TableParagraph"/>
              <w:rPr>
                <w:rFonts w:ascii="Tw Cen MT Condensed Extra Bold"/>
                <w:sz w:val="20"/>
              </w:rPr>
            </w:pPr>
          </w:p>
          <w:p>
            <w:pPr>
              <w:pStyle w:val="TableParagraph"/>
              <w:spacing w:line="276" w:lineRule="auto" w:before="124"/>
              <w:ind w:left="78" w:right="224"/>
              <w:jc w:val="both"/>
              <w:rPr>
                <w:rFonts w:ascii="Corbel" w:hAnsi="Corbel"/>
                <w:sz w:val="20"/>
              </w:rPr>
            </w:pPr>
            <w:r>
              <w:rPr>
                <w:rFonts w:ascii="Corbel" w:hAnsi="Corbel"/>
                <w:sz w:val="20"/>
              </w:rPr>
              <w:t>Crear infraestructura para mejorar la movilidad peatonal y las vialidades del municipio. Además de atender las principales demandas en materia de servicios del municipio</w:t>
            </w:r>
          </w:p>
        </w:tc>
      </w:tr>
    </w:tbl>
    <w:p>
      <w:pPr>
        <w:spacing w:after="0" w:line="276" w:lineRule="auto"/>
        <w:jc w:val="both"/>
        <w:rPr>
          <w:rFonts w:ascii="Corbel" w:hAnsi="Corbel"/>
          <w:sz w:val="20"/>
        </w:rPr>
        <w:sectPr>
          <w:pgSz w:w="12240" w:h="15840"/>
          <w:pgMar w:header="178" w:footer="1076" w:top="1120" w:bottom="1360" w:left="460" w:right="220"/>
        </w:sectPr>
      </w:pPr>
    </w:p>
    <w:p>
      <w:pPr>
        <w:pStyle w:val="BodyText"/>
        <w:rPr>
          <w:rFonts w:ascii="Times New Roman"/>
          <w:sz w:val="20"/>
        </w:rPr>
      </w:pPr>
    </w:p>
    <w:p>
      <w:pPr>
        <w:pStyle w:val="BodyText"/>
        <w:spacing w:before="6"/>
        <w:rPr>
          <w:rFonts w:ascii="Times New Roman"/>
          <w:sz w:val="25"/>
        </w:rPr>
      </w:pPr>
      <w:bookmarkStart w:name="_bookmark8" w:id="12"/>
      <w:bookmarkEnd w:id="12"/>
      <w:r>
        <w:rPr/>
      </w:r>
      <w:r>
        <w:rPr>
          <w:rFonts w:ascii="Times New Roman"/>
          <w:sz w:val="25"/>
        </w:rPr>
      </w:r>
    </w:p>
    <w:tbl>
      <w:tblPr>
        <w:tblW w:w="0" w:type="auto"/>
        <w:jc w:val="left"/>
        <w:tblInd w:w="8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108"/>
        <w:gridCol w:w="4239"/>
        <w:gridCol w:w="113"/>
        <w:gridCol w:w="226"/>
        <w:gridCol w:w="4019"/>
        <w:gridCol w:w="502"/>
      </w:tblGrid>
      <w:tr>
        <w:trPr>
          <w:trHeight w:val="2614" w:hRule="atLeast"/>
        </w:trPr>
        <w:tc>
          <w:tcPr>
            <w:tcW w:w="108" w:type="dxa"/>
            <w:tcBorders>
              <w:top w:val="nil"/>
              <w:left w:val="nil"/>
              <w:bottom w:val="nil"/>
            </w:tcBorders>
          </w:tcPr>
          <w:p>
            <w:pPr>
              <w:pStyle w:val="TableParagraph"/>
              <w:rPr>
                <w:rFonts w:ascii="Times New Roman"/>
                <w:sz w:val="20"/>
              </w:rPr>
            </w:pPr>
          </w:p>
        </w:tc>
        <w:tc>
          <w:tcPr>
            <w:tcW w:w="4352" w:type="dxa"/>
            <w:gridSpan w:val="2"/>
            <w:tcBorders>
              <w:top w:val="nil"/>
              <w:bottom w:val="single" w:sz="2" w:space="0" w:color="CED6E7"/>
            </w:tcBorders>
            <w:shd w:val="clear" w:color="auto" w:fill="E4B8B7"/>
          </w:tcPr>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spacing w:before="4"/>
              <w:rPr>
                <w:rFonts w:ascii="Times New Roman"/>
                <w:sz w:val="26"/>
              </w:rPr>
            </w:pPr>
          </w:p>
          <w:p>
            <w:pPr>
              <w:pStyle w:val="TableParagraph"/>
              <w:numPr>
                <w:ilvl w:val="0"/>
                <w:numId w:val="24"/>
              </w:numPr>
              <w:tabs>
                <w:tab w:pos="798" w:val="left" w:leader="none"/>
                <w:tab w:pos="799" w:val="left" w:leader="none"/>
              </w:tabs>
              <w:spacing w:line="278" w:lineRule="auto" w:before="0" w:after="0"/>
              <w:ind w:left="798" w:right="123" w:hanging="360"/>
              <w:jc w:val="left"/>
              <w:rPr>
                <w:rFonts w:ascii="Corbel" w:hAnsi="Corbel"/>
                <w:sz w:val="18"/>
              </w:rPr>
            </w:pPr>
            <w:r>
              <w:rPr>
                <w:rFonts w:ascii="Corbel" w:hAnsi="Corbel"/>
                <w:sz w:val="18"/>
              </w:rPr>
              <w:t>Panteón a capacidad limitada. Sin diagnóstico de su</w:t>
            </w:r>
            <w:r>
              <w:rPr>
                <w:rFonts w:ascii="Corbel" w:hAnsi="Corbel"/>
                <w:spacing w:val="-2"/>
                <w:sz w:val="18"/>
              </w:rPr>
              <w:t> </w:t>
            </w:r>
            <w:r>
              <w:rPr>
                <w:rFonts w:ascii="Corbel" w:hAnsi="Corbel"/>
                <w:sz w:val="18"/>
              </w:rPr>
              <w:t>suficiencia.</w:t>
            </w:r>
          </w:p>
          <w:p>
            <w:pPr>
              <w:pStyle w:val="TableParagraph"/>
              <w:rPr>
                <w:rFonts w:ascii="Times New Roman"/>
                <w:sz w:val="18"/>
              </w:rPr>
            </w:pPr>
          </w:p>
          <w:p>
            <w:pPr>
              <w:pStyle w:val="TableParagraph"/>
              <w:spacing w:before="3"/>
              <w:rPr>
                <w:rFonts w:ascii="Times New Roman"/>
                <w:sz w:val="18"/>
              </w:rPr>
            </w:pPr>
          </w:p>
          <w:p>
            <w:pPr>
              <w:pStyle w:val="TableParagraph"/>
              <w:numPr>
                <w:ilvl w:val="0"/>
                <w:numId w:val="24"/>
              </w:numPr>
              <w:tabs>
                <w:tab w:pos="798" w:val="left" w:leader="none"/>
                <w:tab w:pos="799" w:val="left" w:leader="none"/>
              </w:tabs>
              <w:spacing w:line="240" w:lineRule="auto" w:before="0" w:after="0"/>
              <w:ind w:left="798" w:right="0" w:hanging="361"/>
              <w:jc w:val="left"/>
              <w:rPr>
                <w:rFonts w:ascii="Corbel" w:hAnsi="Corbel"/>
                <w:sz w:val="20"/>
              </w:rPr>
            </w:pPr>
            <w:r>
              <w:rPr>
                <w:rFonts w:ascii="Corbel" w:hAnsi="Corbel"/>
                <w:sz w:val="18"/>
              </w:rPr>
              <w:t>Colonias aún sin</w:t>
            </w:r>
            <w:r>
              <w:rPr>
                <w:rFonts w:ascii="Corbel" w:hAnsi="Corbel"/>
                <w:spacing w:val="-2"/>
                <w:sz w:val="18"/>
              </w:rPr>
              <w:t> </w:t>
            </w:r>
            <w:r>
              <w:rPr>
                <w:rFonts w:ascii="Corbel" w:hAnsi="Corbel"/>
                <w:sz w:val="18"/>
              </w:rPr>
              <w:t>electrificación.</w:t>
            </w:r>
          </w:p>
        </w:tc>
        <w:tc>
          <w:tcPr>
            <w:tcW w:w="4245" w:type="dxa"/>
            <w:gridSpan w:val="2"/>
            <w:tcBorders>
              <w:top w:val="nil"/>
              <w:bottom w:val="single" w:sz="2" w:space="0" w:color="CED6E7"/>
            </w:tcBorders>
            <w:shd w:val="clear" w:color="auto" w:fill="F1DBDB"/>
          </w:tcPr>
          <w:p>
            <w:pPr>
              <w:pStyle w:val="TableParagraph"/>
              <w:rPr>
                <w:rFonts w:ascii="Times New Roman"/>
                <w:sz w:val="20"/>
              </w:rPr>
            </w:pPr>
          </w:p>
        </w:tc>
        <w:tc>
          <w:tcPr>
            <w:tcW w:w="502" w:type="dxa"/>
            <w:tcBorders>
              <w:top w:val="nil"/>
              <w:bottom w:val="nil"/>
              <w:right w:val="nil"/>
            </w:tcBorders>
          </w:tcPr>
          <w:p>
            <w:pPr>
              <w:pStyle w:val="TableParagraph"/>
              <w:rPr>
                <w:rFonts w:ascii="Times New Roman"/>
                <w:sz w:val="20"/>
              </w:rPr>
            </w:pPr>
          </w:p>
        </w:tc>
      </w:tr>
      <w:tr>
        <w:trPr>
          <w:trHeight w:val="2194" w:hRule="atLeast"/>
        </w:trPr>
        <w:tc>
          <w:tcPr>
            <w:tcW w:w="4347" w:type="dxa"/>
            <w:gridSpan w:val="2"/>
            <w:tcBorders>
              <w:top w:val="single" w:sz="2" w:space="0" w:color="CED6E7"/>
              <w:bottom w:val="single" w:sz="2" w:space="0" w:color="CED6E7"/>
            </w:tcBorders>
            <w:shd w:val="clear" w:color="auto" w:fill="933634"/>
          </w:tcPr>
          <w:p>
            <w:pPr>
              <w:pStyle w:val="TableParagraph"/>
              <w:rPr>
                <w:rFonts w:ascii="Times New Roman"/>
                <w:sz w:val="48"/>
              </w:rPr>
            </w:pPr>
          </w:p>
          <w:p>
            <w:pPr>
              <w:pStyle w:val="TableParagraph"/>
              <w:spacing w:before="10"/>
              <w:rPr>
                <w:rFonts w:ascii="Times New Roman"/>
                <w:sz w:val="63"/>
              </w:rPr>
            </w:pPr>
          </w:p>
          <w:p>
            <w:pPr>
              <w:pStyle w:val="TableParagraph"/>
              <w:ind w:left="1089"/>
              <w:rPr>
                <w:rFonts w:ascii="Corbel"/>
                <w:sz w:val="48"/>
              </w:rPr>
            </w:pPr>
            <w:r>
              <w:rPr>
                <w:rFonts w:ascii="Corbel"/>
                <w:color w:val="FFFFFF"/>
                <w:sz w:val="48"/>
              </w:rPr>
              <w:t>Programas</w:t>
            </w:r>
          </w:p>
        </w:tc>
        <w:tc>
          <w:tcPr>
            <w:tcW w:w="4860" w:type="dxa"/>
            <w:gridSpan w:val="4"/>
            <w:tcBorders>
              <w:top w:val="nil"/>
              <w:bottom w:val="single" w:sz="2" w:space="0" w:color="CED6E7"/>
            </w:tcBorders>
            <w:shd w:val="clear" w:color="auto" w:fill="D99493"/>
          </w:tcPr>
          <w:p>
            <w:pPr>
              <w:pStyle w:val="TableParagraph"/>
              <w:rPr>
                <w:rFonts w:ascii="Times New Roman"/>
                <w:sz w:val="61"/>
              </w:rPr>
            </w:pPr>
          </w:p>
          <w:p>
            <w:pPr>
              <w:pStyle w:val="TableParagraph"/>
              <w:ind w:left="1432"/>
              <w:rPr>
                <w:rFonts w:ascii="Corbel"/>
                <w:sz w:val="48"/>
              </w:rPr>
            </w:pPr>
            <w:r>
              <w:rPr>
                <w:rFonts w:ascii="Corbel"/>
                <w:color w:val="FFFFFF"/>
                <w:sz w:val="48"/>
              </w:rPr>
              <w:t>Proyectos</w:t>
            </w:r>
          </w:p>
        </w:tc>
      </w:tr>
      <w:tr>
        <w:trPr>
          <w:trHeight w:val="5400" w:hRule="atLeast"/>
        </w:trPr>
        <w:tc>
          <w:tcPr>
            <w:tcW w:w="4347" w:type="dxa"/>
            <w:gridSpan w:val="2"/>
            <w:tcBorders>
              <w:top w:val="single" w:sz="2" w:space="0" w:color="CED6E7"/>
              <w:bottom w:val="single" w:sz="2" w:space="0" w:color="CED6E7"/>
            </w:tcBorders>
            <w:shd w:val="clear" w:color="auto" w:fill="E4B8B7"/>
          </w:tcPr>
          <w:p>
            <w:pPr>
              <w:pStyle w:val="TableParagraph"/>
              <w:rPr>
                <w:rFonts w:ascii="Times New Roman"/>
                <w:sz w:val="20"/>
              </w:rPr>
            </w:pPr>
          </w:p>
          <w:p>
            <w:pPr>
              <w:pStyle w:val="TableParagraph"/>
              <w:tabs>
                <w:tab w:pos="798" w:val="left" w:leader="none"/>
              </w:tabs>
              <w:spacing w:before="147"/>
              <w:ind w:left="438"/>
              <w:rPr>
                <w:rFonts w:ascii="Corbel"/>
                <w:sz w:val="20"/>
              </w:rPr>
            </w:pPr>
            <w:r>
              <w:rPr>
                <w:rFonts w:ascii="Corbel"/>
                <w:smallCaps/>
                <w:spacing w:val="-1"/>
                <w:w w:val="99"/>
                <w:sz w:val="20"/>
              </w:rPr>
              <w:t>1</w:t>
            </w:r>
            <w:r>
              <w:rPr>
                <w:rFonts w:ascii="Corbel"/>
                <w:smallCaps/>
                <w:w w:val="99"/>
                <w:sz w:val="20"/>
              </w:rPr>
              <w:t>.</w:t>
            </w:r>
            <w:r>
              <w:rPr>
                <w:rFonts w:ascii="Corbel"/>
                <w:smallCaps w:val="0"/>
                <w:sz w:val="20"/>
              </w:rPr>
              <w:tab/>
            </w:r>
            <w:r>
              <w:rPr>
                <w:rFonts w:ascii="Corbel"/>
                <w:smallCaps w:val="0"/>
                <w:w w:val="99"/>
                <w:sz w:val="20"/>
              </w:rPr>
              <w:t>M</w:t>
            </w:r>
            <w:r>
              <w:rPr>
                <w:rFonts w:ascii="Corbel"/>
                <w:smallCaps w:val="0"/>
                <w:spacing w:val="-2"/>
                <w:w w:val="99"/>
                <w:sz w:val="20"/>
              </w:rPr>
              <w:t>e</w:t>
            </w:r>
            <w:r>
              <w:rPr>
                <w:rFonts w:ascii="Corbel"/>
                <w:smallCaps w:val="0"/>
                <w:spacing w:val="-1"/>
                <w:w w:val="99"/>
                <w:sz w:val="20"/>
              </w:rPr>
              <w:t>jor</w:t>
            </w:r>
            <w:r>
              <w:rPr>
                <w:rFonts w:ascii="Corbel"/>
                <w:smallCaps w:val="0"/>
                <w:w w:val="99"/>
                <w:sz w:val="20"/>
              </w:rPr>
              <w:t>a</w:t>
            </w:r>
            <w:r>
              <w:rPr>
                <w:rFonts w:ascii="Corbel"/>
                <w:smallCaps w:val="0"/>
                <w:spacing w:val="2"/>
                <w:w w:val="99"/>
                <w:sz w:val="20"/>
              </w:rPr>
              <w:t>m</w:t>
            </w:r>
            <w:r>
              <w:rPr>
                <w:rFonts w:ascii="Corbel"/>
                <w:smallCaps w:val="0"/>
                <w:spacing w:val="-1"/>
                <w:w w:val="99"/>
                <w:sz w:val="20"/>
              </w:rPr>
              <w:t>ie</w:t>
            </w:r>
            <w:r>
              <w:rPr>
                <w:rFonts w:ascii="Corbel"/>
                <w:smallCaps w:val="0"/>
                <w:w w:val="99"/>
                <w:sz w:val="20"/>
              </w:rPr>
              <w:t>n</w:t>
            </w:r>
            <w:r>
              <w:rPr>
                <w:rFonts w:ascii="Corbel"/>
                <w:smallCaps w:val="0"/>
                <w:spacing w:val="-1"/>
                <w:w w:val="99"/>
                <w:sz w:val="20"/>
              </w:rPr>
              <w:t>t</w:t>
            </w:r>
            <w:r>
              <w:rPr>
                <w:rFonts w:ascii="Corbel"/>
                <w:smallCaps w:val="0"/>
                <w:w w:val="99"/>
                <w:sz w:val="20"/>
              </w:rPr>
              <w:t>o</w:t>
            </w:r>
            <w:r>
              <w:rPr>
                <w:rFonts w:ascii="Corbel"/>
                <w:smallCaps w:val="0"/>
                <w:spacing w:val="4"/>
                <w:sz w:val="20"/>
              </w:rPr>
              <w:t> </w:t>
            </w:r>
            <w:r>
              <w:rPr>
                <w:rFonts w:ascii="Corbel"/>
                <w:smallCaps w:val="0"/>
                <w:spacing w:val="-2"/>
                <w:w w:val="99"/>
                <w:sz w:val="20"/>
              </w:rPr>
              <w:t>d</w:t>
            </w:r>
            <w:r>
              <w:rPr>
                <w:rFonts w:ascii="Corbel"/>
                <w:smallCaps w:val="0"/>
                <w:w w:val="99"/>
                <w:sz w:val="20"/>
              </w:rPr>
              <w:t>e</w:t>
            </w:r>
            <w:r>
              <w:rPr>
                <w:rFonts w:ascii="Corbel"/>
                <w:smallCaps w:val="0"/>
                <w:sz w:val="20"/>
              </w:rPr>
              <w:t> </w:t>
            </w:r>
            <w:r>
              <w:rPr>
                <w:rFonts w:ascii="Corbel"/>
                <w:smallCaps w:val="0"/>
                <w:spacing w:val="1"/>
                <w:w w:val="99"/>
                <w:sz w:val="20"/>
              </w:rPr>
              <w:t>v</w:t>
            </w:r>
            <w:r>
              <w:rPr>
                <w:rFonts w:ascii="Corbel"/>
                <w:smallCaps w:val="0"/>
                <w:spacing w:val="-1"/>
                <w:w w:val="99"/>
                <w:sz w:val="20"/>
              </w:rPr>
              <w:t>i</w:t>
            </w:r>
            <w:r>
              <w:rPr>
                <w:rFonts w:ascii="Corbel"/>
                <w:smallCaps w:val="0"/>
                <w:w w:val="99"/>
                <w:sz w:val="20"/>
              </w:rPr>
              <w:t>a</w:t>
            </w:r>
            <w:r>
              <w:rPr>
                <w:rFonts w:ascii="Corbel"/>
                <w:smallCaps w:val="0"/>
                <w:spacing w:val="-1"/>
                <w:w w:val="99"/>
                <w:sz w:val="20"/>
              </w:rPr>
              <w:t>l</w:t>
            </w:r>
            <w:r>
              <w:rPr>
                <w:rFonts w:ascii="Corbel"/>
                <w:smallCaps w:val="0"/>
                <w:spacing w:val="1"/>
                <w:w w:val="99"/>
                <w:sz w:val="20"/>
              </w:rPr>
              <w:t>i</w:t>
            </w:r>
            <w:r>
              <w:rPr>
                <w:rFonts w:ascii="Corbel"/>
                <w:smallCaps w:val="0"/>
                <w:spacing w:val="-2"/>
                <w:w w:val="99"/>
                <w:sz w:val="20"/>
              </w:rPr>
              <w:t>d</w:t>
            </w:r>
            <w:r>
              <w:rPr>
                <w:rFonts w:ascii="Corbel"/>
                <w:smallCaps w:val="0"/>
                <w:w w:val="99"/>
                <w:sz w:val="20"/>
              </w:rPr>
              <w:t>a</w:t>
            </w:r>
            <w:r>
              <w:rPr>
                <w:rFonts w:ascii="Corbel"/>
                <w:smallCaps w:val="0"/>
                <w:spacing w:val="1"/>
                <w:w w:val="99"/>
                <w:sz w:val="20"/>
              </w:rPr>
              <w:t>d</w:t>
            </w:r>
            <w:r>
              <w:rPr>
                <w:rFonts w:ascii="Corbel"/>
                <w:smallCaps w:val="0"/>
                <w:spacing w:val="-1"/>
                <w:w w:val="99"/>
                <w:sz w:val="20"/>
              </w:rPr>
              <w:t>e</w:t>
            </w:r>
            <w:r>
              <w:rPr>
                <w:rFonts w:ascii="Corbel"/>
                <w:smallCaps w:val="0"/>
                <w:w w:val="99"/>
                <w:sz w:val="20"/>
              </w:rPr>
              <w:t>s</w:t>
            </w:r>
            <w:r>
              <w:rPr>
                <w:rFonts w:ascii="Corbel"/>
                <w:smallCaps w:val="0"/>
                <w:spacing w:val="3"/>
                <w:sz w:val="20"/>
              </w:rPr>
              <w:t> </w:t>
            </w:r>
            <w:r>
              <w:rPr>
                <w:rFonts w:ascii="Corbel"/>
                <w:smallCaps w:val="0"/>
                <w:w w:val="99"/>
                <w:sz w:val="20"/>
              </w:rPr>
              <w:t>y</w:t>
            </w:r>
            <w:r>
              <w:rPr>
                <w:rFonts w:ascii="Corbel"/>
                <w:smallCaps w:val="0"/>
                <w:spacing w:val="1"/>
                <w:sz w:val="20"/>
              </w:rPr>
              <w:t> </w:t>
            </w:r>
            <w:r>
              <w:rPr>
                <w:rFonts w:ascii="Corbel"/>
                <w:smallCaps w:val="0"/>
                <w:spacing w:val="-1"/>
                <w:w w:val="99"/>
                <w:sz w:val="20"/>
              </w:rPr>
              <w:t>Ba</w:t>
            </w:r>
            <w:r>
              <w:rPr>
                <w:rFonts w:ascii="Corbel"/>
                <w:smallCaps w:val="0"/>
                <w:w w:val="99"/>
                <w:sz w:val="20"/>
              </w:rPr>
              <w:t>n</w:t>
            </w:r>
            <w:r>
              <w:rPr>
                <w:rFonts w:ascii="Corbel"/>
                <w:smallCaps w:val="0"/>
                <w:spacing w:val="-2"/>
                <w:w w:val="99"/>
                <w:sz w:val="20"/>
              </w:rPr>
              <w:t>q</w:t>
            </w:r>
            <w:r>
              <w:rPr>
                <w:rFonts w:ascii="Corbel"/>
                <w:smallCaps w:val="0"/>
                <w:w w:val="99"/>
                <w:sz w:val="20"/>
              </w:rPr>
              <w:t>u</w:t>
            </w:r>
            <w:r>
              <w:rPr>
                <w:rFonts w:ascii="Corbel"/>
                <w:smallCaps w:val="0"/>
                <w:spacing w:val="-1"/>
                <w:w w:val="99"/>
                <w:sz w:val="20"/>
              </w:rPr>
              <w:t>et</w:t>
            </w:r>
            <w:r>
              <w:rPr>
                <w:rFonts w:ascii="Corbel"/>
                <w:smallCaps w:val="0"/>
                <w:w w:val="99"/>
                <w:sz w:val="20"/>
              </w:rPr>
              <w:t>as</w:t>
            </w:r>
          </w:p>
        </w:tc>
        <w:tc>
          <w:tcPr>
            <w:tcW w:w="4860" w:type="dxa"/>
            <w:gridSpan w:val="4"/>
            <w:tcBorders>
              <w:top w:val="single" w:sz="2" w:space="0" w:color="CED6E7"/>
              <w:bottom w:val="single" w:sz="2" w:space="0" w:color="CED6E7"/>
            </w:tcBorders>
            <w:shd w:val="clear" w:color="auto" w:fill="F1DBDB"/>
          </w:tcPr>
          <w:p>
            <w:pPr>
              <w:pStyle w:val="TableParagraph"/>
              <w:rPr>
                <w:rFonts w:ascii="Times New Roman"/>
                <w:sz w:val="20"/>
              </w:rPr>
            </w:pPr>
          </w:p>
          <w:p>
            <w:pPr>
              <w:pStyle w:val="TableParagraph"/>
              <w:numPr>
                <w:ilvl w:val="0"/>
                <w:numId w:val="25"/>
              </w:numPr>
              <w:tabs>
                <w:tab w:pos="832" w:val="left" w:leader="none"/>
                <w:tab w:pos="833" w:val="left" w:leader="none"/>
              </w:tabs>
              <w:spacing w:line="268" w:lineRule="auto" w:before="125" w:after="0"/>
              <w:ind w:left="832" w:right="202" w:hanging="394"/>
              <w:jc w:val="left"/>
              <w:rPr>
                <w:rFonts w:ascii="Symbol" w:hAnsi="Symbol"/>
                <w:color w:val="252525"/>
                <w:sz w:val="24"/>
              </w:rPr>
            </w:pPr>
            <w:r>
              <w:rPr>
                <w:rFonts w:ascii="Corbel" w:hAnsi="Corbel"/>
                <w:sz w:val="20"/>
              </w:rPr>
              <w:t>Rehabilitación de banquetas de todo el Centro Histórico.</w:t>
            </w:r>
          </w:p>
          <w:p>
            <w:pPr>
              <w:pStyle w:val="TableParagraph"/>
              <w:spacing w:before="1"/>
              <w:rPr>
                <w:rFonts w:ascii="Times New Roman"/>
                <w:sz w:val="25"/>
              </w:rPr>
            </w:pPr>
          </w:p>
          <w:p>
            <w:pPr>
              <w:pStyle w:val="TableParagraph"/>
              <w:numPr>
                <w:ilvl w:val="0"/>
                <w:numId w:val="25"/>
              </w:numPr>
              <w:tabs>
                <w:tab w:pos="798" w:val="left" w:leader="none"/>
                <w:tab w:pos="799" w:val="left" w:leader="none"/>
              </w:tabs>
              <w:spacing w:line="273" w:lineRule="auto" w:before="0" w:after="0"/>
              <w:ind w:left="798" w:right="388" w:hanging="360"/>
              <w:jc w:val="left"/>
              <w:rPr>
                <w:rFonts w:ascii="Symbol" w:hAnsi="Symbol"/>
                <w:color w:val="252525"/>
                <w:sz w:val="20"/>
              </w:rPr>
            </w:pPr>
            <w:r>
              <w:rPr>
                <w:rFonts w:ascii="Corbel" w:hAnsi="Corbel"/>
                <w:sz w:val="20"/>
              </w:rPr>
              <w:t>Zampeado de canal y Andador Avenida</w:t>
            </w:r>
            <w:r>
              <w:rPr>
                <w:rFonts w:ascii="Corbel" w:hAnsi="Corbel"/>
                <w:spacing w:val="-14"/>
                <w:sz w:val="20"/>
              </w:rPr>
              <w:t> </w:t>
            </w:r>
            <w:r>
              <w:rPr>
                <w:rFonts w:ascii="Corbel" w:hAnsi="Corbel"/>
                <w:sz w:val="20"/>
              </w:rPr>
              <w:t>Juan Pablo II</w:t>
            </w:r>
          </w:p>
          <w:p>
            <w:pPr>
              <w:pStyle w:val="TableParagraph"/>
              <w:spacing w:before="11"/>
              <w:rPr>
                <w:rFonts w:ascii="Times New Roman"/>
                <w:sz w:val="24"/>
              </w:rPr>
            </w:pPr>
          </w:p>
          <w:p>
            <w:pPr>
              <w:pStyle w:val="TableParagraph"/>
              <w:numPr>
                <w:ilvl w:val="0"/>
                <w:numId w:val="25"/>
              </w:numPr>
              <w:tabs>
                <w:tab w:pos="798" w:val="left" w:leader="none"/>
                <w:tab w:pos="799" w:val="left" w:leader="none"/>
              </w:tabs>
              <w:spacing w:line="271" w:lineRule="auto" w:before="0" w:after="0"/>
              <w:ind w:left="798" w:right="77" w:hanging="360"/>
              <w:jc w:val="left"/>
              <w:rPr>
                <w:rFonts w:ascii="Symbol" w:hAnsi="Symbol"/>
                <w:color w:val="252525"/>
                <w:sz w:val="20"/>
              </w:rPr>
            </w:pPr>
            <w:r>
              <w:rPr>
                <w:rFonts w:ascii="Corbel" w:hAnsi="Corbel"/>
                <w:sz w:val="20"/>
              </w:rPr>
              <w:t>Rehabilitación y mantenimiento de</w:t>
            </w:r>
            <w:r>
              <w:rPr>
                <w:rFonts w:ascii="Corbel" w:hAnsi="Corbel"/>
                <w:spacing w:val="-25"/>
                <w:sz w:val="20"/>
              </w:rPr>
              <w:t> </w:t>
            </w:r>
            <w:r>
              <w:rPr>
                <w:rFonts w:ascii="Corbel" w:hAnsi="Corbel"/>
                <w:sz w:val="20"/>
              </w:rPr>
              <w:t>empedrados en la Cabecera Municipal y localidades.</w:t>
            </w:r>
          </w:p>
          <w:p>
            <w:pPr>
              <w:pStyle w:val="TableParagraph"/>
              <w:rPr>
                <w:rFonts w:ascii="Times New Roman"/>
                <w:sz w:val="22"/>
              </w:rPr>
            </w:pPr>
          </w:p>
          <w:p>
            <w:pPr>
              <w:pStyle w:val="TableParagraph"/>
              <w:numPr>
                <w:ilvl w:val="0"/>
                <w:numId w:val="25"/>
              </w:numPr>
              <w:tabs>
                <w:tab w:pos="798" w:val="left" w:leader="none"/>
                <w:tab w:pos="799" w:val="left" w:leader="none"/>
              </w:tabs>
              <w:spacing w:line="273" w:lineRule="auto" w:before="1" w:after="0"/>
              <w:ind w:left="798" w:right="65" w:hanging="360"/>
              <w:jc w:val="left"/>
              <w:rPr>
                <w:rFonts w:ascii="Symbol" w:hAnsi="Symbol"/>
                <w:color w:val="252525"/>
                <w:sz w:val="20"/>
              </w:rPr>
            </w:pPr>
            <w:r>
              <w:rPr>
                <w:rFonts w:ascii="Corbel" w:hAnsi="Corbel"/>
                <w:sz w:val="20"/>
              </w:rPr>
              <w:t>Continuación con los andadores y baquetones hasta el hospital del lado sur de la carretera en la Avenida Manuel Ávila</w:t>
            </w:r>
            <w:r>
              <w:rPr>
                <w:rFonts w:ascii="Corbel" w:hAnsi="Corbel"/>
                <w:spacing w:val="1"/>
                <w:sz w:val="20"/>
              </w:rPr>
              <w:t> </w:t>
            </w:r>
            <w:r>
              <w:rPr>
                <w:rFonts w:ascii="Corbel" w:hAnsi="Corbel"/>
                <w:sz w:val="20"/>
              </w:rPr>
              <w:t>Camacho.</w:t>
            </w:r>
          </w:p>
          <w:p>
            <w:pPr>
              <w:pStyle w:val="TableParagraph"/>
              <w:rPr>
                <w:rFonts w:ascii="Times New Roman"/>
                <w:sz w:val="20"/>
              </w:rPr>
            </w:pPr>
          </w:p>
          <w:p>
            <w:pPr>
              <w:pStyle w:val="TableParagraph"/>
              <w:spacing w:before="1"/>
              <w:rPr>
                <w:rFonts w:ascii="Times New Roman"/>
                <w:sz w:val="19"/>
              </w:rPr>
            </w:pPr>
          </w:p>
          <w:p>
            <w:pPr>
              <w:pStyle w:val="TableParagraph"/>
              <w:numPr>
                <w:ilvl w:val="0"/>
                <w:numId w:val="25"/>
              </w:numPr>
              <w:tabs>
                <w:tab w:pos="798" w:val="left" w:leader="none"/>
                <w:tab w:pos="799" w:val="left" w:leader="none"/>
              </w:tabs>
              <w:spacing w:line="276" w:lineRule="auto" w:before="0" w:after="0"/>
              <w:ind w:left="798" w:right="144" w:hanging="360"/>
              <w:jc w:val="left"/>
              <w:rPr>
                <w:rFonts w:ascii="Symbol" w:hAnsi="Symbol"/>
                <w:color w:val="252525"/>
                <w:sz w:val="20"/>
              </w:rPr>
            </w:pPr>
            <w:r>
              <w:rPr>
                <w:rFonts w:ascii="Corbel" w:hAnsi="Corbel"/>
                <w:sz w:val="20"/>
              </w:rPr>
              <w:t>Empedrado ahogado en concreto en la</w:t>
            </w:r>
            <w:r>
              <w:rPr>
                <w:rFonts w:ascii="Corbel" w:hAnsi="Corbel"/>
                <w:spacing w:val="-13"/>
                <w:sz w:val="20"/>
              </w:rPr>
              <w:t> </w:t>
            </w:r>
            <w:r>
              <w:rPr>
                <w:rFonts w:ascii="Corbel" w:hAnsi="Corbel"/>
                <w:sz w:val="20"/>
              </w:rPr>
              <w:t>Avenida Ávila Camacho en el lado lateral sur a la carretera</w:t>
            </w:r>
          </w:p>
        </w:tc>
      </w:tr>
      <w:tr>
        <w:trPr>
          <w:trHeight w:val="2356" w:hRule="atLeast"/>
        </w:trPr>
        <w:tc>
          <w:tcPr>
            <w:tcW w:w="108" w:type="dxa"/>
            <w:tcBorders>
              <w:top w:val="single" w:sz="2" w:space="0" w:color="CED6E7"/>
              <w:left w:val="nil"/>
              <w:bottom w:val="nil"/>
            </w:tcBorders>
          </w:tcPr>
          <w:p>
            <w:pPr>
              <w:pStyle w:val="TableParagraph"/>
              <w:rPr>
                <w:rFonts w:ascii="Times New Roman"/>
                <w:sz w:val="20"/>
              </w:rPr>
            </w:pPr>
          </w:p>
        </w:tc>
        <w:tc>
          <w:tcPr>
            <w:tcW w:w="4239" w:type="dxa"/>
            <w:tcBorders>
              <w:top w:val="single" w:sz="2" w:space="0" w:color="CED6E7"/>
              <w:bottom w:val="nil"/>
              <w:right w:val="nil"/>
            </w:tcBorders>
            <w:shd w:val="clear" w:color="auto" w:fill="E4B8B7"/>
          </w:tcPr>
          <w:p>
            <w:pPr>
              <w:pStyle w:val="TableParagraph"/>
              <w:rPr>
                <w:rFonts w:ascii="Times New Roman"/>
                <w:sz w:val="20"/>
              </w:rPr>
            </w:pPr>
          </w:p>
          <w:p>
            <w:pPr>
              <w:pStyle w:val="TableParagraph"/>
              <w:spacing w:before="11"/>
              <w:rPr>
                <w:rFonts w:ascii="Times New Roman"/>
                <w:sz w:val="15"/>
              </w:rPr>
            </w:pPr>
          </w:p>
          <w:p>
            <w:pPr>
              <w:pStyle w:val="TableParagraph"/>
              <w:tabs>
                <w:tab w:pos="798" w:val="left" w:leader="none"/>
              </w:tabs>
              <w:ind w:left="438"/>
              <w:rPr>
                <w:rFonts w:ascii="Corbel" w:hAnsi="Corbel"/>
                <w:sz w:val="20"/>
              </w:rPr>
            </w:pPr>
            <w:r>
              <w:rPr>
                <w:rFonts w:ascii="Corbel" w:hAnsi="Corbel"/>
                <w:smallCaps/>
                <w:spacing w:val="-1"/>
                <w:w w:val="99"/>
                <w:sz w:val="20"/>
              </w:rPr>
              <w:t>2</w:t>
            </w:r>
            <w:r>
              <w:rPr>
                <w:rFonts w:ascii="Corbel" w:hAnsi="Corbel"/>
                <w:smallCaps/>
                <w:w w:val="99"/>
                <w:sz w:val="20"/>
              </w:rPr>
              <w:t>.</w:t>
            </w:r>
            <w:r>
              <w:rPr>
                <w:rFonts w:ascii="Corbel" w:hAnsi="Corbel"/>
                <w:smallCaps w:val="0"/>
                <w:sz w:val="20"/>
              </w:rPr>
              <w:tab/>
            </w:r>
            <w:r>
              <w:rPr>
                <w:rFonts w:ascii="Corbel" w:hAnsi="Corbel"/>
                <w:smallCaps w:val="0"/>
                <w:spacing w:val="-1"/>
                <w:w w:val="99"/>
                <w:sz w:val="20"/>
              </w:rPr>
              <w:t>I</w:t>
            </w:r>
            <w:r>
              <w:rPr>
                <w:rFonts w:ascii="Corbel" w:hAnsi="Corbel"/>
                <w:smallCaps w:val="0"/>
                <w:w w:val="99"/>
                <w:sz w:val="20"/>
              </w:rPr>
              <w:t>n</w:t>
            </w:r>
            <w:r>
              <w:rPr>
                <w:rFonts w:ascii="Corbel" w:hAnsi="Corbel"/>
                <w:smallCaps w:val="0"/>
                <w:spacing w:val="-1"/>
                <w:w w:val="99"/>
                <w:sz w:val="20"/>
              </w:rPr>
              <w:t>f</w:t>
            </w:r>
            <w:r>
              <w:rPr>
                <w:rFonts w:ascii="Corbel" w:hAnsi="Corbel"/>
                <w:smallCaps w:val="0"/>
                <w:w w:val="99"/>
                <w:sz w:val="20"/>
              </w:rPr>
              <w:t>r</w:t>
            </w:r>
            <w:r>
              <w:rPr>
                <w:rFonts w:ascii="Corbel" w:hAnsi="Corbel"/>
                <w:smallCaps w:val="0"/>
                <w:spacing w:val="1"/>
                <w:w w:val="99"/>
                <w:sz w:val="20"/>
              </w:rPr>
              <w:t>a</w:t>
            </w:r>
            <w:r>
              <w:rPr>
                <w:rFonts w:ascii="Corbel" w:hAnsi="Corbel"/>
                <w:smallCaps w:val="0"/>
                <w:spacing w:val="-1"/>
                <w:w w:val="99"/>
                <w:sz w:val="20"/>
              </w:rPr>
              <w:t>e</w:t>
            </w:r>
            <w:r>
              <w:rPr>
                <w:rFonts w:ascii="Corbel" w:hAnsi="Corbel"/>
                <w:smallCaps w:val="0"/>
                <w:w w:val="99"/>
                <w:sz w:val="20"/>
              </w:rPr>
              <w:t>s</w:t>
            </w:r>
            <w:r>
              <w:rPr>
                <w:rFonts w:ascii="Corbel" w:hAnsi="Corbel"/>
                <w:smallCaps w:val="0"/>
                <w:spacing w:val="-1"/>
                <w:w w:val="99"/>
                <w:sz w:val="20"/>
              </w:rPr>
              <w:t>t</w:t>
            </w:r>
            <w:r>
              <w:rPr>
                <w:rFonts w:ascii="Corbel" w:hAnsi="Corbel"/>
                <w:smallCaps w:val="0"/>
                <w:w w:val="99"/>
                <w:sz w:val="20"/>
              </w:rPr>
              <w:t>ru</w:t>
            </w:r>
            <w:r>
              <w:rPr>
                <w:rFonts w:ascii="Corbel" w:hAnsi="Corbel"/>
                <w:smallCaps w:val="0"/>
                <w:spacing w:val="-1"/>
                <w:w w:val="99"/>
                <w:sz w:val="20"/>
              </w:rPr>
              <w:t>ctu</w:t>
            </w:r>
            <w:r>
              <w:rPr>
                <w:rFonts w:ascii="Corbel" w:hAnsi="Corbel"/>
                <w:smallCaps w:val="0"/>
                <w:w w:val="99"/>
                <w:sz w:val="20"/>
              </w:rPr>
              <w:t>ra</w:t>
            </w:r>
            <w:r>
              <w:rPr>
                <w:rFonts w:ascii="Corbel" w:hAnsi="Corbel"/>
                <w:smallCaps w:val="0"/>
                <w:spacing w:val="2"/>
                <w:sz w:val="20"/>
              </w:rPr>
              <w:t> </w:t>
            </w:r>
            <w:r>
              <w:rPr>
                <w:rFonts w:ascii="Corbel" w:hAnsi="Corbel"/>
                <w:smallCaps w:val="0"/>
                <w:w w:val="99"/>
                <w:sz w:val="20"/>
              </w:rPr>
              <w:t>s</w:t>
            </w:r>
            <w:r>
              <w:rPr>
                <w:rFonts w:ascii="Corbel" w:hAnsi="Corbel"/>
                <w:smallCaps w:val="0"/>
                <w:spacing w:val="-1"/>
                <w:w w:val="99"/>
                <w:sz w:val="20"/>
              </w:rPr>
              <w:t>o</w:t>
            </w:r>
            <w:r>
              <w:rPr>
                <w:rFonts w:ascii="Corbel" w:hAnsi="Corbel"/>
                <w:smallCaps w:val="0"/>
                <w:w w:val="99"/>
                <w:sz w:val="20"/>
              </w:rPr>
              <w:t>c</w:t>
            </w:r>
            <w:r>
              <w:rPr>
                <w:rFonts w:ascii="Corbel" w:hAnsi="Corbel"/>
                <w:smallCaps w:val="0"/>
                <w:spacing w:val="-1"/>
                <w:w w:val="99"/>
                <w:sz w:val="20"/>
              </w:rPr>
              <w:t>i</w:t>
            </w:r>
            <w:r>
              <w:rPr>
                <w:rFonts w:ascii="Corbel" w:hAnsi="Corbel"/>
                <w:smallCaps w:val="0"/>
                <w:w w:val="99"/>
                <w:sz w:val="20"/>
              </w:rPr>
              <w:t>al</w:t>
            </w:r>
            <w:r>
              <w:rPr>
                <w:rFonts w:ascii="Corbel" w:hAnsi="Corbel"/>
                <w:smallCaps w:val="0"/>
                <w:spacing w:val="1"/>
                <w:sz w:val="20"/>
              </w:rPr>
              <w:t> </w:t>
            </w:r>
            <w:r>
              <w:rPr>
                <w:rFonts w:ascii="Corbel" w:hAnsi="Corbel"/>
                <w:smallCaps w:val="0"/>
                <w:w w:val="99"/>
                <w:sz w:val="20"/>
              </w:rPr>
              <w:t>y</w:t>
            </w:r>
            <w:r>
              <w:rPr>
                <w:rFonts w:ascii="Corbel" w:hAnsi="Corbel"/>
                <w:smallCaps w:val="0"/>
                <w:spacing w:val="1"/>
                <w:sz w:val="20"/>
              </w:rPr>
              <w:t> </w:t>
            </w:r>
            <w:r>
              <w:rPr>
                <w:rFonts w:ascii="Corbel" w:hAnsi="Corbel"/>
                <w:smallCaps w:val="0"/>
                <w:spacing w:val="-1"/>
                <w:w w:val="99"/>
                <w:sz w:val="20"/>
              </w:rPr>
              <w:t>e</w:t>
            </w:r>
            <w:r>
              <w:rPr>
                <w:rFonts w:ascii="Corbel" w:hAnsi="Corbel"/>
                <w:smallCaps w:val="0"/>
                <w:w w:val="99"/>
                <w:sz w:val="20"/>
              </w:rPr>
              <w:t>s</w:t>
            </w:r>
            <w:r>
              <w:rPr>
                <w:rFonts w:ascii="Corbel" w:hAnsi="Corbel"/>
                <w:smallCaps w:val="0"/>
                <w:spacing w:val="-1"/>
                <w:w w:val="99"/>
                <w:sz w:val="20"/>
              </w:rPr>
              <w:t>t</w:t>
            </w:r>
            <w:r>
              <w:rPr>
                <w:rFonts w:ascii="Corbel" w:hAnsi="Corbel"/>
                <w:smallCaps w:val="0"/>
                <w:w w:val="99"/>
                <w:sz w:val="20"/>
              </w:rPr>
              <w:t>ra</w:t>
            </w:r>
            <w:r>
              <w:rPr>
                <w:rFonts w:ascii="Corbel" w:hAnsi="Corbel"/>
                <w:smallCaps w:val="0"/>
                <w:spacing w:val="-1"/>
                <w:w w:val="99"/>
                <w:sz w:val="20"/>
              </w:rPr>
              <w:t>tég</w:t>
            </w:r>
            <w:r>
              <w:rPr>
                <w:rFonts w:ascii="Corbel" w:hAnsi="Corbel"/>
                <w:smallCaps w:val="0"/>
                <w:w w:val="99"/>
                <w:sz w:val="20"/>
              </w:rPr>
              <w:t>i</w:t>
            </w:r>
            <w:r>
              <w:rPr>
                <w:rFonts w:ascii="Corbel" w:hAnsi="Corbel"/>
                <w:smallCaps w:val="0"/>
                <w:spacing w:val="-1"/>
                <w:w w:val="99"/>
                <w:sz w:val="20"/>
              </w:rPr>
              <w:t>c</w:t>
            </w:r>
            <w:r>
              <w:rPr>
                <w:rFonts w:ascii="Corbel" w:hAnsi="Corbel"/>
                <w:smallCaps w:val="0"/>
                <w:w w:val="99"/>
                <w:sz w:val="20"/>
              </w:rPr>
              <w:t>a</w:t>
            </w:r>
          </w:p>
        </w:tc>
        <w:tc>
          <w:tcPr>
            <w:tcW w:w="339" w:type="dxa"/>
            <w:gridSpan w:val="2"/>
            <w:tcBorders>
              <w:top w:val="single" w:sz="2" w:space="0" w:color="CED6E7"/>
              <w:left w:val="nil"/>
              <w:bottom w:val="nil"/>
            </w:tcBorders>
            <w:shd w:val="clear" w:color="auto" w:fill="E4B8B7"/>
          </w:tcPr>
          <w:p>
            <w:pPr>
              <w:pStyle w:val="TableParagraph"/>
              <w:rPr>
                <w:rFonts w:ascii="Times New Roman"/>
                <w:sz w:val="20"/>
              </w:rPr>
            </w:pPr>
          </w:p>
        </w:tc>
        <w:tc>
          <w:tcPr>
            <w:tcW w:w="4521" w:type="dxa"/>
            <w:gridSpan w:val="2"/>
            <w:tcBorders>
              <w:top w:val="single" w:sz="2" w:space="0" w:color="CED6E7"/>
              <w:bottom w:val="nil"/>
            </w:tcBorders>
            <w:shd w:val="clear" w:color="auto" w:fill="F1DBDB"/>
          </w:tcPr>
          <w:p>
            <w:pPr>
              <w:pStyle w:val="TableParagraph"/>
              <w:spacing w:before="9"/>
              <w:rPr>
                <w:rFonts w:ascii="Times New Roman"/>
                <w:sz w:val="32"/>
              </w:rPr>
            </w:pPr>
          </w:p>
          <w:p>
            <w:pPr>
              <w:pStyle w:val="TableParagraph"/>
              <w:numPr>
                <w:ilvl w:val="0"/>
                <w:numId w:val="26"/>
              </w:numPr>
              <w:tabs>
                <w:tab w:pos="834" w:val="left" w:leader="none"/>
                <w:tab w:pos="835" w:val="left" w:leader="none"/>
              </w:tabs>
              <w:spacing w:line="240" w:lineRule="auto" w:before="0" w:after="0"/>
              <w:ind w:left="834" w:right="0" w:hanging="395"/>
              <w:jc w:val="left"/>
              <w:rPr>
                <w:rFonts w:ascii="Symbol" w:hAnsi="Symbol"/>
                <w:color w:val="252525"/>
                <w:sz w:val="24"/>
              </w:rPr>
            </w:pPr>
            <w:r>
              <w:rPr>
                <w:rFonts w:ascii="Corbel" w:hAnsi="Corbel"/>
                <w:color w:val="404040"/>
                <w:sz w:val="20"/>
              </w:rPr>
              <w:t>Intervención de canales pluviales.</w:t>
            </w:r>
          </w:p>
          <w:p>
            <w:pPr>
              <w:pStyle w:val="TableParagraph"/>
              <w:spacing w:before="6"/>
              <w:rPr>
                <w:rFonts w:ascii="Times New Roman"/>
                <w:sz w:val="27"/>
              </w:rPr>
            </w:pPr>
          </w:p>
          <w:p>
            <w:pPr>
              <w:pStyle w:val="TableParagraph"/>
              <w:numPr>
                <w:ilvl w:val="0"/>
                <w:numId w:val="26"/>
              </w:numPr>
              <w:tabs>
                <w:tab w:pos="800" w:val="left" w:leader="none"/>
                <w:tab w:pos="801" w:val="left" w:leader="none"/>
              </w:tabs>
              <w:spacing w:line="240" w:lineRule="auto" w:before="0" w:after="0"/>
              <w:ind w:left="800" w:right="0" w:hanging="361"/>
              <w:jc w:val="left"/>
              <w:rPr>
                <w:rFonts w:ascii="Symbol" w:hAnsi="Symbol"/>
                <w:color w:val="252525"/>
                <w:sz w:val="20"/>
              </w:rPr>
            </w:pPr>
            <w:r>
              <w:rPr>
                <w:rFonts w:ascii="Corbel" w:hAnsi="Corbel"/>
                <w:color w:val="404040"/>
                <w:sz w:val="20"/>
              </w:rPr>
              <w:t>Ampliación del panteón.</w:t>
            </w:r>
          </w:p>
          <w:p>
            <w:pPr>
              <w:pStyle w:val="TableParagraph"/>
              <w:spacing w:before="3"/>
              <w:rPr>
                <w:rFonts w:ascii="Times New Roman"/>
                <w:sz w:val="21"/>
              </w:rPr>
            </w:pPr>
          </w:p>
          <w:p>
            <w:pPr>
              <w:pStyle w:val="TableParagraph"/>
              <w:numPr>
                <w:ilvl w:val="0"/>
                <w:numId w:val="26"/>
              </w:numPr>
              <w:tabs>
                <w:tab w:pos="800" w:val="left" w:leader="none"/>
                <w:tab w:pos="801" w:val="left" w:leader="none"/>
              </w:tabs>
              <w:spacing w:line="240" w:lineRule="auto" w:before="0" w:after="0"/>
              <w:ind w:left="800" w:right="0" w:hanging="361"/>
              <w:jc w:val="left"/>
              <w:rPr>
                <w:rFonts w:ascii="Symbol" w:hAnsi="Symbol"/>
                <w:color w:val="252525"/>
                <w:sz w:val="20"/>
              </w:rPr>
            </w:pPr>
            <w:r>
              <w:rPr>
                <w:rFonts w:ascii="Corbel" w:hAnsi="Corbel"/>
                <w:color w:val="404040"/>
                <w:sz w:val="20"/>
              </w:rPr>
              <w:t>Electrificación en la colonia los</w:t>
            </w:r>
            <w:r>
              <w:rPr>
                <w:rFonts w:ascii="Corbel" w:hAnsi="Corbel"/>
                <w:color w:val="404040"/>
                <w:spacing w:val="-17"/>
                <w:sz w:val="20"/>
              </w:rPr>
              <w:t> </w:t>
            </w:r>
            <w:r>
              <w:rPr>
                <w:rFonts w:ascii="Corbel" w:hAnsi="Corbel"/>
                <w:color w:val="404040"/>
                <w:sz w:val="20"/>
              </w:rPr>
              <w:t>fresnos</w:t>
            </w:r>
          </w:p>
          <w:p>
            <w:pPr>
              <w:pStyle w:val="TableParagraph"/>
              <w:spacing w:before="2"/>
              <w:rPr>
                <w:rFonts w:ascii="Times New Roman"/>
                <w:sz w:val="21"/>
              </w:rPr>
            </w:pPr>
          </w:p>
          <w:p>
            <w:pPr>
              <w:pStyle w:val="TableParagraph"/>
              <w:numPr>
                <w:ilvl w:val="0"/>
                <w:numId w:val="26"/>
              </w:numPr>
              <w:tabs>
                <w:tab w:pos="800" w:val="left" w:leader="none"/>
                <w:tab w:pos="801" w:val="left" w:leader="none"/>
              </w:tabs>
              <w:spacing w:line="240" w:lineRule="auto" w:before="1" w:after="0"/>
              <w:ind w:left="800" w:right="0" w:hanging="361"/>
              <w:jc w:val="left"/>
              <w:rPr>
                <w:rFonts w:ascii="Symbol" w:hAnsi="Symbol"/>
                <w:color w:val="252525"/>
                <w:sz w:val="20"/>
              </w:rPr>
            </w:pPr>
            <w:r>
              <w:rPr>
                <w:rFonts w:ascii="Corbel" w:hAnsi="Corbel"/>
                <w:color w:val="404040"/>
                <w:sz w:val="20"/>
              </w:rPr>
              <w:t>Electrificación en la colonia los</w:t>
            </w:r>
            <w:r>
              <w:rPr>
                <w:rFonts w:ascii="Corbel" w:hAnsi="Corbel"/>
                <w:color w:val="404040"/>
                <w:spacing w:val="-20"/>
                <w:sz w:val="20"/>
              </w:rPr>
              <w:t> </w:t>
            </w:r>
            <w:r>
              <w:rPr>
                <w:rFonts w:ascii="Corbel" w:hAnsi="Corbel"/>
                <w:color w:val="404040"/>
                <w:sz w:val="20"/>
              </w:rPr>
              <w:t>llanitos</w:t>
            </w:r>
          </w:p>
        </w:tc>
      </w:tr>
    </w:tbl>
    <w:p>
      <w:pPr>
        <w:spacing w:after="0" w:line="240" w:lineRule="auto"/>
        <w:jc w:val="left"/>
        <w:rPr>
          <w:rFonts w:ascii="Symbol" w:hAnsi="Symbol"/>
          <w:sz w:val="20"/>
        </w:rPr>
        <w:sectPr>
          <w:pgSz w:w="12240" w:h="15840"/>
          <w:pgMar w:header="178" w:footer="1076" w:top="1120" w:bottom="1340" w:left="460" w:right="220"/>
        </w:sectPr>
      </w:pPr>
    </w:p>
    <w:p>
      <w:pPr>
        <w:pStyle w:val="BodyText"/>
        <w:rPr>
          <w:rFonts w:ascii="Times New Roman"/>
          <w:sz w:val="20"/>
        </w:rPr>
      </w:pPr>
    </w:p>
    <w:p>
      <w:pPr>
        <w:pStyle w:val="Heading1"/>
        <w:numPr>
          <w:ilvl w:val="1"/>
          <w:numId w:val="27"/>
        </w:numPr>
        <w:tabs>
          <w:tab w:pos="1566" w:val="left" w:leader="none"/>
        </w:tabs>
        <w:spacing w:line="240" w:lineRule="auto" w:before="272" w:after="0"/>
        <w:ind w:left="1566" w:right="0" w:hanging="665"/>
        <w:jc w:val="left"/>
        <w:rPr>
          <w:color w:val="3D3D3D"/>
        </w:rPr>
      </w:pPr>
      <w:r>
        <w:rPr>
          <w:color w:val="3D3D3D"/>
        </w:rPr>
        <w:t>DESARROLLO</w:t>
      </w:r>
      <w:r>
        <w:rPr>
          <w:color w:val="3D3D3D"/>
          <w:spacing w:val="-2"/>
        </w:rPr>
        <w:t> </w:t>
      </w:r>
      <w:r>
        <w:rPr>
          <w:color w:val="3D3D3D"/>
        </w:rPr>
        <w:t>SOCIAL</w:t>
      </w:r>
    </w:p>
    <w:p>
      <w:pPr>
        <w:pStyle w:val="BodyText"/>
        <w:spacing w:before="6"/>
        <w:rPr>
          <w:sz w:val="45"/>
        </w:rPr>
      </w:pPr>
    </w:p>
    <w:p>
      <w:pPr>
        <w:pStyle w:val="ListParagraph"/>
        <w:numPr>
          <w:ilvl w:val="1"/>
          <w:numId w:val="27"/>
        </w:numPr>
        <w:tabs>
          <w:tab w:pos="1257" w:val="left" w:leader="none"/>
        </w:tabs>
        <w:spacing w:line="240" w:lineRule="auto" w:before="0" w:after="0"/>
        <w:ind w:left="1256" w:right="0" w:hanging="356"/>
        <w:jc w:val="left"/>
        <w:rPr>
          <w:rFonts w:ascii="Corbel"/>
          <w:color w:val="365F91"/>
          <w:sz w:val="26"/>
        </w:rPr>
      </w:pPr>
      <w:bookmarkStart w:name="_bookmark9" w:id="13"/>
      <w:bookmarkEnd w:id="13"/>
      <w:r>
        <w:rPr/>
      </w:r>
      <w:bookmarkStart w:name="_bookmark9" w:id="14"/>
      <w:bookmarkEnd w:id="14"/>
      <w:r>
        <w:rPr>
          <w:rFonts w:ascii="Corbel"/>
          <w:smallCaps w:val="0"/>
          <w:color w:val="365F91"/>
          <w:sz w:val="26"/>
        </w:rPr>
        <w:t>C</w:t>
      </w:r>
      <w:r>
        <w:rPr>
          <w:rFonts w:ascii="Corbel"/>
          <w:smallCaps w:val="0"/>
          <w:color w:val="365F91"/>
          <w:sz w:val="26"/>
        </w:rPr>
        <w:t>OMPONENTE DE</w:t>
      </w:r>
      <w:r>
        <w:rPr>
          <w:rFonts w:ascii="Corbel"/>
          <w:smallCaps w:val="0"/>
          <w:color w:val="365F91"/>
          <w:spacing w:val="2"/>
          <w:sz w:val="26"/>
        </w:rPr>
        <w:t> </w:t>
      </w:r>
      <w:r>
        <w:rPr>
          <w:rFonts w:ascii="Corbel"/>
          <w:smallCaps w:val="0"/>
          <w:color w:val="365F91"/>
          <w:sz w:val="26"/>
        </w:rPr>
        <w:t>DIAGNOSTICO.</w:t>
      </w:r>
    </w:p>
    <w:p>
      <w:pPr>
        <w:pStyle w:val="BodyText"/>
        <w:spacing w:before="1"/>
        <w:rPr>
          <w:rFonts w:ascii="Corbel"/>
          <w:sz w:val="24"/>
        </w:rPr>
      </w:pPr>
    </w:p>
    <w:p>
      <w:pPr>
        <w:pStyle w:val="Heading2"/>
        <w:jc w:val="both"/>
        <w:rPr>
          <w:rFonts w:ascii="Calibri" w:hAnsi="Calibri"/>
        </w:rPr>
      </w:pPr>
      <w:r>
        <w:rPr>
          <w:rFonts w:ascii="Calibri" w:hAnsi="Calibri"/>
        </w:rPr>
        <w:t>Demografía y población</w:t>
      </w:r>
    </w:p>
    <w:p>
      <w:pPr>
        <w:pStyle w:val="BodyText"/>
        <w:spacing w:before="2"/>
        <w:rPr>
          <w:rFonts w:ascii="Calibri"/>
          <w:b/>
          <w:sz w:val="24"/>
        </w:rPr>
      </w:pPr>
    </w:p>
    <w:p>
      <w:pPr>
        <w:pStyle w:val="BodyText"/>
        <w:spacing w:line="276" w:lineRule="auto"/>
        <w:ind w:left="901" w:right="1155"/>
        <w:jc w:val="both"/>
      </w:pPr>
      <w:r>
        <w:rPr/>
        <w:t>El municipio de Magdalena, de acuerdo con los datos del Censo de Población y Vivienda 2010, cuenta con una población de 21,321 habitantes, de los cuales 10,583 son hombres, correspondiente al 49.6% respecto del total de población del municipio, en tanto que 10,738 personas son mujeres, lo que representa un porcentaje de 50.4%. Los habitantes del municipio de Magdalena representaban el 0.3 % del total de población estatal (ver tabla 3). Comparando este monto poblacional con el del año 2000, se obtiene que la población municipal aumentó un 17.3 por ciento en diez años.</w:t>
      </w:r>
    </w:p>
    <w:p>
      <w:pPr>
        <w:pStyle w:val="BodyText"/>
        <w:rPr>
          <w:sz w:val="24"/>
        </w:rPr>
      </w:pPr>
    </w:p>
    <w:p>
      <w:pPr>
        <w:spacing w:before="1"/>
        <w:ind w:left="1261" w:right="0" w:firstLine="0"/>
        <w:jc w:val="left"/>
        <w:rPr>
          <w:sz w:val="21"/>
        </w:rPr>
      </w:pPr>
      <w:r>
        <w:rPr>
          <w:sz w:val="21"/>
        </w:rPr>
        <w:t>TABLA 3. POBLACIÓN DEL MUNICIPIO DE MAGDALENA, JALISCO</w:t>
      </w:r>
    </w:p>
    <w:p>
      <w:pPr>
        <w:pStyle w:val="BodyText"/>
        <w:rPr>
          <w:sz w:val="20"/>
        </w:rPr>
      </w:pPr>
    </w:p>
    <w:p>
      <w:pPr>
        <w:pStyle w:val="BodyText"/>
        <w:spacing w:before="5"/>
        <w:rPr>
          <w:sz w:val="13"/>
        </w:rPr>
      </w:pPr>
    </w:p>
    <w:tbl>
      <w:tblPr>
        <w:tblW w:w="0" w:type="auto"/>
        <w:jc w:val="left"/>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4"/>
        <w:gridCol w:w="2307"/>
        <w:gridCol w:w="1702"/>
        <w:gridCol w:w="1700"/>
        <w:gridCol w:w="1561"/>
        <w:gridCol w:w="1416"/>
      </w:tblGrid>
      <w:tr>
        <w:trPr>
          <w:trHeight w:val="1015" w:hRule="atLeast"/>
        </w:trPr>
        <w:tc>
          <w:tcPr>
            <w:tcW w:w="1034" w:type="dxa"/>
            <w:tcBorders>
              <w:bottom w:val="single" w:sz="6" w:space="0" w:color="000000"/>
            </w:tcBorders>
          </w:tcPr>
          <w:p>
            <w:pPr>
              <w:pStyle w:val="TableParagraph"/>
              <w:spacing w:before="204"/>
              <w:ind w:left="78"/>
              <w:rPr>
                <w:sz w:val="20"/>
              </w:rPr>
            </w:pPr>
            <w:r>
              <w:rPr>
                <w:sz w:val="20"/>
              </w:rPr>
              <w:t>Clave</w:t>
            </w:r>
          </w:p>
        </w:tc>
        <w:tc>
          <w:tcPr>
            <w:tcW w:w="2307" w:type="dxa"/>
            <w:tcBorders>
              <w:bottom w:val="single" w:sz="6" w:space="0" w:color="000000"/>
            </w:tcBorders>
          </w:tcPr>
          <w:p>
            <w:pPr>
              <w:pStyle w:val="TableParagraph"/>
              <w:spacing w:before="204"/>
              <w:ind w:left="79"/>
              <w:rPr>
                <w:sz w:val="20"/>
              </w:rPr>
            </w:pPr>
            <w:r>
              <w:rPr>
                <w:sz w:val="20"/>
              </w:rPr>
              <w:t>Municipio/Localidad</w:t>
            </w:r>
          </w:p>
        </w:tc>
        <w:tc>
          <w:tcPr>
            <w:tcW w:w="1702" w:type="dxa"/>
            <w:tcBorders>
              <w:bottom w:val="single" w:sz="6" w:space="0" w:color="000000"/>
            </w:tcBorders>
          </w:tcPr>
          <w:p>
            <w:pPr>
              <w:pStyle w:val="TableParagraph"/>
              <w:spacing w:before="204"/>
              <w:ind w:left="79" w:right="109"/>
              <w:rPr>
                <w:sz w:val="20"/>
              </w:rPr>
            </w:pPr>
            <w:r>
              <w:rPr>
                <w:sz w:val="20"/>
              </w:rPr>
              <w:t>Población total 2010</w:t>
            </w:r>
          </w:p>
        </w:tc>
        <w:tc>
          <w:tcPr>
            <w:tcW w:w="1700" w:type="dxa"/>
            <w:tcBorders>
              <w:bottom w:val="single" w:sz="6" w:space="0" w:color="000000"/>
            </w:tcBorders>
          </w:tcPr>
          <w:p>
            <w:pPr>
              <w:pStyle w:val="TableParagraph"/>
              <w:spacing w:before="204"/>
              <w:ind w:left="78" w:right="108"/>
              <w:rPr>
                <w:sz w:val="20"/>
              </w:rPr>
            </w:pPr>
            <w:r>
              <w:rPr>
                <w:sz w:val="20"/>
              </w:rPr>
              <w:t>Población total 2015</w:t>
            </w:r>
          </w:p>
        </w:tc>
        <w:tc>
          <w:tcPr>
            <w:tcW w:w="1561" w:type="dxa"/>
            <w:tcBorders>
              <w:bottom w:val="single" w:sz="6" w:space="0" w:color="000000"/>
            </w:tcBorders>
          </w:tcPr>
          <w:p>
            <w:pPr>
              <w:pStyle w:val="TableParagraph"/>
              <w:spacing w:before="204"/>
              <w:ind w:left="80" w:right="92"/>
              <w:rPr>
                <w:sz w:val="20"/>
              </w:rPr>
            </w:pPr>
            <w:r>
              <w:rPr>
                <w:sz w:val="20"/>
              </w:rPr>
              <w:t>Total de Hombres 2015</w:t>
            </w:r>
          </w:p>
        </w:tc>
        <w:tc>
          <w:tcPr>
            <w:tcW w:w="1416" w:type="dxa"/>
            <w:tcBorders>
              <w:bottom w:val="single" w:sz="6" w:space="0" w:color="000000"/>
            </w:tcBorders>
          </w:tcPr>
          <w:p>
            <w:pPr>
              <w:pStyle w:val="TableParagraph"/>
              <w:spacing w:before="204"/>
              <w:ind w:left="78" w:right="65"/>
              <w:rPr>
                <w:sz w:val="20"/>
              </w:rPr>
            </w:pPr>
            <w:r>
              <w:rPr>
                <w:sz w:val="20"/>
              </w:rPr>
              <w:t>Total de Mujeres 2015</w:t>
            </w:r>
          </w:p>
        </w:tc>
      </w:tr>
      <w:tr>
        <w:trPr>
          <w:trHeight w:val="523" w:hRule="atLeast"/>
        </w:trPr>
        <w:tc>
          <w:tcPr>
            <w:tcW w:w="1034" w:type="dxa"/>
            <w:tcBorders>
              <w:top w:val="single" w:sz="6" w:space="0" w:color="000000"/>
              <w:bottom w:val="single" w:sz="6" w:space="0" w:color="000000"/>
            </w:tcBorders>
          </w:tcPr>
          <w:p>
            <w:pPr>
              <w:pStyle w:val="TableParagraph"/>
              <w:spacing w:before="203"/>
              <w:ind w:left="78"/>
              <w:rPr>
                <w:sz w:val="20"/>
              </w:rPr>
            </w:pPr>
            <w:r>
              <w:rPr>
                <w:sz w:val="20"/>
              </w:rPr>
              <w:t>055</w:t>
            </w:r>
          </w:p>
        </w:tc>
        <w:tc>
          <w:tcPr>
            <w:tcW w:w="2307" w:type="dxa"/>
            <w:tcBorders>
              <w:top w:val="single" w:sz="6" w:space="0" w:color="000000"/>
              <w:bottom w:val="single" w:sz="6" w:space="0" w:color="000000"/>
            </w:tcBorders>
          </w:tcPr>
          <w:p>
            <w:pPr>
              <w:pStyle w:val="TableParagraph"/>
              <w:spacing w:before="203"/>
              <w:ind w:left="79"/>
              <w:rPr>
                <w:sz w:val="20"/>
              </w:rPr>
            </w:pPr>
            <w:r>
              <w:rPr>
                <w:sz w:val="20"/>
              </w:rPr>
              <w:t>Magdalena</w:t>
            </w:r>
          </w:p>
        </w:tc>
        <w:tc>
          <w:tcPr>
            <w:tcW w:w="1702" w:type="dxa"/>
            <w:tcBorders>
              <w:top w:val="single" w:sz="6" w:space="0" w:color="000000"/>
              <w:bottom w:val="single" w:sz="6" w:space="0" w:color="000000"/>
            </w:tcBorders>
          </w:tcPr>
          <w:p>
            <w:pPr>
              <w:pStyle w:val="TableParagraph"/>
              <w:spacing w:before="203"/>
              <w:ind w:left="79"/>
              <w:rPr>
                <w:sz w:val="20"/>
              </w:rPr>
            </w:pPr>
            <w:r>
              <w:rPr>
                <w:sz w:val="20"/>
              </w:rPr>
              <w:t>21,321</w:t>
            </w:r>
          </w:p>
        </w:tc>
        <w:tc>
          <w:tcPr>
            <w:tcW w:w="1700" w:type="dxa"/>
            <w:tcBorders>
              <w:top w:val="single" w:sz="6" w:space="0" w:color="000000"/>
              <w:bottom w:val="single" w:sz="6" w:space="0" w:color="000000"/>
            </w:tcBorders>
          </w:tcPr>
          <w:p>
            <w:pPr>
              <w:pStyle w:val="TableParagraph"/>
              <w:spacing w:before="203"/>
              <w:ind w:left="78"/>
              <w:rPr>
                <w:sz w:val="20"/>
              </w:rPr>
            </w:pPr>
            <w:r>
              <w:rPr>
                <w:sz w:val="20"/>
              </w:rPr>
              <w:t>22,643</w:t>
            </w:r>
          </w:p>
        </w:tc>
        <w:tc>
          <w:tcPr>
            <w:tcW w:w="1561" w:type="dxa"/>
            <w:tcBorders>
              <w:top w:val="single" w:sz="6" w:space="0" w:color="000000"/>
              <w:bottom w:val="single" w:sz="6" w:space="0" w:color="000000"/>
            </w:tcBorders>
          </w:tcPr>
          <w:p>
            <w:pPr>
              <w:pStyle w:val="TableParagraph"/>
              <w:spacing w:before="203"/>
              <w:ind w:left="80"/>
              <w:rPr>
                <w:sz w:val="20"/>
              </w:rPr>
            </w:pPr>
            <w:r>
              <w:rPr>
                <w:sz w:val="20"/>
              </w:rPr>
              <w:t>11,286</w:t>
            </w:r>
          </w:p>
        </w:tc>
        <w:tc>
          <w:tcPr>
            <w:tcW w:w="1416" w:type="dxa"/>
            <w:tcBorders>
              <w:top w:val="single" w:sz="6" w:space="0" w:color="000000"/>
              <w:bottom w:val="single" w:sz="6" w:space="0" w:color="000000"/>
            </w:tcBorders>
          </w:tcPr>
          <w:p>
            <w:pPr>
              <w:pStyle w:val="TableParagraph"/>
              <w:spacing w:before="203"/>
              <w:ind w:left="78"/>
              <w:rPr>
                <w:sz w:val="20"/>
              </w:rPr>
            </w:pPr>
            <w:r>
              <w:rPr>
                <w:sz w:val="20"/>
              </w:rPr>
              <w:t>11,357</w:t>
            </w:r>
          </w:p>
        </w:tc>
      </w:tr>
    </w:tbl>
    <w:p>
      <w:pPr>
        <w:spacing w:before="120"/>
        <w:ind w:left="3402" w:right="1185" w:hanging="2463"/>
        <w:jc w:val="left"/>
        <w:rPr>
          <w:sz w:val="15"/>
        </w:rPr>
      </w:pPr>
      <w:r>
        <w:rPr>
          <w:b/>
          <w:sz w:val="15"/>
        </w:rPr>
        <w:t>Fuente: </w:t>
      </w:r>
      <w:r>
        <w:rPr>
          <w:sz w:val="15"/>
        </w:rPr>
        <w:t>Elaborado por el Consejo estatal de Población con base en INEGI, Censos y conteos nacionales. 2010 – 2015. Consultado en </w:t>
      </w:r>
      <w:hyperlink r:id="rId22">
        <w:r>
          <w:rPr>
            <w:color w:val="0000FF"/>
            <w:sz w:val="15"/>
            <w:u w:val="single" w:color="0000FF"/>
          </w:rPr>
          <w:t>https://iieg.gob.mx/contenido/Municipios/Magdalena.pdf</w:t>
        </w:r>
      </w:hyperlink>
    </w:p>
    <w:p>
      <w:pPr>
        <w:pStyle w:val="BodyText"/>
        <w:spacing w:before="11"/>
        <w:rPr>
          <w:sz w:val="26"/>
        </w:rPr>
      </w:pPr>
    </w:p>
    <w:p>
      <w:pPr>
        <w:pStyle w:val="BodyText"/>
        <w:spacing w:line="276" w:lineRule="auto" w:before="101"/>
        <w:ind w:left="901" w:right="1155"/>
        <w:jc w:val="both"/>
      </w:pPr>
      <w:r>
        <w:rPr/>
        <w:t>Como se observa, las mujeres representan una mayor proporción de la población, situación que caracteriza a la mayoría de los municipios en el estado y ha sido una tendencia histórica en nuestro territorio; pues según datos recogidos de los archivos de 1878, las cifras correspondientes al censo de población de Magdalena, eran muy similares a las tendencias actuales.</w:t>
      </w:r>
    </w:p>
    <w:p>
      <w:pPr>
        <w:pStyle w:val="BodyText"/>
        <w:spacing w:before="5"/>
        <w:rPr>
          <w:sz w:val="25"/>
        </w:rPr>
      </w:pPr>
    </w:p>
    <w:p>
      <w:pPr>
        <w:pStyle w:val="BodyText"/>
        <w:spacing w:line="276" w:lineRule="auto"/>
        <w:ind w:left="901" w:right="1155"/>
        <w:jc w:val="both"/>
      </w:pPr>
      <w:r>
        <w:rPr/>
        <w:t>El segundo factor que impacta a la mayor cantidad de mujeres en el municipio es la MIGRACIÓN; ya que la mayor fuerza laboral que emigra a otras partes de la república o fuera del país en la población masculina.</w:t>
      </w:r>
    </w:p>
    <w:p>
      <w:pPr>
        <w:spacing w:after="0" w:line="276" w:lineRule="auto"/>
        <w:jc w:val="both"/>
        <w:sectPr>
          <w:pgSz w:w="12240" w:h="15840"/>
          <w:pgMar w:header="178" w:footer="1076" w:top="1120" w:bottom="1340" w:left="460" w:right="220"/>
        </w:sectPr>
      </w:pPr>
    </w:p>
    <w:p>
      <w:pPr>
        <w:pStyle w:val="BodyText"/>
        <w:rPr>
          <w:sz w:val="20"/>
        </w:rPr>
      </w:pPr>
    </w:p>
    <w:p>
      <w:pPr>
        <w:pStyle w:val="BodyText"/>
        <w:spacing w:before="3"/>
        <w:rPr>
          <w:sz w:val="21"/>
        </w:rPr>
      </w:pPr>
    </w:p>
    <w:p>
      <w:pPr>
        <w:spacing w:before="0"/>
        <w:ind w:left="901" w:right="0" w:firstLine="0"/>
        <w:jc w:val="left"/>
        <w:rPr>
          <w:sz w:val="21"/>
        </w:rPr>
      </w:pPr>
      <w:r>
        <w:rPr>
          <w:sz w:val="22"/>
        </w:rPr>
        <w:t>A </w:t>
      </w:r>
      <w:r>
        <w:rPr>
          <w:sz w:val="21"/>
        </w:rPr>
        <w:t>continuación, se presenta la evolución poblacional del municipio de 1950 a 2015:</w:t>
      </w:r>
    </w:p>
    <w:p>
      <w:pPr>
        <w:pStyle w:val="BodyText"/>
        <w:spacing w:before="5"/>
        <w:rPr>
          <w:sz w:val="36"/>
        </w:rPr>
      </w:pPr>
    </w:p>
    <w:p>
      <w:pPr>
        <w:spacing w:line="276" w:lineRule="auto" w:before="0"/>
        <w:ind w:left="5161" w:right="1210" w:hanging="4194"/>
        <w:jc w:val="left"/>
        <w:rPr>
          <w:sz w:val="20"/>
        </w:rPr>
      </w:pPr>
      <w:r>
        <w:rPr>
          <w:sz w:val="20"/>
        </w:rPr>
        <w:t>FIGURA 4. POBLACIÓN TOTAL Y TASA DE CRECIMIENTO PROMEDIO ANUAL MAGDALENA, JALISCO 1950/2015</w:t>
      </w:r>
    </w:p>
    <w:p>
      <w:pPr>
        <w:pStyle w:val="BodyText"/>
        <w:spacing w:before="2"/>
        <w:rPr>
          <w:sz w:val="15"/>
        </w:rPr>
      </w:pPr>
      <w:r>
        <w:rPr/>
        <w:pict>
          <v:group style="position:absolute;margin-left:94.440002pt;margin-top:11.263905pt;width:423pt;height:225pt;mso-position-horizontal-relative:page;mso-position-vertical-relative:paragraph;z-index:-251612160;mso-wrap-distance-left:0;mso-wrap-distance-right:0" coordorigin="1889,225" coordsize="8460,4500">
            <v:shape style="position:absolute;left:1888;top:225;width:8460;height:4500" type="#_x0000_t75" stroked="false">
              <v:imagedata r:id="rId23" o:title=""/>
            </v:shape>
            <v:shape style="position:absolute;left:2860;top:443;width:7127;height:2858" type="#_x0000_t75" stroked="false">
              <v:imagedata r:id="rId24" o:title=""/>
            </v:shape>
            <v:shape style="position:absolute;left:2871;top:3422;width:847;height:633" type="#_x0000_t75" stroked="false">
              <v:imagedata r:id="rId25" o:title=""/>
            </v:shape>
            <v:shape style="position:absolute;left:3931;top:3422;width:847;height:633" type="#_x0000_t75" stroked="false">
              <v:imagedata r:id="rId26" o:title=""/>
            </v:shape>
            <v:shape style="position:absolute;left:4992;top:3422;width:847;height:633" type="#_x0000_t75" stroked="false">
              <v:imagedata r:id="rId27" o:title=""/>
            </v:shape>
            <v:shape style="position:absolute;left:6037;top:3409;width:865;height:678" type="#_x0000_t75" stroked="false">
              <v:imagedata r:id="rId28" o:title=""/>
            </v:shape>
            <v:shape style="position:absolute;left:7098;top:3409;width:862;height:678" type="#_x0000_t75" stroked="false">
              <v:imagedata r:id="rId29" o:title=""/>
            </v:shape>
            <v:shape style="position:absolute;left:8158;top:3409;width:865;height:678" type="#_x0000_t75" stroked="false">
              <v:imagedata r:id="rId30" o:title=""/>
            </v:shape>
            <v:shape style="position:absolute;left:9219;top:3409;width:334;height:360" type="#_x0000_t75" stroked="false">
              <v:imagedata r:id="rId31" o:title=""/>
            </v:shape>
            <v:shape style="position:absolute;left:4737;top:4394;width:100;height:100" type="#_x0000_t75" stroked="false">
              <v:imagedata r:id="rId32" o:title=""/>
            </v:shape>
            <v:shape style="position:absolute;left:5868;top:4394;width:100;height:100" type="#_x0000_t75" stroked="false">
              <v:imagedata r:id="rId33" o:title=""/>
            </v:shape>
            <v:shape style="position:absolute;left:4871;top:4340;width:2711;height:202" type="#_x0000_t202" filled="false" stroked="false">
              <v:textbox inset="0,0,0,0">
                <w:txbxContent>
                  <w:p>
                    <w:pPr>
                      <w:tabs>
                        <w:tab w:pos="1131" w:val="left" w:leader="none"/>
                      </w:tabs>
                      <w:spacing w:line="201" w:lineRule="exact" w:before="0"/>
                      <w:ind w:left="0" w:right="0" w:firstLine="0"/>
                      <w:jc w:val="left"/>
                      <w:rPr>
                        <w:rFonts w:ascii="Arial"/>
                        <w:sz w:val="18"/>
                      </w:rPr>
                    </w:pPr>
                    <w:r>
                      <w:rPr>
                        <w:rFonts w:ascii="Arial"/>
                        <w:color w:val="D9D9D9"/>
                        <w:sz w:val="18"/>
                      </w:rPr>
                      <w:t>poblacion</w:t>
                      <w:tab/>
                      <w:t>tasa de</w:t>
                    </w:r>
                    <w:r>
                      <w:rPr>
                        <w:rFonts w:ascii="Arial"/>
                        <w:color w:val="D9D9D9"/>
                        <w:spacing w:val="-6"/>
                        <w:sz w:val="18"/>
                      </w:rPr>
                      <w:t> </w:t>
                    </w:r>
                    <w:r>
                      <w:rPr>
                        <w:rFonts w:ascii="Arial"/>
                        <w:color w:val="D9D9D9"/>
                        <w:sz w:val="18"/>
                      </w:rPr>
                      <w:t>crecimiento</w:t>
                    </w:r>
                  </w:p>
                </w:txbxContent>
              </v:textbox>
              <w10:wrap type="none"/>
            </v:shape>
            <v:shape style="position:absolute;left:2643;top:3165;width:121;height:202" type="#_x0000_t202" filled="false" stroked="false">
              <v:textbox inset="0,0,0,0">
                <w:txbxContent>
                  <w:p>
                    <w:pPr>
                      <w:spacing w:line="201" w:lineRule="exact" w:before="0"/>
                      <w:ind w:left="0" w:right="0" w:firstLine="0"/>
                      <w:jc w:val="left"/>
                      <w:rPr>
                        <w:rFonts w:ascii="Arial"/>
                        <w:sz w:val="18"/>
                      </w:rPr>
                    </w:pPr>
                    <w:r>
                      <w:rPr>
                        <w:rFonts w:ascii="Arial"/>
                        <w:color w:val="D9D9D9"/>
                        <w:w w:val="99"/>
                        <w:sz w:val="18"/>
                      </w:rPr>
                      <w:t>0</w:t>
                    </w:r>
                  </w:p>
                </w:txbxContent>
              </v:textbox>
              <w10:wrap type="none"/>
            </v:shape>
            <v:shape style="position:absolute;left:8938;top:2944;width:372;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0.87</w:t>
                    </w:r>
                  </w:p>
                </w:txbxContent>
              </v:textbox>
              <w10:wrap type="none"/>
            </v:shape>
            <v:shape style="position:absolute;left:7927;top:2943;width:271;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2.6</w:t>
                    </w:r>
                  </w:p>
                </w:txbxContent>
              </v:textbox>
              <w10:wrap type="none"/>
            </v:shape>
            <v:shape style="position:absolute;left:6816;top:2944;width:372;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0.71</w:t>
                    </w:r>
                  </w:p>
                </w:txbxContent>
              </v:textbox>
              <w10:wrap type="none"/>
            </v:shape>
            <v:shape style="position:absolute;left:5755;top:2943;width:372;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1.71</w:t>
                    </w:r>
                  </w:p>
                </w:txbxContent>
              </v:textbox>
              <w10:wrap type="none"/>
            </v:shape>
            <v:shape style="position:absolute;left:4694;top:2943;width:372;height:202" type="#_x0000_t202" filled="false" stroked="false">
              <v:textbox inset="0,0,0,0">
                <w:txbxContent>
                  <w:p>
                    <w:pPr>
                      <w:spacing w:line="202" w:lineRule="exact" w:before="0"/>
                      <w:ind w:left="0" w:right="0" w:firstLine="0"/>
                      <w:jc w:val="left"/>
                      <w:rPr>
                        <w:rFonts w:ascii="Arial"/>
                        <w:sz w:val="18"/>
                      </w:rPr>
                    </w:pPr>
                    <w:r>
                      <w:rPr>
                        <w:rFonts w:ascii="Arial"/>
                        <w:color w:val="D9D9D9"/>
                        <w:sz w:val="18"/>
                      </w:rPr>
                      <w:t>1.37</w:t>
                    </w:r>
                  </w:p>
                </w:txbxContent>
              </v:textbox>
              <w10:wrap type="none"/>
            </v:shape>
            <v:shape style="position:absolute;left:3634;top:2943;width:372;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3.24</w:t>
                    </w:r>
                  </w:p>
                </w:txbxContent>
              </v:textbox>
              <w10:wrap type="none"/>
            </v:shape>
            <v:shape style="position:absolute;left:2293;top:2632;width:471;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5,000</w:t>
                    </w:r>
                  </w:p>
                </w:txbxContent>
              </v:textbox>
              <w10:wrap type="none"/>
            </v:shape>
            <v:shape style="position:absolute;left:2901;top:2278;width:473;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6,247</w:t>
                    </w:r>
                  </w:p>
                </w:txbxContent>
              </v:textbox>
              <w10:wrap type="none"/>
            </v:shape>
            <v:shape style="position:absolute;left:2193;top:2100;width:571;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10,000</w:t>
                    </w:r>
                  </w:p>
                </w:txbxContent>
              </v:textbox>
              <w10:wrap type="none"/>
            </v:shape>
            <v:shape style="position:absolute;left:3912;top:1699;width:573;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11,690</w:t>
                    </w:r>
                  </w:p>
                </w:txbxContent>
              </v:textbox>
              <w10:wrap type="none"/>
            </v:shape>
            <v:shape style="position:absolute;left:2193;top:1567;width:571;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15,000</w:t>
                    </w:r>
                  </w:p>
                </w:txbxContent>
              </v:textbox>
              <w10:wrap type="none"/>
            </v:shape>
            <v:shape style="position:absolute;left:4972;top:1308;width:573;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15,361</w:t>
                    </w:r>
                  </w:p>
                </w:txbxContent>
              </v:textbox>
              <w10:wrap type="none"/>
            </v:shape>
            <v:shape style="position:absolute;left:7094;top:928;width:576;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18,924</w:t>
                    </w:r>
                  </w:p>
                </w:txbxContent>
              </v:textbox>
              <w10:wrap type="none"/>
            </v:shape>
            <v:shape style="position:absolute;left:6033;top:1008;width:573;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18,177</w:t>
                    </w:r>
                  </w:p>
                </w:txbxContent>
              </v:textbox>
              <w10:wrap type="none"/>
            </v:shape>
            <v:shape style="position:absolute;left:2193;top:1035;width:571;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20,000</w:t>
                    </w:r>
                  </w:p>
                </w:txbxContent>
              </v:textbox>
              <w10:wrap type="none"/>
            </v:shape>
            <v:shape style="position:absolute;left:9216;top:532;width:573;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22,643</w:t>
                    </w:r>
                  </w:p>
                </w:txbxContent>
              </v:textbox>
              <w10:wrap type="none"/>
            </v:shape>
            <v:shape style="position:absolute;left:8155;top:673;width:573;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21,321</w:t>
                    </w:r>
                  </w:p>
                </w:txbxContent>
              </v:textbox>
              <w10:wrap type="none"/>
            </v:shape>
            <v:shape style="position:absolute;left:2193;top:502;width:571;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25,000</w:t>
                    </w:r>
                  </w:p>
                </w:txbxContent>
              </v:textbox>
              <w10:wrap type="none"/>
            </v:shape>
            <w10:wrap type="topAndBottom"/>
          </v:group>
        </w:pict>
      </w:r>
    </w:p>
    <w:p>
      <w:pPr>
        <w:spacing w:before="198"/>
        <w:ind w:left="901" w:right="1244" w:firstLine="0"/>
        <w:jc w:val="left"/>
        <w:rPr>
          <w:sz w:val="15"/>
        </w:rPr>
      </w:pPr>
      <w:r>
        <w:rPr>
          <w:b/>
          <w:sz w:val="15"/>
        </w:rPr>
        <w:t>Fuente</w:t>
      </w:r>
      <w:r>
        <w:rPr>
          <w:sz w:val="15"/>
        </w:rPr>
        <w:t>: elaboración propia en base al cuadro elaborado por consejo estatal de población con base en INEGI, censos y conteos de población en</w:t>
      </w:r>
    </w:p>
    <w:p>
      <w:pPr>
        <w:spacing w:before="1"/>
        <w:ind w:left="1000" w:right="1262" w:firstLine="0"/>
        <w:jc w:val="center"/>
        <w:rPr>
          <w:sz w:val="15"/>
        </w:rPr>
      </w:pPr>
      <w:hyperlink r:id="rId34">
        <w:r>
          <w:rPr>
            <w:color w:val="0000FF"/>
            <w:sz w:val="15"/>
            <w:u w:val="single" w:color="0000FF"/>
          </w:rPr>
          <w:t>https://iieg.gob.mx/contenido/PoblacionVivienda/11RegionValles2010.pdf</w:t>
        </w:r>
      </w:hyperlink>
    </w:p>
    <w:p>
      <w:pPr>
        <w:pStyle w:val="BodyText"/>
        <w:rPr>
          <w:sz w:val="20"/>
        </w:rPr>
      </w:pPr>
    </w:p>
    <w:p>
      <w:pPr>
        <w:pStyle w:val="BodyText"/>
        <w:spacing w:before="226"/>
        <w:ind w:left="1001" w:right="1256"/>
        <w:jc w:val="center"/>
      </w:pPr>
      <w:r>
        <w:rPr/>
        <w:t>FIGURA 5. Pirámide de población de Magdalena, 2010</w:t>
      </w:r>
    </w:p>
    <w:p>
      <w:pPr>
        <w:pStyle w:val="BodyText"/>
        <w:spacing w:before="4"/>
        <w:rPr>
          <w:sz w:val="20"/>
        </w:rPr>
      </w:pPr>
      <w:r>
        <w:rPr/>
        <w:drawing>
          <wp:anchor distT="0" distB="0" distL="0" distR="0" allowOverlap="1" layoutInCell="1" locked="0" behindDoc="0" simplePos="0" relativeHeight="46">
            <wp:simplePos x="0" y="0"/>
            <wp:positionH relativeFrom="page">
              <wp:posOffset>1636776</wp:posOffset>
            </wp:positionH>
            <wp:positionV relativeFrom="paragraph">
              <wp:posOffset>183461</wp:posOffset>
            </wp:positionV>
            <wp:extent cx="4468832" cy="2414301"/>
            <wp:effectExtent l="0" t="0" r="0" b="0"/>
            <wp:wrapTopAndBottom/>
            <wp:docPr id="17" name="image26.jpeg"/>
            <wp:cNvGraphicFramePr>
              <a:graphicFrameLocks noChangeAspect="1"/>
            </wp:cNvGraphicFramePr>
            <a:graphic>
              <a:graphicData uri="http://schemas.openxmlformats.org/drawingml/2006/picture">
                <pic:pic>
                  <pic:nvPicPr>
                    <pic:cNvPr id="18" name="image26.jpeg"/>
                    <pic:cNvPicPr/>
                  </pic:nvPicPr>
                  <pic:blipFill>
                    <a:blip r:embed="rId35" cstate="print"/>
                    <a:stretch>
                      <a:fillRect/>
                    </a:stretch>
                  </pic:blipFill>
                  <pic:spPr>
                    <a:xfrm>
                      <a:off x="0" y="0"/>
                      <a:ext cx="4468832" cy="2414301"/>
                    </a:xfrm>
                    <a:prstGeom prst="rect">
                      <a:avLst/>
                    </a:prstGeom>
                  </pic:spPr>
                </pic:pic>
              </a:graphicData>
            </a:graphic>
          </wp:anchor>
        </w:drawing>
      </w:r>
    </w:p>
    <w:p>
      <w:pPr>
        <w:pStyle w:val="BodyText"/>
        <w:spacing w:before="5"/>
        <w:rPr>
          <w:sz w:val="20"/>
        </w:rPr>
      </w:pPr>
    </w:p>
    <w:p>
      <w:pPr>
        <w:spacing w:before="0"/>
        <w:ind w:left="1001" w:right="902" w:firstLine="0"/>
        <w:jc w:val="center"/>
        <w:rPr>
          <w:sz w:val="16"/>
        </w:rPr>
      </w:pPr>
      <w:r>
        <w:rPr>
          <w:b/>
          <w:sz w:val="16"/>
        </w:rPr>
        <w:t>fuente</w:t>
      </w:r>
      <w:r>
        <w:rPr>
          <w:sz w:val="16"/>
        </w:rPr>
        <w:t>: INEGI, censos y conteos de población en, </w:t>
      </w:r>
      <w:hyperlink r:id="rId36">
        <w:r>
          <w:rPr>
            <w:color w:val="0000FF"/>
            <w:sz w:val="16"/>
            <w:u w:val="single" w:color="0000FF"/>
          </w:rPr>
          <w:t>https://www.inegi.org.mx/temas/estructura/</w:t>
        </w:r>
      </w:hyperlink>
    </w:p>
    <w:p>
      <w:pPr>
        <w:spacing w:after="0"/>
        <w:jc w:val="center"/>
        <w:rPr>
          <w:sz w:val="16"/>
        </w:rPr>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La conformación de la Pirámide de Edades de las personas que habitan en el municipio de Magdalena, nos permite observar que el 65.78% de la población está comprendida entre los 0 y los 34 años de edad, lo que indica que la POBLACIÓN de Magdalena, es su mayoría es una POBLACIÓN JÓVEN, que si bien se empieza a reducir notablemente hacia los 24 años, tal vez por el fenómeno de la migración, más acentuadamente entre los hombres que entre las mujeres que muestran mayor cantidad de personas aun </w:t>
      </w:r>
      <w:r>
        <w:rPr>
          <w:spacing w:val="-3"/>
        </w:rPr>
        <w:t>de </w:t>
      </w:r>
      <w:r>
        <w:rPr/>
        <w:t>ahí hacia edades más</w:t>
      </w:r>
      <w:r>
        <w:rPr>
          <w:spacing w:val="-6"/>
        </w:rPr>
        <w:t> </w:t>
      </w:r>
      <w:r>
        <w:rPr/>
        <w:t>avanzadas.</w:t>
      </w:r>
    </w:p>
    <w:p>
      <w:pPr>
        <w:pStyle w:val="BodyText"/>
        <w:spacing w:before="4"/>
        <w:rPr>
          <w:sz w:val="25"/>
        </w:rPr>
      </w:pPr>
    </w:p>
    <w:p>
      <w:pPr>
        <w:pStyle w:val="BodyText"/>
        <w:spacing w:line="276" w:lineRule="auto"/>
        <w:ind w:left="901" w:right="1155"/>
        <w:jc w:val="both"/>
      </w:pPr>
      <w:r>
        <w:rPr/>
        <w:t>Atención especial merece en nuestro diagnóstico que 32.05% de la población tienen edades entre los 0 y 14 años los cuales, en un futuro cercano exigirán las oportunidades de estudiar los diferentes niveles educativos y posteriormente un empleo bien remunerado.</w:t>
      </w:r>
    </w:p>
    <w:p>
      <w:pPr>
        <w:pStyle w:val="BodyText"/>
        <w:spacing w:before="3"/>
        <w:rPr>
          <w:sz w:val="25"/>
        </w:rPr>
      </w:pPr>
    </w:p>
    <w:p>
      <w:pPr>
        <w:pStyle w:val="BodyText"/>
        <w:spacing w:line="276" w:lineRule="auto" w:before="1"/>
        <w:ind w:left="901" w:right="1156"/>
        <w:jc w:val="both"/>
      </w:pPr>
      <w:r>
        <w:rPr/>
        <w:t>El rango de edad que engloba a las personas que han llegado a los 60 años y hasta los 95, considerados como " adultos mayores” alcanza en el municipio de Magdalena un porcentaje del 9.92%, que en número de personas significa alrededor de 2,116 mismos que en un 40% aún se mantienen activos y productivos, en tanto que el resto se dedica a las actividades del hogar y, es más dependiente del apoyo de sus familias o de las instituciones de las cuales pueda ser pensionado o jubilado.</w:t>
      </w:r>
    </w:p>
    <w:p>
      <w:pPr>
        <w:pStyle w:val="BodyText"/>
        <w:spacing w:before="4"/>
        <w:rPr>
          <w:sz w:val="25"/>
        </w:rPr>
      </w:pPr>
    </w:p>
    <w:p>
      <w:pPr>
        <w:pStyle w:val="BodyText"/>
        <w:spacing w:line="276" w:lineRule="auto"/>
        <w:ind w:left="901" w:right="1154"/>
        <w:jc w:val="both"/>
      </w:pPr>
      <w:r>
        <w:rPr/>
        <w:t>A partir de 1992 el Ayuntamiento de Magdalena a través del DIF Municipal ha apoyado e impulsado a este sector de la población integrada en el "grupo de la tercera edad”, que con fines de esparcimiento y ocasionalmente de labores manuales se reúne periódicamente cada semana.</w:t>
      </w:r>
    </w:p>
    <w:p>
      <w:pPr>
        <w:pStyle w:val="BodyText"/>
        <w:spacing w:before="3"/>
        <w:rPr>
          <w:sz w:val="25"/>
        </w:rPr>
      </w:pPr>
    </w:p>
    <w:p>
      <w:pPr>
        <w:pStyle w:val="BodyText"/>
        <w:spacing w:line="276" w:lineRule="auto"/>
        <w:ind w:left="901" w:right="1156"/>
        <w:jc w:val="both"/>
      </w:pPr>
      <w:r>
        <w:rPr/>
        <w:t>El rango de las mujeres, domina por igual aún en la parte más alta de la Pirámide de Edades, en donde es notoria la diferencia entre los dos sexos, mostrándonos que después de los 65 y los 99 años, las mujeres registradas en el municipio, son más que los hombres; donde encontramos 726 hombres y 796 mujeres.</w:t>
      </w:r>
    </w:p>
    <w:p>
      <w:pPr>
        <w:pStyle w:val="BodyText"/>
        <w:spacing w:before="3"/>
        <w:rPr>
          <w:sz w:val="25"/>
        </w:rPr>
      </w:pPr>
    </w:p>
    <w:p>
      <w:pPr>
        <w:pStyle w:val="BodyText"/>
        <w:spacing w:line="276" w:lineRule="auto"/>
        <w:ind w:left="901" w:right="1155"/>
        <w:jc w:val="both"/>
      </w:pPr>
      <w:r>
        <w:rPr/>
        <w:t>Es un hecho curioso el que el hombre emigra en su juventud hacia otras ciudades y naciones, pero cuando alcanza una cierta edad, se jubila o por algún otro motivo sus posibilidades de trabajo fuera de su tierra, Magdalena, decrecen o se acaban, termina él por volver, por lo general con parte de su familia y vuelve a habitar en su tierra natal.</w:t>
      </w:r>
    </w:p>
    <w:p>
      <w:pPr>
        <w:pStyle w:val="BodyText"/>
        <w:spacing w:before="6"/>
        <w:rPr>
          <w:sz w:val="25"/>
        </w:rPr>
      </w:pPr>
    </w:p>
    <w:p>
      <w:pPr>
        <w:pStyle w:val="BodyText"/>
        <w:spacing w:line="276" w:lineRule="auto" w:before="1"/>
        <w:ind w:left="901" w:right="1156"/>
        <w:jc w:val="both"/>
      </w:pPr>
      <w:r>
        <w:rPr/>
        <w:t>La tasa de crecimiento en el municipio de Magdalena, si tomamos los extremos que en este momento significan los resultados de los Censos de Población y Vivienda, a 60 años de distancia, nos permite decir que esta tasa corresponde a un 341.2%.</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4"/>
        <w:jc w:val="both"/>
      </w:pPr>
      <w:r>
        <w:rPr/>
        <w:t>La densidad de población, era en 1900 de apenas 9.19 Habitantes por Km2. y en el año 2010, la densidad de población de Magdalena es de 47.87 habitantes por cada Km2. de su superficie</w:t>
      </w:r>
      <w:r>
        <w:rPr>
          <w:spacing w:val="-3"/>
        </w:rPr>
        <w:t> </w:t>
      </w:r>
      <w:r>
        <w:rPr/>
        <w:t>territorial.</w:t>
      </w:r>
    </w:p>
    <w:p>
      <w:pPr>
        <w:pStyle w:val="BodyText"/>
        <w:spacing w:before="1"/>
        <w:rPr>
          <w:sz w:val="24"/>
        </w:rPr>
      </w:pPr>
    </w:p>
    <w:p>
      <w:pPr>
        <w:pStyle w:val="Heading2"/>
        <w:jc w:val="both"/>
        <w:rPr>
          <w:rFonts w:ascii="Century Gothic"/>
        </w:rPr>
      </w:pPr>
      <w:r>
        <w:rPr>
          <w:rFonts w:ascii="Century Gothic"/>
        </w:rPr>
        <w:t>Intensidad migratoria</w:t>
      </w:r>
    </w:p>
    <w:p>
      <w:pPr>
        <w:pStyle w:val="BodyText"/>
        <w:spacing w:before="10"/>
        <w:rPr>
          <w:b/>
          <w:sz w:val="23"/>
        </w:rPr>
      </w:pPr>
    </w:p>
    <w:p>
      <w:pPr>
        <w:pStyle w:val="BodyText"/>
        <w:spacing w:line="276" w:lineRule="auto"/>
        <w:ind w:left="901" w:right="1154"/>
        <w:jc w:val="both"/>
      </w:pPr>
      <w:r>
        <w:rPr/>
        <w:t>En Magdalena el 9.97 por ciento de las viviendas del municipio recibieron remesas en 2010, en un 2.58 por ciento se reportaron emigrantes del quinquenio anterior (2005- 2010), en el 2.12 por ciento se registraron migrantes circulares del quinquenio anterior, y el 6.16 por ciento de las viviendas contaban con migrantes de retorno del quinquenio anterior.</w:t>
      </w:r>
    </w:p>
    <w:p>
      <w:pPr>
        <w:pStyle w:val="BodyText"/>
        <w:rPr>
          <w:sz w:val="26"/>
        </w:rPr>
      </w:pPr>
    </w:p>
    <w:p>
      <w:pPr>
        <w:pStyle w:val="BodyText"/>
        <w:spacing w:before="8"/>
        <w:rPr>
          <w:sz w:val="24"/>
        </w:rPr>
      </w:pPr>
    </w:p>
    <w:p>
      <w:pPr>
        <w:pStyle w:val="BodyText"/>
        <w:spacing w:before="1"/>
        <w:ind w:left="1001" w:right="901"/>
        <w:jc w:val="center"/>
      </w:pPr>
      <w:r>
        <w:rPr/>
        <w:t>TABLA 4. ÍNDICE Y GRADO DE INTENSIDAD MIGRATORIA 2010</w:t>
      </w:r>
    </w:p>
    <w:p>
      <w:pPr>
        <w:pStyle w:val="BodyText"/>
        <w:spacing w:before="10"/>
        <w:rPr>
          <w:sz w:val="27"/>
        </w:rPr>
      </w:pPr>
      <w:r>
        <w:rPr/>
        <w:drawing>
          <wp:anchor distT="0" distB="0" distL="0" distR="0" allowOverlap="1" layoutInCell="1" locked="0" behindDoc="0" simplePos="0" relativeHeight="47">
            <wp:simplePos x="0" y="0"/>
            <wp:positionH relativeFrom="page">
              <wp:posOffset>1022603</wp:posOffset>
            </wp:positionH>
            <wp:positionV relativeFrom="paragraph">
              <wp:posOffset>241588</wp:posOffset>
            </wp:positionV>
            <wp:extent cx="5497073" cy="2682240"/>
            <wp:effectExtent l="0" t="0" r="0" b="0"/>
            <wp:wrapTopAndBottom/>
            <wp:docPr id="19" name="image27.jpeg"/>
            <wp:cNvGraphicFramePr>
              <a:graphicFrameLocks noChangeAspect="1"/>
            </wp:cNvGraphicFramePr>
            <a:graphic>
              <a:graphicData uri="http://schemas.openxmlformats.org/drawingml/2006/picture">
                <pic:pic>
                  <pic:nvPicPr>
                    <pic:cNvPr id="20" name="image27.jpeg"/>
                    <pic:cNvPicPr/>
                  </pic:nvPicPr>
                  <pic:blipFill>
                    <a:blip r:embed="rId37" cstate="print"/>
                    <a:stretch>
                      <a:fillRect/>
                    </a:stretch>
                  </pic:blipFill>
                  <pic:spPr>
                    <a:xfrm>
                      <a:off x="0" y="0"/>
                      <a:ext cx="5497073" cy="2682240"/>
                    </a:xfrm>
                    <a:prstGeom prst="rect">
                      <a:avLst/>
                    </a:prstGeom>
                  </pic:spPr>
                </pic:pic>
              </a:graphicData>
            </a:graphic>
          </wp:anchor>
        </w:drawing>
      </w:r>
    </w:p>
    <w:p>
      <w:pPr>
        <w:pStyle w:val="BodyText"/>
        <w:spacing w:before="2"/>
      </w:pPr>
    </w:p>
    <w:p>
      <w:pPr>
        <w:spacing w:before="0"/>
        <w:ind w:left="4295" w:right="1352" w:hanging="3188"/>
        <w:jc w:val="left"/>
        <w:rPr>
          <w:sz w:val="15"/>
        </w:rPr>
      </w:pPr>
      <w:r>
        <w:rPr>
          <w:b/>
          <w:sz w:val="15"/>
        </w:rPr>
        <w:t>Fuente: </w:t>
      </w:r>
      <w:r>
        <w:rPr>
          <w:sz w:val="15"/>
        </w:rPr>
        <w:t>Elaborado por COEPO con base en estimaciones del CONAPO con base en el INEGI, muestra del diez por ciento del Censo de Población y Vivienda 2010.</w:t>
      </w:r>
    </w:p>
    <w:p>
      <w:pPr>
        <w:pStyle w:val="BodyText"/>
        <w:rPr>
          <w:sz w:val="18"/>
        </w:rPr>
      </w:pPr>
    </w:p>
    <w:p>
      <w:pPr>
        <w:pStyle w:val="BodyText"/>
        <w:spacing w:before="3"/>
      </w:pPr>
    </w:p>
    <w:p>
      <w:pPr>
        <w:pStyle w:val="BodyText"/>
        <w:spacing w:line="276" w:lineRule="auto"/>
        <w:ind w:left="901" w:right="1156"/>
        <w:jc w:val="both"/>
      </w:pPr>
      <w:r>
        <w:rPr/>
        <w:t>Cabe señalar que, en el cálculo previo del índice de intensidad migratoria, que fue en el año 2000, la unidad de observación eran los hogares, y Magdalena ocupaba el lugar 89 con grado medio, donde los hogares que recibieron remesas fue de 12.96 %, hogares con emigrantes en Estados Unidos del quinquenio anterior fue de 8.96, el 1.14 % de los hogares tenían migrantes circulares del quinquenio anterior y 2.52 % migrantes </w:t>
      </w:r>
      <w:r>
        <w:rPr>
          <w:spacing w:val="-3"/>
        </w:rPr>
        <w:t>de </w:t>
      </w:r>
      <w:r>
        <w:rPr/>
        <w:t>retorno.</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rPr>
          <w:sz w:val="20"/>
        </w:rPr>
      </w:pPr>
    </w:p>
    <w:p>
      <w:pPr>
        <w:pStyle w:val="BodyText"/>
        <w:spacing w:before="4"/>
      </w:pPr>
    </w:p>
    <w:p>
      <w:pPr>
        <w:pStyle w:val="Heading2"/>
        <w:spacing w:before="100"/>
        <w:rPr>
          <w:rFonts w:ascii="Century Gothic"/>
        </w:rPr>
      </w:pPr>
      <w:r>
        <w:rPr>
          <w:rFonts w:ascii="Century Gothic"/>
        </w:rPr>
        <w:t>Vivienda</w:t>
      </w:r>
    </w:p>
    <w:p>
      <w:pPr>
        <w:pStyle w:val="BodyText"/>
        <w:spacing w:before="3"/>
        <w:rPr>
          <w:b/>
          <w:sz w:val="25"/>
        </w:rPr>
      </w:pPr>
    </w:p>
    <w:p>
      <w:pPr>
        <w:pStyle w:val="BodyText"/>
        <w:spacing w:line="276" w:lineRule="auto"/>
        <w:ind w:left="901" w:right="1156"/>
        <w:jc w:val="both"/>
      </w:pPr>
      <w:r>
        <w:rPr/>
        <w:t>El municipio de Magdalena cuenta con un total de 5,055 viviendas, de acuerdo con los datos proporcionados por el INEGI en el Censo de Población y Vivienda 2010.</w:t>
      </w:r>
    </w:p>
    <w:p>
      <w:pPr>
        <w:pStyle w:val="BodyText"/>
        <w:spacing w:before="4"/>
        <w:rPr>
          <w:sz w:val="25"/>
        </w:rPr>
      </w:pPr>
    </w:p>
    <w:p>
      <w:pPr>
        <w:pStyle w:val="BodyText"/>
        <w:spacing w:line="276" w:lineRule="auto"/>
        <w:ind w:left="901" w:right="1154"/>
        <w:jc w:val="both"/>
      </w:pPr>
      <w:r>
        <w:rPr/>
        <w:t>La vivienda en el municipio de Magdalena es ocupada por lo general en forma uni- familiar y el número de personas que la habita es de 4.22 en promedio. Naturalmente que no se descarta el que pueda vivir en ella dos o más familias.</w:t>
      </w:r>
    </w:p>
    <w:p>
      <w:pPr>
        <w:pStyle w:val="BodyText"/>
        <w:spacing w:before="4"/>
        <w:rPr>
          <w:sz w:val="25"/>
        </w:rPr>
      </w:pPr>
    </w:p>
    <w:p>
      <w:pPr>
        <w:pStyle w:val="BodyText"/>
        <w:spacing w:line="276" w:lineRule="auto" w:before="1"/>
        <w:ind w:left="901" w:right="1156"/>
        <w:jc w:val="both"/>
      </w:pPr>
      <w:r>
        <w:rPr/>
        <w:t>Las características de la vivienda en el municipio de Magdalena, por lo que corresponde a su TIPO de construcción, podemos caracterizarlas de la siguiente manera:</w:t>
      </w:r>
    </w:p>
    <w:p>
      <w:pPr>
        <w:pStyle w:val="BodyText"/>
        <w:spacing w:before="3"/>
        <w:rPr>
          <w:sz w:val="25"/>
        </w:rPr>
      </w:pPr>
    </w:p>
    <w:p>
      <w:pPr>
        <w:pStyle w:val="BodyText"/>
        <w:spacing w:line="276" w:lineRule="auto"/>
        <w:ind w:left="901" w:right="1155"/>
        <w:jc w:val="both"/>
      </w:pPr>
      <w:r>
        <w:rPr/>
        <w:t>Semi moderna de 10 a 30 años de uso y ANTIGUA mayores de 30 años de uso, esta clasificación (con base en las tablas de valores catastrales) puede encuadrarse principalmente del tipo ECONÓMICO, Agregándose una su clasificación más en cuanto a su ESTADO DE CONSERVACIÓN donde predominan las de tipo REGULAR y MALO.</w:t>
      </w:r>
    </w:p>
    <w:p>
      <w:pPr>
        <w:pStyle w:val="BodyText"/>
        <w:spacing w:before="3"/>
        <w:rPr>
          <w:sz w:val="25"/>
        </w:rPr>
      </w:pPr>
    </w:p>
    <w:p>
      <w:pPr>
        <w:pStyle w:val="BodyText"/>
        <w:spacing w:line="276" w:lineRule="auto"/>
        <w:ind w:left="901" w:right="1435"/>
      </w:pPr>
      <w:r>
        <w:rPr/>
        <w:t>La vivienda en el municipio de Magdalena, se ha construido tradicionalmente de los siguientes materiales:</w:t>
      </w:r>
    </w:p>
    <w:p>
      <w:pPr>
        <w:pStyle w:val="ListParagraph"/>
        <w:numPr>
          <w:ilvl w:val="2"/>
          <w:numId w:val="12"/>
        </w:numPr>
        <w:tabs>
          <w:tab w:pos="1622" w:val="left" w:leader="none"/>
        </w:tabs>
        <w:spacing w:line="240" w:lineRule="auto" w:before="64" w:after="0"/>
        <w:ind w:left="1621" w:right="0" w:hanging="361"/>
        <w:jc w:val="left"/>
        <w:rPr>
          <w:sz w:val="22"/>
        </w:rPr>
      </w:pPr>
      <w:r>
        <w:rPr>
          <w:sz w:val="22"/>
        </w:rPr>
        <w:t>Mampostería de</w:t>
      </w:r>
      <w:r>
        <w:rPr>
          <w:spacing w:val="-2"/>
          <w:sz w:val="22"/>
        </w:rPr>
        <w:t> </w:t>
      </w:r>
      <w:r>
        <w:rPr>
          <w:sz w:val="22"/>
        </w:rPr>
        <w:t>piedra.</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Adobe de barro</w:t>
      </w:r>
      <w:r>
        <w:rPr>
          <w:spacing w:val="-3"/>
          <w:sz w:val="22"/>
        </w:rPr>
        <w:t> </w:t>
      </w:r>
      <w:r>
        <w:rPr>
          <w:sz w:val="22"/>
        </w:rPr>
        <w:t>crudo</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Ladrillo de barro rojo</w:t>
      </w:r>
      <w:r>
        <w:rPr>
          <w:spacing w:val="-7"/>
          <w:sz w:val="22"/>
        </w:rPr>
        <w:t> </w:t>
      </w:r>
      <w:r>
        <w:rPr>
          <w:sz w:val="22"/>
        </w:rPr>
        <w:t>recocido</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Block de concreto</w:t>
      </w:r>
      <w:r>
        <w:rPr>
          <w:spacing w:val="-1"/>
          <w:sz w:val="22"/>
        </w:rPr>
        <w:t> </w:t>
      </w:r>
      <w:r>
        <w:rPr>
          <w:sz w:val="22"/>
        </w:rPr>
        <w:t>(JAL)</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Lámina de Asbesto o</w:t>
      </w:r>
      <w:r>
        <w:rPr>
          <w:spacing w:val="-6"/>
          <w:sz w:val="22"/>
        </w:rPr>
        <w:t> </w:t>
      </w:r>
      <w:r>
        <w:rPr>
          <w:sz w:val="22"/>
        </w:rPr>
        <w:t>Galvanizada.</w:t>
      </w:r>
    </w:p>
    <w:p>
      <w:pPr>
        <w:pStyle w:val="ListParagraph"/>
        <w:numPr>
          <w:ilvl w:val="2"/>
          <w:numId w:val="12"/>
        </w:numPr>
        <w:tabs>
          <w:tab w:pos="1622" w:val="left" w:leader="none"/>
        </w:tabs>
        <w:spacing w:line="240" w:lineRule="auto" w:before="88" w:after="0"/>
        <w:ind w:left="1621" w:right="0" w:hanging="361"/>
        <w:jc w:val="left"/>
        <w:rPr>
          <w:sz w:val="22"/>
        </w:rPr>
      </w:pPr>
      <w:r>
        <w:rPr>
          <w:sz w:val="22"/>
        </w:rPr>
        <w:t>Bóveda de</w:t>
      </w:r>
      <w:r>
        <w:rPr>
          <w:spacing w:val="-3"/>
          <w:sz w:val="22"/>
        </w:rPr>
        <w:t> </w:t>
      </w:r>
      <w:r>
        <w:rPr>
          <w:sz w:val="22"/>
        </w:rPr>
        <w:t>ladrillo.</w:t>
      </w:r>
    </w:p>
    <w:p>
      <w:pPr>
        <w:pStyle w:val="BodyText"/>
        <w:spacing w:before="8"/>
        <w:rPr>
          <w:sz w:val="27"/>
        </w:rPr>
      </w:pPr>
    </w:p>
    <w:p>
      <w:pPr>
        <w:pStyle w:val="BodyText"/>
        <w:spacing w:line="276" w:lineRule="auto"/>
        <w:ind w:left="901" w:right="1145"/>
      </w:pPr>
      <w:r>
        <w:rPr/>
        <w:t>Esta manera de construir, se da lo mismo en la cabecera municipal que en los poblados rurales.</w:t>
      </w:r>
    </w:p>
    <w:p>
      <w:pPr>
        <w:pStyle w:val="BodyText"/>
        <w:spacing w:before="2"/>
        <w:rPr>
          <w:sz w:val="25"/>
        </w:rPr>
      </w:pPr>
    </w:p>
    <w:p>
      <w:pPr>
        <w:pStyle w:val="BodyText"/>
        <w:ind w:left="901"/>
      </w:pPr>
      <w:r>
        <w:rPr/>
        <w:t>Las características de espacios y calidad de las viviendas son las siguientes:</w:t>
      </w:r>
    </w:p>
    <w:p>
      <w:pPr>
        <w:pStyle w:val="BodyText"/>
        <w:spacing w:before="9"/>
        <w:rPr>
          <w:sz w:val="28"/>
        </w:rPr>
      </w:pPr>
    </w:p>
    <w:p>
      <w:pPr>
        <w:pStyle w:val="BodyText"/>
        <w:spacing w:line="276" w:lineRule="auto"/>
        <w:ind w:left="901"/>
      </w:pPr>
      <w:r>
        <w:rPr/>
        <w:t>Pisos - los pisos de tierra representan alrededor del 3% de las viviendas del municipio y principalmente se encuentran en viviendas de las zonas rurales.</w:t>
      </w:r>
    </w:p>
    <w:p>
      <w:pPr>
        <w:pStyle w:val="BodyText"/>
        <w:spacing w:before="4"/>
        <w:rPr>
          <w:sz w:val="25"/>
        </w:rPr>
      </w:pPr>
    </w:p>
    <w:p>
      <w:pPr>
        <w:pStyle w:val="BodyText"/>
        <w:spacing w:line="276" w:lineRule="auto"/>
        <w:ind w:left="901" w:right="1154"/>
        <w:jc w:val="both"/>
      </w:pPr>
      <w:r>
        <w:rPr/>
        <w:t>Espacios - En el municipio según los datos de censo del INEGI 2010 el promedio </w:t>
      </w:r>
      <w:r>
        <w:rPr>
          <w:spacing w:val="-3"/>
        </w:rPr>
        <w:t>de </w:t>
      </w:r>
      <w:r>
        <w:rPr/>
        <w:t>ocupantes por cuarto en cada vivienda particular es de apenas el 1.15 lo que nos indica que las viviendas tienen un número de cuartos suficientes para albergar a</w:t>
      </w:r>
      <w:r>
        <w:rPr>
          <w:spacing w:val="28"/>
        </w:rPr>
        <w:t> </w:t>
      </w:r>
      <w:r>
        <w:rPr/>
        <w:t>la</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ind w:left="901"/>
        <w:jc w:val="both"/>
      </w:pPr>
      <w:r>
        <w:rPr/>
        <w:t>población que existe actualmente.</w:t>
      </w:r>
    </w:p>
    <w:p>
      <w:pPr>
        <w:pStyle w:val="BodyText"/>
        <w:spacing w:line="278" w:lineRule="auto" w:before="40"/>
        <w:ind w:left="901" w:right="1154"/>
        <w:jc w:val="both"/>
      </w:pPr>
      <w:r>
        <w:rPr/>
        <w:t>Además, en el municipio el 95.8% de las viviendas tiene entre 2 y 5 cuartos para habitar. (Incluye la cocina) y solo el 4.2% de las viviendas son de un solo cuarto.</w:t>
      </w:r>
    </w:p>
    <w:p>
      <w:pPr>
        <w:pStyle w:val="BodyText"/>
        <w:spacing w:before="11"/>
        <w:rPr>
          <w:sz w:val="24"/>
        </w:rPr>
      </w:pPr>
    </w:p>
    <w:p>
      <w:pPr>
        <w:pStyle w:val="BodyText"/>
        <w:spacing w:line="276" w:lineRule="auto"/>
        <w:ind w:left="901" w:right="1156"/>
        <w:jc w:val="both"/>
      </w:pPr>
      <w:r>
        <w:rPr/>
        <w:t>La mayor parte de las viviendas del municipio de Magdalena, están debidamente enjarradas, con mezcla de cal y arena.</w:t>
      </w:r>
    </w:p>
    <w:p>
      <w:pPr>
        <w:pStyle w:val="BodyText"/>
        <w:spacing w:before="1"/>
        <w:rPr>
          <w:sz w:val="25"/>
        </w:rPr>
      </w:pPr>
    </w:p>
    <w:p>
      <w:pPr>
        <w:pStyle w:val="BodyText"/>
        <w:spacing w:line="276" w:lineRule="auto"/>
        <w:ind w:left="901" w:right="1156"/>
        <w:jc w:val="both"/>
      </w:pPr>
      <w:r>
        <w:rPr>
          <w:b/>
          <w:sz w:val="24"/>
        </w:rPr>
        <w:t>Techos. </w:t>
      </w:r>
      <w:r>
        <w:rPr>
          <w:rFonts w:ascii="Calibri" w:hAnsi="Calibri"/>
          <w:sz w:val="24"/>
        </w:rPr>
        <w:t>- </w:t>
      </w:r>
      <w:r>
        <w:rPr/>
        <w:t>La vivienda en el municipio, tiene diferentes tipos de techos, siendo los más favorecidos en la actualidad los de bóveda de ladrillo, catalana o de cuña; una buena proporción, tratándose de casas antiguas, conserva sus techos de teja sobre viga de madera y carrizo con entortado de barro, siendo esta la manera de construir los techos más tradicionales en nuestro medio. Otros sistemas, son a base de bovedillas prefabricadas de concreto, con lámina de cartón, acero o asbesto y ocasionalmente con losas de concreto armado.</w:t>
      </w:r>
    </w:p>
    <w:p>
      <w:pPr>
        <w:pStyle w:val="BodyText"/>
        <w:spacing w:before="6"/>
        <w:rPr>
          <w:sz w:val="25"/>
        </w:rPr>
      </w:pPr>
    </w:p>
    <w:p>
      <w:pPr>
        <w:pStyle w:val="BodyText"/>
        <w:spacing w:line="276" w:lineRule="auto"/>
        <w:ind w:left="901" w:right="1156"/>
        <w:jc w:val="both"/>
      </w:pPr>
      <w:r>
        <w:rPr/>
        <w:t>Electricidad. - La cabecera municipal de Magdalena, tiene la fuente </w:t>
      </w:r>
      <w:r>
        <w:rPr>
          <w:spacing w:val="-3"/>
        </w:rPr>
        <w:t>de</w:t>
      </w:r>
      <w:r>
        <w:rPr>
          <w:spacing w:val="54"/>
        </w:rPr>
        <w:t> </w:t>
      </w:r>
      <w:r>
        <w:rPr/>
        <w:t>abastecimiento de electricidad de la subestación localizada en el poblado Lo </w:t>
      </w:r>
      <w:r>
        <w:rPr>
          <w:spacing w:val="-5"/>
        </w:rPr>
        <w:t>de </w:t>
      </w:r>
      <w:r>
        <w:rPr/>
        <w:t>Guevara. Existe un 98.7% de viviendas con este servicio. Las zonas en las que falta este servicio son lunares repartidos en las colonias o barrios y fraccionamientos</w:t>
      </w:r>
      <w:r>
        <w:rPr>
          <w:spacing w:val="-25"/>
        </w:rPr>
        <w:t> </w:t>
      </w:r>
      <w:r>
        <w:rPr/>
        <w:t>Irregulares.</w:t>
      </w:r>
    </w:p>
    <w:p>
      <w:pPr>
        <w:pStyle w:val="BodyText"/>
        <w:spacing w:before="11"/>
        <w:rPr>
          <w:sz w:val="23"/>
        </w:rPr>
      </w:pPr>
    </w:p>
    <w:p>
      <w:pPr>
        <w:pStyle w:val="BodyText"/>
        <w:ind w:left="901" w:right="1156"/>
        <w:jc w:val="both"/>
      </w:pPr>
      <w:r>
        <w:rPr/>
        <w:t>Drenaje. - Este servicio tiene una cobertura muy amplia con un porcentaje del 96.24% en el municipio. Cabe mencionar que existen 5,275 descargas. El 98.5% de las viviendas tiene servicios sanitarios exclusivos en la vivienda.</w:t>
      </w:r>
    </w:p>
    <w:p>
      <w:pPr>
        <w:pStyle w:val="BodyText"/>
        <w:spacing w:before="1"/>
      </w:pPr>
    </w:p>
    <w:p>
      <w:pPr>
        <w:pStyle w:val="BodyText"/>
        <w:spacing w:before="1"/>
        <w:ind w:left="901" w:right="1156"/>
        <w:jc w:val="both"/>
      </w:pPr>
      <w:r>
        <w:rPr/>
        <w:t>Agua. - </w:t>
      </w:r>
      <w:r>
        <w:rPr>
          <w:spacing w:val="-3"/>
        </w:rPr>
        <w:t>Al </w:t>
      </w:r>
      <w:r>
        <w:rPr/>
        <w:t>igual que en el drenaje la cobertura de aguas va a la par con este servicio por lo tanto existen 5,275 tomas domiciliarias. Con una cobertura en el municipio del 97.7%.</w:t>
      </w:r>
    </w:p>
    <w:p>
      <w:pPr>
        <w:pStyle w:val="BodyText"/>
        <w:spacing w:before="2"/>
        <w:rPr>
          <w:sz w:val="24"/>
        </w:rPr>
      </w:pPr>
    </w:p>
    <w:p>
      <w:pPr>
        <w:pStyle w:val="Heading4"/>
        <w:spacing w:before="1"/>
        <w:jc w:val="both"/>
      </w:pPr>
      <w:r>
        <w:rPr/>
        <w:t>Educación y cultura</w:t>
      </w:r>
    </w:p>
    <w:p>
      <w:pPr>
        <w:pStyle w:val="BodyText"/>
        <w:spacing w:before="6"/>
        <w:rPr>
          <w:b/>
          <w:sz w:val="28"/>
        </w:rPr>
      </w:pPr>
    </w:p>
    <w:p>
      <w:pPr>
        <w:pStyle w:val="BodyText"/>
        <w:spacing w:line="276" w:lineRule="auto"/>
        <w:ind w:left="901" w:right="1156"/>
        <w:jc w:val="both"/>
      </w:pPr>
      <w:r>
        <w:rPr/>
        <w:t>Es evidente la tradición educativa de Magdalena, lo que podemos constatar al analizar los viejos archivos en que se indica el desarrollo educativo del municipio.</w:t>
      </w:r>
    </w:p>
    <w:p>
      <w:pPr>
        <w:pStyle w:val="BodyText"/>
        <w:spacing w:before="4"/>
        <w:rPr>
          <w:sz w:val="25"/>
        </w:rPr>
      </w:pPr>
    </w:p>
    <w:p>
      <w:pPr>
        <w:pStyle w:val="BodyText"/>
        <w:spacing w:line="276" w:lineRule="auto"/>
        <w:ind w:left="901" w:right="1156"/>
        <w:jc w:val="both"/>
      </w:pPr>
      <w:r>
        <w:rPr/>
        <w:t>La cobertura educativa en el municipio de Magdalena, ha avanzado notablemente a lo largo del último siglo, y los niveles a que puede tener acceso su población son los siguientes:</w:t>
      </w:r>
    </w:p>
    <w:p>
      <w:pPr>
        <w:pStyle w:val="BodyText"/>
        <w:spacing w:before="5"/>
        <w:rPr>
          <w:sz w:val="30"/>
        </w:rPr>
      </w:pPr>
    </w:p>
    <w:p>
      <w:pPr>
        <w:pStyle w:val="ListParagraph"/>
        <w:numPr>
          <w:ilvl w:val="2"/>
          <w:numId w:val="12"/>
        </w:numPr>
        <w:tabs>
          <w:tab w:pos="1622" w:val="left" w:leader="none"/>
        </w:tabs>
        <w:spacing w:line="240" w:lineRule="auto" w:before="0" w:after="0"/>
        <w:ind w:left="1621" w:right="0" w:hanging="361"/>
        <w:jc w:val="left"/>
        <w:rPr>
          <w:sz w:val="22"/>
        </w:rPr>
      </w:pPr>
      <w:r>
        <w:rPr>
          <w:sz w:val="22"/>
        </w:rPr>
        <w:t>Preescolar</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Primaria</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Educación</w:t>
      </w:r>
      <w:r>
        <w:rPr>
          <w:spacing w:val="-3"/>
          <w:sz w:val="22"/>
        </w:rPr>
        <w:t> </w:t>
      </w:r>
      <w:r>
        <w:rPr>
          <w:sz w:val="22"/>
        </w:rPr>
        <w:t>especial</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Secundaria</w:t>
      </w:r>
    </w:p>
    <w:p>
      <w:pPr>
        <w:spacing w:after="0" w:line="240" w:lineRule="auto"/>
        <w:jc w:val="left"/>
        <w:rPr>
          <w:sz w:val="22"/>
        </w:rPr>
        <w:sectPr>
          <w:pgSz w:w="12240" w:h="15840"/>
          <w:pgMar w:header="178" w:footer="1076" w:top="1120" w:bottom="1360" w:left="460" w:right="220"/>
        </w:sectPr>
      </w:pPr>
    </w:p>
    <w:p>
      <w:pPr>
        <w:pStyle w:val="BodyText"/>
        <w:rPr>
          <w:sz w:val="20"/>
        </w:rPr>
      </w:pPr>
    </w:p>
    <w:p>
      <w:pPr>
        <w:pStyle w:val="BodyText"/>
        <w:spacing w:before="1"/>
        <w:rPr>
          <w:sz w:val="18"/>
        </w:rPr>
      </w:pPr>
    </w:p>
    <w:p>
      <w:pPr>
        <w:pStyle w:val="ListParagraph"/>
        <w:numPr>
          <w:ilvl w:val="2"/>
          <w:numId w:val="12"/>
        </w:numPr>
        <w:tabs>
          <w:tab w:pos="1622" w:val="left" w:leader="none"/>
        </w:tabs>
        <w:spacing w:line="240" w:lineRule="auto" w:before="101" w:after="0"/>
        <w:ind w:left="1621" w:right="0" w:hanging="361"/>
        <w:jc w:val="left"/>
        <w:rPr>
          <w:sz w:val="22"/>
        </w:rPr>
      </w:pPr>
      <w:r>
        <w:rPr>
          <w:sz w:val="22"/>
        </w:rPr>
        <w:t>Bachillerato</w:t>
      </w:r>
      <w:r>
        <w:rPr>
          <w:spacing w:val="-3"/>
          <w:sz w:val="22"/>
        </w:rPr>
        <w:t> </w:t>
      </w:r>
      <w:r>
        <w:rPr>
          <w:sz w:val="22"/>
        </w:rPr>
        <w:t>tecnológico</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Preparatoria</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Licenciatura</w:t>
      </w:r>
      <w:r>
        <w:rPr>
          <w:spacing w:val="-1"/>
          <w:sz w:val="22"/>
        </w:rPr>
        <w:t> </w:t>
      </w:r>
      <w:r>
        <w:rPr>
          <w:sz w:val="22"/>
        </w:rPr>
        <w:t>universitaria</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Maestría en</w:t>
      </w:r>
      <w:r>
        <w:rPr>
          <w:spacing w:val="-5"/>
          <w:sz w:val="22"/>
        </w:rPr>
        <w:t> </w:t>
      </w:r>
      <w:r>
        <w:rPr>
          <w:sz w:val="22"/>
        </w:rPr>
        <w:t>educación</w:t>
      </w:r>
    </w:p>
    <w:p>
      <w:pPr>
        <w:pStyle w:val="BodyText"/>
        <w:spacing w:before="9"/>
        <w:rPr>
          <w:sz w:val="29"/>
        </w:rPr>
      </w:pPr>
    </w:p>
    <w:p>
      <w:pPr>
        <w:pStyle w:val="BodyText"/>
        <w:spacing w:line="276" w:lineRule="auto"/>
        <w:ind w:left="901" w:right="1158"/>
        <w:jc w:val="both"/>
      </w:pPr>
      <w:r>
        <w:rPr/>
        <w:t>Interviniendo en el proceso educativo, las instituciones oficiales de la Secretaría de Educación Pública, la Universidad de Guadalajara y particulares.</w:t>
      </w:r>
    </w:p>
    <w:p>
      <w:pPr>
        <w:pStyle w:val="BodyText"/>
        <w:spacing w:before="4"/>
        <w:rPr>
          <w:sz w:val="25"/>
        </w:rPr>
      </w:pPr>
    </w:p>
    <w:p>
      <w:pPr>
        <w:pStyle w:val="BodyText"/>
        <w:spacing w:line="276" w:lineRule="auto"/>
        <w:ind w:left="901" w:right="1155"/>
        <w:jc w:val="both"/>
      </w:pPr>
      <w:r>
        <w:rPr/>
        <w:t>Lo anterior significa que el MUNICIPIO DE MAGDALENA ha avanzado notoriamente en materia de educación, por lo que un niño que nace en el municipio, tiene la oportunidad de estudiar en él desde la educación preescolar hasta obtener su título de Licenciado en alguna de las carreras que imparte el Centro Universitario de Estudios UAL (universidad alfa lambda).</w:t>
      </w:r>
    </w:p>
    <w:p>
      <w:pPr>
        <w:pStyle w:val="BodyText"/>
        <w:spacing w:before="3"/>
        <w:rPr>
          <w:sz w:val="25"/>
        </w:rPr>
      </w:pPr>
    </w:p>
    <w:p>
      <w:pPr>
        <w:pStyle w:val="BodyText"/>
        <w:spacing w:line="276" w:lineRule="auto" w:before="1"/>
        <w:ind w:left="901" w:right="1153"/>
        <w:jc w:val="both"/>
      </w:pPr>
      <w:r>
        <w:rPr/>
        <w:t>La cobertura en la demanda potencial potencial en educación preescolar es </w:t>
      </w:r>
      <w:r>
        <w:rPr>
          <w:spacing w:val="-3"/>
        </w:rPr>
        <w:t>de  </w:t>
      </w:r>
      <w:r>
        <w:rPr/>
        <w:t>65.48% para educación especial fueron un total de 209 alumnos. En tanto que, para la secundaria, la atención a la demanda potencial es de 93.42% lo que significa que un 6.58% se queda sin posibilidad de dar seguimiento a sus estudios. La atención a la demanda potencial en educación nivel media superior es de 92.41% lo que refleja que también en este nivel existe una cantidad de alumnos que se quedan sin la oportunidad de seguir</w:t>
      </w:r>
      <w:r>
        <w:rPr>
          <w:spacing w:val="-2"/>
        </w:rPr>
        <w:t> </w:t>
      </w:r>
      <w:r>
        <w:rPr/>
        <w:t>estudiando.</w:t>
      </w:r>
    </w:p>
    <w:p>
      <w:pPr>
        <w:pStyle w:val="BodyText"/>
        <w:spacing w:before="3"/>
        <w:rPr>
          <w:sz w:val="25"/>
        </w:rPr>
      </w:pPr>
    </w:p>
    <w:p>
      <w:pPr>
        <w:pStyle w:val="BodyText"/>
        <w:spacing w:line="276" w:lineRule="auto" w:before="1"/>
        <w:ind w:left="901" w:right="1155"/>
        <w:jc w:val="both"/>
      </w:pPr>
      <w:r>
        <w:rPr/>
        <w:t>Respecto a la educación especial, cuenta con niveles de escolaridad de educación inicial, preescolar y primaria, esta escuela lleva por nombre Idolina Gaona Ruiz y empezó a trabajar a finales de los años ochenta. A este centro educativo acuden alumnos de San Simón, Ojo Zarco, y lo más importante de otras localidades que no pertenecen al municipio de Magdalena, por ejemplo, de la localidad La Venta del municipio de Hostotipaquillo. Dicha escuela cuenta aproximadamente con 30 alumnos y 6 profesores que trabajan con el turno matutino, además funciona como centro </w:t>
      </w:r>
      <w:r>
        <w:rPr>
          <w:spacing w:val="-3"/>
        </w:rPr>
        <w:t>de </w:t>
      </w:r>
      <w:r>
        <w:rPr/>
        <w:t>rehabilitación y presta un excelente servicio a la</w:t>
      </w:r>
      <w:r>
        <w:rPr>
          <w:spacing w:val="-15"/>
        </w:rPr>
        <w:t> </w:t>
      </w:r>
      <w:r>
        <w:rPr/>
        <w:t>comunidad.</w:t>
      </w:r>
    </w:p>
    <w:p>
      <w:pPr>
        <w:pStyle w:val="BodyText"/>
        <w:spacing w:before="3"/>
        <w:rPr>
          <w:sz w:val="25"/>
        </w:rPr>
      </w:pPr>
    </w:p>
    <w:p>
      <w:pPr>
        <w:pStyle w:val="BodyText"/>
        <w:spacing w:line="276" w:lineRule="auto"/>
        <w:ind w:left="901" w:right="1156"/>
        <w:jc w:val="both"/>
      </w:pPr>
      <w:r>
        <w:rPr/>
        <w:t>Es importante destacar también el esfuerzo por mantener la Biblioteca Pública José Dau de la cabecera municipal, misma que se rehabilitó en el año 2017 y las que se encuen- tran en las localidades de San Andrés y La Quemada, ya que permite a los estudiantes realizar mejor sus trabajos escolares, crear un hábito de lectura y abrir una ventana </w:t>
      </w:r>
      <w:r>
        <w:rPr>
          <w:spacing w:val="-3"/>
        </w:rPr>
        <w:t>de </w:t>
      </w:r>
      <w:r>
        <w:rPr/>
        <w:t>acceso al mundo de la cultura, mejorando el desarrollo humano y personal en pro </w:t>
      </w:r>
      <w:r>
        <w:rPr>
          <w:spacing w:val="-3"/>
        </w:rPr>
        <w:t>de </w:t>
      </w:r>
      <w:r>
        <w:rPr/>
        <w:t>las relaciones y convivencia</w:t>
      </w:r>
      <w:r>
        <w:rPr>
          <w:spacing w:val="-3"/>
        </w:rPr>
        <w:t> </w:t>
      </w:r>
      <w:r>
        <w:rPr/>
        <w:t>social.</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Heading4"/>
      </w:pPr>
      <w:r>
        <w:rPr/>
        <w:t>Salud</w:t>
      </w:r>
    </w:p>
    <w:p>
      <w:pPr>
        <w:pStyle w:val="BodyText"/>
        <w:spacing w:before="9"/>
        <w:rPr>
          <w:b/>
          <w:sz w:val="28"/>
        </w:rPr>
      </w:pPr>
    </w:p>
    <w:p>
      <w:pPr>
        <w:pStyle w:val="BodyText"/>
        <w:spacing w:line="276" w:lineRule="auto"/>
        <w:ind w:left="901" w:right="1155"/>
        <w:jc w:val="both"/>
      </w:pPr>
      <w:r>
        <w:rPr/>
        <w:t>De acuerdo con los datos de la Secretaria de Salud, en el municipio la población en general cuenta con la posibilidad de tener acceso a los servicios que proporciona el estado, mismos que pueden brindarse desde la casa de salud en los poblados rurales más pequeños, los centros de salud en comunidades como San Andrés y Magdalena o bien acceder al Hospital Regional de Magdalena en donde es posible solicitar servicios de consulta general, urgencias, consulta interna, consulta de pediatría, traumatólogo, dentista, cirugías, y servicios de hospitalización.</w:t>
      </w:r>
    </w:p>
    <w:p>
      <w:pPr>
        <w:pStyle w:val="BodyText"/>
        <w:spacing w:before="3"/>
        <w:rPr>
          <w:sz w:val="25"/>
        </w:rPr>
      </w:pPr>
    </w:p>
    <w:p>
      <w:pPr>
        <w:pStyle w:val="BodyText"/>
        <w:spacing w:line="276" w:lineRule="auto"/>
        <w:ind w:left="901" w:right="1152"/>
        <w:jc w:val="both"/>
      </w:pPr>
      <w:r>
        <w:rPr/>
        <w:t>En el municipio se encuentran operando 2 centros de salud, uno en la cabecera municipal y otro en la localidad de San Andrés, en la primera atienden al público 1 medico pasante, 1 director, 4 enfermeras de base, 2 pasantes y un dentista; en tanto que el de San Andrés lo atienden un médico pasante y 1 enfermera. Además, es muy importante señalar que el centro de salud cuenta con una unidad móvil que visita La Quemada, Ojo Zarco, La Joya y 2 localidades del municipio de Tequila.</w:t>
      </w:r>
    </w:p>
    <w:p>
      <w:pPr>
        <w:pStyle w:val="BodyText"/>
        <w:spacing w:before="3"/>
        <w:rPr>
          <w:sz w:val="25"/>
        </w:rPr>
      </w:pPr>
    </w:p>
    <w:p>
      <w:pPr>
        <w:pStyle w:val="BodyText"/>
        <w:spacing w:line="276" w:lineRule="auto"/>
        <w:ind w:left="901" w:right="1156"/>
        <w:jc w:val="both"/>
      </w:pPr>
      <w:r>
        <w:rPr/>
        <w:t>En la cabecera municipal se localiza un hospital regional dependiente de la Secretaría de Salud Jalisco el cual atiende a la población con el siguiente personal:</w:t>
      </w:r>
    </w:p>
    <w:p>
      <w:pPr>
        <w:pStyle w:val="BodyText"/>
        <w:spacing w:before="5"/>
        <w:rPr>
          <w:sz w:val="30"/>
        </w:rPr>
      </w:pPr>
    </w:p>
    <w:p>
      <w:pPr>
        <w:pStyle w:val="ListParagraph"/>
        <w:numPr>
          <w:ilvl w:val="2"/>
          <w:numId w:val="12"/>
        </w:numPr>
        <w:tabs>
          <w:tab w:pos="1622" w:val="left" w:leader="none"/>
        </w:tabs>
        <w:spacing w:line="240" w:lineRule="auto" w:before="0" w:after="0"/>
        <w:ind w:left="1621" w:right="0" w:hanging="361"/>
        <w:jc w:val="left"/>
        <w:rPr>
          <w:sz w:val="22"/>
        </w:rPr>
      </w:pPr>
      <w:r>
        <w:rPr>
          <w:sz w:val="22"/>
        </w:rPr>
        <w:t>29 médicos de base y 15</w:t>
      </w:r>
      <w:r>
        <w:rPr>
          <w:spacing w:val="-7"/>
          <w:sz w:val="22"/>
        </w:rPr>
        <w:t> </w:t>
      </w:r>
      <w:r>
        <w:rPr>
          <w:sz w:val="22"/>
        </w:rPr>
        <w:t>eventuales</w:t>
      </w:r>
    </w:p>
    <w:p>
      <w:pPr>
        <w:pStyle w:val="ListParagraph"/>
        <w:numPr>
          <w:ilvl w:val="2"/>
          <w:numId w:val="12"/>
        </w:numPr>
        <w:tabs>
          <w:tab w:pos="1622" w:val="left" w:leader="none"/>
        </w:tabs>
        <w:spacing w:line="240" w:lineRule="auto" w:before="89" w:after="0"/>
        <w:ind w:left="1621" w:right="0" w:hanging="361"/>
        <w:jc w:val="left"/>
        <w:rPr>
          <w:sz w:val="22"/>
        </w:rPr>
      </w:pPr>
      <w:r>
        <w:rPr>
          <w:sz w:val="22"/>
        </w:rPr>
        <w:t>43 enfermeras de base y 23</w:t>
      </w:r>
      <w:r>
        <w:rPr>
          <w:spacing w:val="-11"/>
          <w:sz w:val="22"/>
        </w:rPr>
        <w:t> </w:t>
      </w:r>
      <w:r>
        <w:rPr>
          <w:sz w:val="22"/>
        </w:rPr>
        <w:t>eventuales</w:t>
      </w:r>
    </w:p>
    <w:p>
      <w:pPr>
        <w:pStyle w:val="BodyText"/>
        <w:spacing w:before="5"/>
        <w:rPr>
          <w:sz w:val="27"/>
        </w:rPr>
      </w:pPr>
    </w:p>
    <w:p>
      <w:pPr>
        <w:pStyle w:val="BodyText"/>
        <w:spacing w:line="276" w:lineRule="auto" w:before="1"/>
        <w:ind w:left="901" w:right="1155"/>
        <w:jc w:val="both"/>
      </w:pPr>
      <w:r>
        <w:rPr/>
        <w:t>Además de una Clínica Especializada en Hemodiálisis, que administra y opera el Ayuntamiento de Magdalena. La cual busca la autosuficiencia para que en el futuro inmediato pueda consolidarse como un Organismo Público Descentralizado dependiente de la Administración Municipal.</w:t>
      </w:r>
    </w:p>
    <w:p>
      <w:pPr>
        <w:pStyle w:val="BodyText"/>
        <w:spacing w:before="5"/>
        <w:rPr>
          <w:sz w:val="25"/>
        </w:rPr>
      </w:pPr>
    </w:p>
    <w:p>
      <w:pPr>
        <w:pStyle w:val="BodyText"/>
        <w:spacing w:line="276" w:lineRule="auto"/>
        <w:ind w:left="901" w:right="1155"/>
        <w:jc w:val="both"/>
      </w:pPr>
      <w:r>
        <w:rPr/>
        <w:t>La clínica del IMSS que atiende a 4,931 derecho habientes, la cual deriva a los pacientes que requieren mayor especialización a los hospitales de Tala Jalisco y Guadalajara.</w:t>
      </w:r>
    </w:p>
    <w:p>
      <w:pPr>
        <w:pStyle w:val="BodyText"/>
        <w:spacing w:before="4"/>
        <w:rPr>
          <w:sz w:val="25"/>
        </w:rPr>
      </w:pPr>
    </w:p>
    <w:p>
      <w:pPr>
        <w:pStyle w:val="BodyText"/>
        <w:spacing w:line="276" w:lineRule="auto"/>
        <w:ind w:left="901" w:right="1156"/>
        <w:jc w:val="both"/>
      </w:pPr>
      <w:r>
        <w:rPr/>
        <w:t>Un consultorio del ISSSTE, que opera en muy precarias condiciones para atender a alrededor de 300 a 400 pacientes al mes que son pensionados o jubilados y empleados o familiares, de los trabajadores al servicio de la federación.</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Es importante hacer mención que como parte del Sistema de Protección Social en Salud para garantizar el acceso oportuno y sin discriminación de servicio médico a las personas de escasos recursos que no cuentan con empleo o trabajan por su cuenta se implementó el mecanismo del Seguro Popular que actualmente atiende a 9,082 derecho</w:t>
      </w:r>
      <w:r>
        <w:rPr>
          <w:spacing w:val="-3"/>
        </w:rPr>
        <w:t> </w:t>
      </w:r>
      <w:r>
        <w:rPr/>
        <w:t>habientes.</w:t>
      </w:r>
    </w:p>
    <w:p>
      <w:pPr>
        <w:pStyle w:val="BodyText"/>
        <w:spacing w:before="3"/>
        <w:rPr>
          <w:sz w:val="24"/>
        </w:rPr>
      </w:pPr>
    </w:p>
    <w:p>
      <w:pPr>
        <w:pStyle w:val="BodyText"/>
        <w:spacing w:line="276" w:lineRule="auto"/>
        <w:ind w:left="901" w:right="1155"/>
        <w:jc w:val="both"/>
      </w:pPr>
      <w:r>
        <w:rPr/>
        <w:t>Es posible encontrar en el municipio una amplia gama de posibilidades de asistencia médica, desde médicos generales, especialistas en diferentes áreas médicas, laboratorios de análisis clínicos rayos X y ultrasonido.</w:t>
      </w:r>
    </w:p>
    <w:p>
      <w:pPr>
        <w:pStyle w:val="BodyText"/>
        <w:spacing w:before="3"/>
        <w:rPr>
          <w:sz w:val="25"/>
        </w:rPr>
      </w:pPr>
    </w:p>
    <w:p>
      <w:pPr>
        <w:pStyle w:val="BodyText"/>
        <w:spacing w:line="276" w:lineRule="auto" w:before="1"/>
        <w:ind w:left="901" w:right="1156"/>
        <w:jc w:val="both"/>
      </w:pPr>
      <w:r>
        <w:rPr/>
        <w:t>Por su parte, se han recibido quejas de la población sobre el servicio que reciben en el área de urgencias del hospital regional. Notándose negligencia y falta de atención a los pacientes que llegan en estado de gravedad.</w:t>
      </w:r>
    </w:p>
    <w:p>
      <w:pPr>
        <w:pStyle w:val="BodyText"/>
        <w:spacing w:before="4"/>
        <w:rPr>
          <w:sz w:val="25"/>
        </w:rPr>
      </w:pPr>
    </w:p>
    <w:p>
      <w:pPr>
        <w:pStyle w:val="BodyText"/>
        <w:spacing w:line="276" w:lineRule="auto"/>
        <w:ind w:left="901" w:right="1155"/>
        <w:jc w:val="both"/>
      </w:pPr>
      <w:r>
        <w:rPr/>
        <w:t>El consumo de sustancias legales y posteriormente ilegales es cada vez mayor en jóvenes, creando un vicio, dependencia y adicción a sustancias, teniendo consecuencias como lo son, la deserción escolar, cometer imprudencias o accidentes de automotor, actos de violencia, vandalismo, y riñas callejeras, además como son sustancias comercializadas mayormente por las redes de tráfico ilegal, se favorecen estas actividades ilícitas.</w:t>
      </w:r>
    </w:p>
    <w:p>
      <w:pPr>
        <w:pStyle w:val="BodyText"/>
        <w:spacing w:line="278" w:lineRule="auto" w:before="198"/>
        <w:ind w:left="901" w:right="1158"/>
        <w:jc w:val="both"/>
      </w:pPr>
      <w:r>
        <w:rPr/>
        <w:t>La edad promedio para el inicio del consumo de sustancias adictivas en Jalisco es de 13 años de edad y principalmente en hombres jóvenes.</w:t>
      </w:r>
    </w:p>
    <w:p>
      <w:pPr>
        <w:pStyle w:val="BodyText"/>
        <w:spacing w:before="11"/>
        <w:rPr>
          <w:sz w:val="24"/>
        </w:rPr>
      </w:pPr>
    </w:p>
    <w:p>
      <w:pPr>
        <w:pStyle w:val="BodyText"/>
        <w:spacing w:line="276" w:lineRule="auto" w:before="1"/>
        <w:ind w:left="901" w:right="1156"/>
        <w:jc w:val="both"/>
      </w:pPr>
      <w:r>
        <w:rPr/>
        <w:t>No existen datos confiables para el municipio de Magdalena en la información disponible a cargo del Consejo Estatal para las Adicciones, lo que complica el análisis del fenómeno a nivel municipal.</w:t>
      </w:r>
    </w:p>
    <w:p>
      <w:pPr>
        <w:pStyle w:val="BodyText"/>
        <w:spacing w:before="3"/>
        <w:rPr>
          <w:sz w:val="25"/>
        </w:rPr>
      </w:pPr>
    </w:p>
    <w:p>
      <w:pPr>
        <w:pStyle w:val="BodyText"/>
        <w:spacing w:line="276" w:lineRule="auto"/>
        <w:ind w:left="901" w:right="1156"/>
        <w:jc w:val="both"/>
      </w:pPr>
      <w:r>
        <w:rPr/>
        <w:t>Sin embargo, cada vez es más evidente la preocupación de los padres de familia por el consumo de drogas en población adolescente y juvenil.</w:t>
      </w:r>
    </w:p>
    <w:p>
      <w:pPr>
        <w:pStyle w:val="BodyText"/>
        <w:spacing w:before="6"/>
        <w:rPr>
          <w:sz w:val="25"/>
        </w:rPr>
      </w:pPr>
    </w:p>
    <w:p>
      <w:pPr>
        <w:pStyle w:val="Heading2"/>
        <w:rPr>
          <w:rFonts w:ascii="Century Gothic"/>
        </w:rPr>
      </w:pPr>
      <w:r>
        <w:rPr>
          <w:rFonts w:ascii="Century Gothic"/>
        </w:rPr>
        <w:t>Deportes</w:t>
      </w:r>
    </w:p>
    <w:p>
      <w:pPr>
        <w:pStyle w:val="BodyText"/>
        <w:spacing w:line="276" w:lineRule="auto" w:before="199"/>
        <w:ind w:left="901" w:right="1154"/>
        <w:jc w:val="both"/>
      </w:pPr>
      <w:r>
        <w:rPr/>
        <w:t>El municipio se ha caracterizado por el gran número de personas aficionadas al béisbol. También existen dentro de las nuevas generaciones una cantidad considerable </w:t>
      </w:r>
      <w:r>
        <w:rPr>
          <w:spacing w:val="-3"/>
        </w:rPr>
        <w:t>de </w:t>
      </w:r>
      <w:r>
        <w:rPr/>
        <w:t>personas de todas las edades principalmente jóvenes que practican el fútbol, además es práctica común dentro de todo el municipio el voleibol, básquetbol y el frontón, en la actualidad se practica también el fútbol rápido o de salón sin mucho éxito. No podemos dejar de mencionar el deporte nacional, la charrería, ya que se practica en todo el municipio, además de contar con la asociación de charros regionales </w:t>
      </w:r>
      <w:r>
        <w:rPr>
          <w:spacing w:val="-5"/>
        </w:rPr>
        <w:t>de </w:t>
      </w:r>
      <w:r>
        <w:rPr/>
        <w:t>Magdalena, en anteriores administraciones se fundó la escuela de charrería infantil, en la</w:t>
      </w:r>
      <w:r>
        <w:rPr>
          <w:spacing w:val="6"/>
        </w:rPr>
        <w:t> </w:t>
      </w:r>
      <w:r>
        <w:rPr/>
        <w:t>que</w:t>
      </w:r>
      <w:r>
        <w:rPr>
          <w:spacing w:val="6"/>
        </w:rPr>
        <w:t> </w:t>
      </w:r>
      <w:r>
        <w:rPr/>
        <w:t>destacaba</w:t>
      </w:r>
      <w:r>
        <w:rPr>
          <w:spacing w:val="7"/>
        </w:rPr>
        <w:t> </w:t>
      </w:r>
      <w:r>
        <w:rPr/>
        <w:t>la</w:t>
      </w:r>
      <w:r>
        <w:rPr>
          <w:spacing w:val="3"/>
        </w:rPr>
        <w:t> </w:t>
      </w:r>
      <w:r>
        <w:rPr/>
        <w:t>escaramuza</w:t>
      </w:r>
      <w:r>
        <w:rPr>
          <w:spacing w:val="8"/>
        </w:rPr>
        <w:t> </w:t>
      </w:r>
      <w:r>
        <w:rPr/>
        <w:t>de</w:t>
      </w:r>
      <w:r>
        <w:rPr>
          <w:spacing w:val="6"/>
        </w:rPr>
        <w:t> </w:t>
      </w:r>
      <w:r>
        <w:rPr/>
        <w:t>niñas</w:t>
      </w:r>
      <w:r>
        <w:rPr>
          <w:spacing w:val="7"/>
        </w:rPr>
        <w:t> </w:t>
      </w:r>
      <w:r>
        <w:rPr/>
        <w:t>"Las</w:t>
      </w:r>
      <w:r>
        <w:rPr>
          <w:spacing w:val="7"/>
        </w:rPr>
        <w:t> </w:t>
      </w:r>
      <w:r>
        <w:rPr/>
        <w:t>Opaleras”,</w:t>
      </w:r>
      <w:r>
        <w:rPr>
          <w:spacing w:val="5"/>
        </w:rPr>
        <w:t> </w:t>
      </w:r>
      <w:r>
        <w:rPr/>
        <w:t>además</w:t>
      </w:r>
      <w:r>
        <w:rPr>
          <w:spacing w:val="7"/>
        </w:rPr>
        <w:t> </w:t>
      </w:r>
      <w:r>
        <w:rPr/>
        <w:t>de</w:t>
      </w:r>
      <w:r>
        <w:rPr>
          <w:spacing w:val="6"/>
        </w:rPr>
        <w:t> </w:t>
      </w:r>
      <w:r>
        <w:rPr/>
        <w:t>que</w:t>
      </w:r>
      <w:r>
        <w:rPr>
          <w:spacing w:val="6"/>
        </w:rPr>
        <w:t> </w:t>
      </w:r>
      <w:r>
        <w:rPr/>
        <w:t>en</w:t>
      </w:r>
      <w:r>
        <w:rPr>
          <w:spacing w:val="5"/>
        </w:rPr>
        <w:t> </w:t>
      </w:r>
      <w:r>
        <w:rPr/>
        <w:t>la</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3" w:lineRule="auto"/>
        <w:ind w:left="901" w:right="1435"/>
        <w:rPr>
          <w:rFonts w:ascii="Calibri" w:hAnsi="Calibri"/>
          <w:sz w:val="24"/>
        </w:rPr>
      </w:pPr>
      <w:r>
        <w:rPr/>
        <w:t>Administración 2015-2018 se promovió el softbol y actualmente existen 8 equipos femeniles</w:t>
      </w:r>
      <w:r>
        <w:rPr>
          <w:rFonts w:ascii="Calibri" w:hAnsi="Calibri"/>
          <w:sz w:val="24"/>
        </w:rPr>
        <w:t>.</w:t>
      </w:r>
    </w:p>
    <w:p>
      <w:pPr>
        <w:pStyle w:val="BodyText"/>
        <w:spacing w:before="7"/>
        <w:rPr>
          <w:rFonts w:ascii="Calibri"/>
          <w:sz w:val="8"/>
        </w:rPr>
      </w:pPr>
    </w:p>
    <w:p>
      <w:pPr>
        <w:pStyle w:val="BodyText"/>
        <w:spacing w:before="101"/>
        <w:ind w:left="1001" w:right="1259"/>
        <w:jc w:val="center"/>
      </w:pPr>
      <w:r>
        <w:rPr/>
        <w:t>TABLA 5. EQUIPAMIENTO DE INFRAESTRUCTURA DEPORTIVA</w:t>
      </w:r>
    </w:p>
    <w:p>
      <w:pPr>
        <w:pStyle w:val="BodyText"/>
        <w:rPr>
          <w:sz w:val="20"/>
        </w:rPr>
      </w:pPr>
    </w:p>
    <w:p>
      <w:pPr>
        <w:pStyle w:val="BodyText"/>
        <w:rPr>
          <w:sz w:val="20"/>
        </w:rPr>
      </w:pPr>
    </w:p>
    <w:p>
      <w:pPr>
        <w:pStyle w:val="BodyText"/>
        <w:spacing w:before="10" w:after="1"/>
        <w:rPr>
          <w:sz w:val="20"/>
        </w:rPr>
      </w:pPr>
    </w:p>
    <w:tbl>
      <w:tblPr>
        <w:tblW w:w="0" w:type="auto"/>
        <w:jc w:val="left"/>
        <w:tblInd w:w="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93"/>
        <w:gridCol w:w="2402"/>
        <w:gridCol w:w="647"/>
        <w:gridCol w:w="2821"/>
        <w:gridCol w:w="2333"/>
      </w:tblGrid>
      <w:tr>
        <w:trPr>
          <w:trHeight w:val="840" w:hRule="atLeast"/>
        </w:trPr>
        <w:tc>
          <w:tcPr>
            <w:tcW w:w="2093" w:type="dxa"/>
            <w:tcBorders>
              <w:bottom w:val="single" w:sz="6" w:space="0" w:color="000000"/>
              <w:right w:val="single" w:sz="4" w:space="0" w:color="000000"/>
            </w:tcBorders>
          </w:tcPr>
          <w:p>
            <w:pPr>
              <w:pStyle w:val="TableParagraph"/>
              <w:spacing w:line="276" w:lineRule="auto" w:before="5"/>
              <w:ind w:left="79" w:right="163"/>
              <w:rPr>
                <w:sz w:val="20"/>
              </w:rPr>
            </w:pPr>
            <w:r>
              <w:rPr>
                <w:w w:val="95"/>
                <w:sz w:val="20"/>
              </w:rPr>
              <w:t>EQUIPAMIENTO </w:t>
            </w:r>
            <w:r>
              <w:rPr>
                <w:sz w:val="20"/>
              </w:rPr>
              <w:t>URBANO</w:t>
            </w:r>
          </w:p>
        </w:tc>
        <w:tc>
          <w:tcPr>
            <w:tcW w:w="2402" w:type="dxa"/>
            <w:tcBorders>
              <w:left w:val="single" w:sz="4" w:space="0" w:color="000000"/>
              <w:bottom w:val="single" w:sz="6" w:space="0" w:color="000000"/>
            </w:tcBorders>
          </w:tcPr>
          <w:p>
            <w:pPr>
              <w:pStyle w:val="TableParagraph"/>
              <w:spacing w:before="5"/>
              <w:ind w:left="74"/>
              <w:rPr>
                <w:sz w:val="20"/>
              </w:rPr>
            </w:pPr>
            <w:r>
              <w:rPr>
                <w:sz w:val="20"/>
              </w:rPr>
              <w:t>UBICACIÓN</w:t>
            </w:r>
          </w:p>
        </w:tc>
        <w:tc>
          <w:tcPr>
            <w:tcW w:w="3468" w:type="dxa"/>
            <w:gridSpan w:val="2"/>
            <w:tcBorders>
              <w:bottom w:val="single" w:sz="6" w:space="0" w:color="000000"/>
            </w:tcBorders>
          </w:tcPr>
          <w:p>
            <w:pPr>
              <w:pStyle w:val="TableParagraph"/>
              <w:spacing w:before="5"/>
              <w:ind w:left="538"/>
              <w:rPr>
                <w:sz w:val="20"/>
              </w:rPr>
            </w:pPr>
            <w:r>
              <w:rPr>
                <w:sz w:val="20"/>
              </w:rPr>
              <w:t>DESCRIPCIÓN</w:t>
            </w:r>
          </w:p>
        </w:tc>
        <w:tc>
          <w:tcPr>
            <w:tcW w:w="2333" w:type="dxa"/>
            <w:tcBorders>
              <w:bottom w:val="single" w:sz="6" w:space="0" w:color="000000"/>
            </w:tcBorders>
          </w:tcPr>
          <w:p>
            <w:pPr>
              <w:pStyle w:val="TableParagraph"/>
              <w:spacing w:before="5"/>
              <w:ind w:left="152"/>
              <w:rPr>
                <w:sz w:val="20"/>
              </w:rPr>
            </w:pPr>
            <w:r>
              <w:rPr>
                <w:sz w:val="20"/>
              </w:rPr>
              <w:t>PROPIEDAD/STATUS</w:t>
            </w:r>
          </w:p>
        </w:tc>
      </w:tr>
      <w:tr>
        <w:trPr>
          <w:trHeight w:val="3361" w:hRule="atLeast"/>
        </w:trPr>
        <w:tc>
          <w:tcPr>
            <w:tcW w:w="2093" w:type="dxa"/>
            <w:tcBorders>
              <w:top w:val="single" w:sz="6"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182"/>
              <w:ind w:left="569" w:right="163" w:hanging="385"/>
              <w:rPr>
                <w:sz w:val="20"/>
              </w:rPr>
            </w:pPr>
            <w:r>
              <w:rPr>
                <w:sz w:val="20"/>
              </w:rPr>
              <w:t>Unidad Deportiva Municipal</w:t>
            </w:r>
          </w:p>
        </w:tc>
        <w:tc>
          <w:tcPr>
            <w:tcW w:w="2402" w:type="dxa"/>
            <w:tcBorders>
              <w:top w:val="single" w:sz="6" w:space="0" w:color="000000"/>
              <w:left w:val="single" w:sz="4" w:space="0" w:color="000000"/>
            </w:tcBorders>
            <w:shd w:val="clear" w:color="auto" w:fill="CCCCCC"/>
          </w:tcPr>
          <w:p>
            <w:pPr>
              <w:pStyle w:val="TableParagraph"/>
              <w:rPr>
                <w:sz w:val="24"/>
              </w:rPr>
            </w:pPr>
          </w:p>
          <w:p>
            <w:pPr>
              <w:pStyle w:val="TableParagraph"/>
              <w:rPr>
                <w:sz w:val="24"/>
              </w:rPr>
            </w:pPr>
          </w:p>
          <w:p>
            <w:pPr>
              <w:pStyle w:val="TableParagraph"/>
              <w:spacing w:before="8"/>
              <w:rPr>
                <w:sz w:val="18"/>
              </w:rPr>
            </w:pPr>
          </w:p>
          <w:p>
            <w:pPr>
              <w:pStyle w:val="TableParagraph"/>
              <w:ind w:left="955"/>
              <w:rPr>
                <w:sz w:val="20"/>
              </w:rPr>
            </w:pPr>
            <w:r>
              <w:rPr>
                <w:sz w:val="20"/>
              </w:rPr>
              <w:t>Entre</w:t>
            </w:r>
          </w:p>
          <w:p>
            <w:pPr>
              <w:pStyle w:val="TableParagraph"/>
              <w:spacing w:line="245" w:lineRule="exact" w:before="2"/>
              <w:ind w:left="242"/>
              <w:rPr>
                <w:sz w:val="20"/>
              </w:rPr>
            </w:pPr>
            <w:r>
              <w:rPr>
                <w:sz w:val="20"/>
              </w:rPr>
              <w:t>c. Lorenzo Gutiérrez</w:t>
            </w:r>
          </w:p>
          <w:p>
            <w:pPr>
              <w:pStyle w:val="TableParagraph"/>
              <w:spacing w:line="245" w:lineRule="exact"/>
              <w:ind w:left="424"/>
              <w:rPr>
                <w:sz w:val="20"/>
              </w:rPr>
            </w:pPr>
            <w:r>
              <w:rPr>
                <w:sz w:val="20"/>
              </w:rPr>
              <w:t>c. Cuauhtémoc</w:t>
            </w:r>
          </w:p>
        </w:tc>
        <w:tc>
          <w:tcPr>
            <w:tcW w:w="3468" w:type="dxa"/>
            <w:gridSpan w:val="2"/>
            <w:tcBorders>
              <w:top w:val="single" w:sz="6" w:space="0" w:color="000000"/>
            </w:tcBorders>
            <w:shd w:val="clear" w:color="auto" w:fill="CCCCCC"/>
          </w:tcPr>
          <w:p>
            <w:pPr>
              <w:pStyle w:val="TableParagraph"/>
              <w:spacing w:line="245" w:lineRule="exact" w:before="83"/>
              <w:ind w:left="87"/>
              <w:rPr>
                <w:sz w:val="20"/>
              </w:rPr>
            </w:pPr>
            <w:r>
              <w:rPr>
                <w:sz w:val="20"/>
              </w:rPr>
              <w:t>3. canchas para</w:t>
            </w:r>
            <w:r>
              <w:rPr>
                <w:spacing w:val="-12"/>
                <w:sz w:val="20"/>
              </w:rPr>
              <w:t> </w:t>
            </w:r>
            <w:r>
              <w:rPr>
                <w:sz w:val="20"/>
              </w:rPr>
              <w:t>fútbol</w:t>
            </w:r>
          </w:p>
          <w:p>
            <w:pPr>
              <w:pStyle w:val="TableParagraph"/>
              <w:spacing w:line="245" w:lineRule="exact"/>
              <w:ind w:left="87"/>
              <w:rPr>
                <w:sz w:val="20"/>
              </w:rPr>
            </w:pPr>
            <w:r>
              <w:rPr>
                <w:sz w:val="20"/>
              </w:rPr>
              <w:t>1. cancha para</w:t>
            </w:r>
            <w:r>
              <w:rPr>
                <w:spacing w:val="-11"/>
                <w:sz w:val="20"/>
              </w:rPr>
              <w:t> </w:t>
            </w:r>
            <w:r>
              <w:rPr>
                <w:sz w:val="20"/>
              </w:rPr>
              <w:t>softbol</w:t>
            </w:r>
          </w:p>
          <w:p>
            <w:pPr>
              <w:pStyle w:val="TableParagraph"/>
              <w:spacing w:line="245" w:lineRule="exact"/>
              <w:ind w:left="87"/>
              <w:rPr>
                <w:sz w:val="20"/>
              </w:rPr>
            </w:pPr>
            <w:r>
              <w:rPr>
                <w:sz w:val="20"/>
              </w:rPr>
              <w:t>1. cancha para fútbol rápido</w:t>
            </w:r>
          </w:p>
          <w:p>
            <w:pPr>
              <w:pStyle w:val="TableParagraph"/>
              <w:spacing w:line="245" w:lineRule="exact"/>
              <w:ind w:left="87"/>
              <w:rPr>
                <w:sz w:val="20"/>
              </w:rPr>
            </w:pPr>
            <w:r>
              <w:rPr>
                <w:sz w:val="20"/>
              </w:rPr>
              <w:t>1. cancha para básquet</w:t>
            </w:r>
          </w:p>
          <w:p>
            <w:pPr>
              <w:pStyle w:val="TableParagraph"/>
              <w:spacing w:line="245" w:lineRule="exact" w:before="2"/>
              <w:ind w:left="87"/>
              <w:rPr>
                <w:sz w:val="20"/>
              </w:rPr>
            </w:pPr>
            <w:r>
              <w:rPr>
                <w:sz w:val="20"/>
              </w:rPr>
              <w:t>1. cancha de usos múltiples</w:t>
            </w:r>
          </w:p>
          <w:p>
            <w:pPr>
              <w:pStyle w:val="TableParagraph"/>
              <w:spacing w:line="245" w:lineRule="exact"/>
              <w:ind w:left="87"/>
              <w:rPr>
                <w:sz w:val="20"/>
              </w:rPr>
            </w:pPr>
            <w:r>
              <w:rPr>
                <w:sz w:val="20"/>
              </w:rPr>
              <w:t>1. piscina</w:t>
            </w:r>
          </w:p>
          <w:p>
            <w:pPr>
              <w:pStyle w:val="TableParagraph"/>
              <w:numPr>
                <w:ilvl w:val="0"/>
                <w:numId w:val="28"/>
              </w:numPr>
              <w:tabs>
                <w:tab w:pos="306" w:val="left" w:leader="none"/>
              </w:tabs>
              <w:spacing w:line="245" w:lineRule="exact" w:before="0" w:after="0"/>
              <w:ind w:left="306" w:right="0" w:hanging="219"/>
              <w:jc w:val="left"/>
              <w:rPr>
                <w:sz w:val="20"/>
              </w:rPr>
            </w:pPr>
            <w:r>
              <w:rPr>
                <w:sz w:val="20"/>
              </w:rPr>
              <w:t>circuito de</w:t>
            </w:r>
            <w:r>
              <w:rPr>
                <w:spacing w:val="-2"/>
                <w:sz w:val="20"/>
              </w:rPr>
              <w:t> </w:t>
            </w:r>
            <w:r>
              <w:rPr>
                <w:sz w:val="20"/>
              </w:rPr>
              <w:t>competencia</w:t>
            </w:r>
          </w:p>
          <w:p>
            <w:pPr>
              <w:pStyle w:val="TableParagraph"/>
              <w:numPr>
                <w:ilvl w:val="0"/>
                <w:numId w:val="28"/>
              </w:numPr>
              <w:tabs>
                <w:tab w:pos="306" w:val="left" w:leader="none"/>
              </w:tabs>
              <w:spacing w:line="245" w:lineRule="exact" w:before="0" w:after="0"/>
              <w:ind w:left="306" w:right="0" w:hanging="219"/>
              <w:jc w:val="left"/>
              <w:rPr>
                <w:sz w:val="20"/>
              </w:rPr>
            </w:pPr>
            <w:r>
              <w:rPr>
                <w:sz w:val="20"/>
              </w:rPr>
              <w:t>áreas de</w:t>
            </w:r>
            <w:r>
              <w:rPr>
                <w:spacing w:val="-2"/>
                <w:sz w:val="20"/>
              </w:rPr>
              <w:t> </w:t>
            </w:r>
            <w:r>
              <w:rPr>
                <w:sz w:val="20"/>
              </w:rPr>
              <w:t>gimnasio</w:t>
            </w:r>
          </w:p>
          <w:p>
            <w:pPr>
              <w:pStyle w:val="TableParagraph"/>
              <w:ind w:left="87" w:right="606"/>
              <w:rPr>
                <w:sz w:val="20"/>
              </w:rPr>
            </w:pPr>
            <w:r>
              <w:rPr>
                <w:sz w:val="20"/>
              </w:rPr>
              <w:t>1. área de juegos infantiles y baños</w:t>
            </w:r>
          </w:p>
          <w:p>
            <w:pPr>
              <w:pStyle w:val="TableParagraph"/>
              <w:spacing w:before="1"/>
              <w:ind w:left="87"/>
              <w:rPr>
                <w:sz w:val="20"/>
              </w:rPr>
            </w:pPr>
            <w:r>
              <w:rPr>
                <w:sz w:val="20"/>
              </w:rPr>
              <w:t>1. bodega</w:t>
            </w:r>
          </w:p>
        </w:tc>
        <w:tc>
          <w:tcPr>
            <w:tcW w:w="2333" w:type="dxa"/>
            <w:tcBorders>
              <w:top w:val="single" w:sz="6" w:space="0" w:color="000000"/>
            </w:tcBorders>
            <w:shd w:val="clear" w:color="auto" w:fill="CCCCCC"/>
          </w:tcPr>
          <w:p>
            <w:pPr>
              <w:pStyle w:val="TableParagraph"/>
              <w:rPr>
                <w:sz w:val="24"/>
              </w:rPr>
            </w:pPr>
          </w:p>
          <w:p>
            <w:pPr>
              <w:pStyle w:val="TableParagraph"/>
              <w:rPr>
                <w:sz w:val="24"/>
              </w:rPr>
            </w:pPr>
          </w:p>
          <w:p>
            <w:pPr>
              <w:pStyle w:val="TableParagraph"/>
              <w:rPr>
                <w:sz w:val="24"/>
              </w:rPr>
            </w:pPr>
          </w:p>
          <w:p>
            <w:pPr>
              <w:pStyle w:val="TableParagraph"/>
              <w:spacing w:before="182"/>
              <w:ind w:left="169"/>
              <w:rPr>
                <w:sz w:val="20"/>
              </w:rPr>
            </w:pPr>
            <w:r>
              <w:rPr>
                <w:sz w:val="20"/>
              </w:rPr>
              <w:t>Municipal/Bueno</w:t>
            </w:r>
          </w:p>
        </w:tc>
      </w:tr>
      <w:tr>
        <w:trPr>
          <w:trHeight w:val="1020" w:hRule="atLeast"/>
        </w:trPr>
        <w:tc>
          <w:tcPr>
            <w:tcW w:w="2093" w:type="dxa"/>
            <w:tcBorders>
              <w:right w:val="single" w:sz="4" w:space="0" w:color="000000"/>
            </w:tcBorders>
          </w:tcPr>
          <w:p>
            <w:pPr>
              <w:pStyle w:val="TableParagraph"/>
              <w:spacing w:before="8"/>
              <w:rPr>
                <w:sz w:val="26"/>
              </w:rPr>
            </w:pPr>
          </w:p>
          <w:p>
            <w:pPr>
              <w:pStyle w:val="TableParagraph"/>
              <w:ind w:left="626" w:right="222" w:hanging="385"/>
              <w:rPr>
                <w:sz w:val="20"/>
              </w:rPr>
            </w:pPr>
            <w:r>
              <w:rPr>
                <w:sz w:val="20"/>
              </w:rPr>
              <w:t>Cancha de Usos Múltiples</w:t>
            </w:r>
          </w:p>
        </w:tc>
        <w:tc>
          <w:tcPr>
            <w:tcW w:w="2402" w:type="dxa"/>
            <w:tcBorders>
              <w:left w:val="single" w:sz="4" w:space="0" w:color="000000"/>
            </w:tcBorders>
          </w:tcPr>
          <w:p>
            <w:pPr>
              <w:pStyle w:val="TableParagraph"/>
              <w:spacing w:line="245" w:lineRule="exact" w:before="82"/>
              <w:ind w:left="1181"/>
              <w:rPr>
                <w:sz w:val="20"/>
              </w:rPr>
            </w:pPr>
            <w:r>
              <w:rPr>
                <w:sz w:val="20"/>
              </w:rPr>
              <w:t>Entre</w:t>
            </w:r>
          </w:p>
          <w:p>
            <w:pPr>
              <w:pStyle w:val="TableParagraph"/>
              <w:spacing w:line="245" w:lineRule="exact"/>
              <w:ind w:left="765"/>
              <w:rPr>
                <w:sz w:val="20"/>
              </w:rPr>
            </w:pPr>
            <w:r>
              <w:rPr>
                <w:sz w:val="20"/>
              </w:rPr>
              <w:t>c. Iturbide Sur</w:t>
            </w:r>
          </w:p>
          <w:p>
            <w:pPr>
              <w:pStyle w:val="TableParagraph"/>
              <w:spacing w:line="245" w:lineRule="exact"/>
              <w:ind w:left="535"/>
              <w:rPr>
                <w:sz w:val="20"/>
              </w:rPr>
            </w:pPr>
            <w:r>
              <w:rPr>
                <w:sz w:val="20"/>
              </w:rPr>
              <w:t>c. Hidalgo Oriente</w:t>
            </w:r>
          </w:p>
        </w:tc>
        <w:tc>
          <w:tcPr>
            <w:tcW w:w="647" w:type="dxa"/>
          </w:tcPr>
          <w:p>
            <w:pPr>
              <w:pStyle w:val="TableParagraph"/>
              <w:rPr>
                <w:rFonts w:ascii="Times New Roman"/>
                <w:sz w:val="20"/>
              </w:rPr>
            </w:pPr>
          </w:p>
        </w:tc>
        <w:tc>
          <w:tcPr>
            <w:tcW w:w="2821" w:type="dxa"/>
          </w:tcPr>
          <w:p>
            <w:pPr>
              <w:pStyle w:val="TableParagraph"/>
              <w:spacing w:before="8"/>
              <w:rPr>
                <w:sz w:val="26"/>
              </w:rPr>
            </w:pPr>
          </w:p>
          <w:p>
            <w:pPr>
              <w:pStyle w:val="TableParagraph"/>
              <w:ind w:left="285" w:right="197" w:hanging="185"/>
              <w:rPr>
                <w:sz w:val="20"/>
              </w:rPr>
            </w:pPr>
            <w:r>
              <w:rPr>
                <w:sz w:val="20"/>
              </w:rPr>
              <w:t>Cancha para basquetbol con opción a voleibol</w:t>
            </w:r>
          </w:p>
        </w:tc>
        <w:tc>
          <w:tcPr>
            <w:tcW w:w="2333" w:type="dxa"/>
          </w:tcPr>
          <w:p>
            <w:pPr>
              <w:pStyle w:val="TableParagraph"/>
              <w:spacing w:before="8"/>
              <w:rPr>
                <w:sz w:val="26"/>
              </w:rPr>
            </w:pPr>
          </w:p>
          <w:p>
            <w:pPr>
              <w:pStyle w:val="TableParagraph"/>
              <w:ind w:left="347"/>
              <w:rPr>
                <w:sz w:val="20"/>
              </w:rPr>
            </w:pPr>
            <w:r>
              <w:rPr>
                <w:sz w:val="20"/>
              </w:rPr>
              <w:t>Municipal/ Bueno</w:t>
            </w:r>
          </w:p>
        </w:tc>
      </w:tr>
      <w:tr>
        <w:trPr>
          <w:trHeight w:val="1298" w:hRule="atLeast"/>
        </w:trPr>
        <w:tc>
          <w:tcPr>
            <w:tcW w:w="2093" w:type="dxa"/>
            <w:tcBorders>
              <w:right w:val="single" w:sz="4" w:space="0" w:color="000000"/>
            </w:tcBorders>
          </w:tcPr>
          <w:p>
            <w:pPr>
              <w:pStyle w:val="TableParagraph"/>
              <w:spacing w:before="82"/>
              <w:ind w:left="163" w:right="113" w:hanging="32"/>
              <w:rPr>
                <w:sz w:val="20"/>
              </w:rPr>
            </w:pPr>
            <w:r>
              <w:rPr>
                <w:sz w:val="20"/>
              </w:rPr>
              <w:t>Campo de béisbol Miguel Hernández</w:t>
            </w:r>
          </w:p>
        </w:tc>
        <w:tc>
          <w:tcPr>
            <w:tcW w:w="3049" w:type="dxa"/>
            <w:gridSpan w:val="2"/>
            <w:tcBorders>
              <w:left w:val="single" w:sz="4" w:space="0" w:color="000000"/>
            </w:tcBorders>
            <w:shd w:val="clear" w:color="auto" w:fill="CCCCCC"/>
          </w:tcPr>
          <w:p>
            <w:pPr>
              <w:pStyle w:val="TableParagraph"/>
              <w:spacing w:line="245" w:lineRule="exact" w:before="82"/>
              <w:ind w:left="1181"/>
              <w:rPr>
                <w:sz w:val="20"/>
              </w:rPr>
            </w:pPr>
            <w:r>
              <w:rPr>
                <w:sz w:val="20"/>
              </w:rPr>
              <w:t>Entre</w:t>
            </w:r>
          </w:p>
          <w:p>
            <w:pPr>
              <w:pStyle w:val="TableParagraph"/>
              <w:spacing w:line="245" w:lineRule="exact"/>
              <w:ind w:left="280"/>
              <w:rPr>
                <w:sz w:val="20"/>
              </w:rPr>
            </w:pPr>
            <w:r>
              <w:rPr>
                <w:sz w:val="20"/>
              </w:rPr>
              <w:t>c. Venustiano Carranza</w:t>
            </w:r>
          </w:p>
          <w:p>
            <w:pPr>
              <w:pStyle w:val="TableParagraph"/>
              <w:spacing w:line="245" w:lineRule="exact"/>
              <w:ind w:left="139"/>
              <w:rPr>
                <w:sz w:val="20"/>
              </w:rPr>
            </w:pPr>
            <w:r>
              <w:rPr>
                <w:sz w:val="20"/>
              </w:rPr>
              <w:t>c. Manuel Ávila Camacho</w:t>
            </w:r>
          </w:p>
        </w:tc>
        <w:tc>
          <w:tcPr>
            <w:tcW w:w="2821" w:type="dxa"/>
            <w:shd w:val="clear" w:color="auto" w:fill="CCCCCC"/>
          </w:tcPr>
          <w:p>
            <w:pPr>
              <w:pStyle w:val="TableParagraph"/>
              <w:spacing w:before="8"/>
              <w:rPr>
                <w:sz w:val="26"/>
              </w:rPr>
            </w:pPr>
          </w:p>
          <w:p>
            <w:pPr>
              <w:pStyle w:val="TableParagraph"/>
              <w:ind w:left="340"/>
              <w:rPr>
                <w:sz w:val="20"/>
              </w:rPr>
            </w:pPr>
            <w:r>
              <w:rPr>
                <w:sz w:val="20"/>
              </w:rPr>
              <w:t>Campo para béisbol</w:t>
            </w:r>
          </w:p>
        </w:tc>
        <w:tc>
          <w:tcPr>
            <w:tcW w:w="2333" w:type="dxa"/>
            <w:shd w:val="clear" w:color="auto" w:fill="CCCCCC"/>
          </w:tcPr>
          <w:p>
            <w:pPr>
              <w:pStyle w:val="TableParagraph"/>
              <w:spacing w:before="8"/>
              <w:rPr>
                <w:sz w:val="26"/>
              </w:rPr>
            </w:pPr>
          </w:p>
          <w:p>
            <w:pPr>
              <w:pStyle w:val="TableParagraph"/>
              <w:ind w:left="508"/>
              <w:rPr>
                <w:sz w:val="20"/>
              </w:rPr>
            </w:pPr>
            <w:r>
              <w:rPr>
                <w:sz w:val="20"/>
              </w:rPr>
              <w:t>Ejidal/ Regular</w:t>
            </w:r>
          </w:p>
        </w:tc>
      </w:tr>
      <w:tr>
        <w:trPr>
          <w:trHeight w:val="741" w:hRule="atLeast"/>
        </w:trPr>
        <w:tc>
          <w:tcPr>
            <w:tcW w:w="2093" w:type="dxa"/>
            <w:tcBorders>
              <w:right w:val="single" w:sz="4" w:space="0" w:color="000000"/>
            </w:tcBorders>
          </w:tcPr>
          <w:p>
            <w:pPr>
              <w:pStyle w:val="TableParagraph"/>
              <w:spacing w:before="84"/>
              <w:ind w:left="502" w:right="134" w:hanging="349"/>
              <w:rPr>
                <w:sz w:val="20"/>
              </w:rPr>
            </w:pPr>
            <w:r>
              <w:rPr>
                <w:sz w:val="20"/>
              </w:rPr>
              <w:t>Cancha de Fútbol San Andrés</w:t>
            </w:r>
          </w:p>
        </w:tc>
        <w:tc>
          <w:tcPr>
            <w:tcW w:w="2402" w:type="dxa"/>
            <w:tcBorders>
              <w:left w:val="single" w:sz="4" w:space="0" w:color="000000"/>
            </w:tcBorders>
          </w:tcPr>
          <w:p>
            <w:pPr>
              <w:pStyle w:val="TableParagraph"/>
              <w:spacing w:before="84"/>
              <w:ind w:right="429"/>
              <w:jc w:val="right"/>
              <w:rPr>
                <w:sz w:val="20"/>
              </w:rPr>
            </w:pPr>
            <w:r>
              <w:rPr>
                <w:sz w:val="20"/>
              </w:rPr>
              <w:t>San Andrés</w:t>
            </w:r>
          </w:p>
        </w:tc>
        <w:tc>
          <w:tcPr>
            <w:tcW w:w="647" w:type="dxa"/>
          </w:tcPr>
          <w:p>
            <w:pPr>
              <w:pStyle w:val="TableParagraph"/>
              <w:rPr>
                <w:rFonts w:ascii="Times New Roman"/>
                <w:sz w:val="20"/>
              </w:rPr>
            </w:pPr>
          </w:p>
        </w:tc>
        <w:tc>
          <w:tcPr>
            <w:tcW w:w="2821" w:type="dxa"/>
          </w:tcPr>
          <w:p>
            <w:pPr>
              <w:pStyle w:val="TableParagraph"/>
              <w:spacing w:before="84"/>
              <w:ind w:left="378"/>
              <w:rPr>
                <w:sz w:val="20"/>
              </w:rPr>
            </w:pPr>
            <w:r>
              <w:rPr>
                <w:sz w:val="20"/>
              </w:rPr>
              <w:t>Cancha para fútbol</w:t>
            </w:r>
          </w:p>
        </w:tc>
        <w:tc>
          <w:tcPr>
            <w:tcW w:w="2333" w:type="dxa"/>
          </w:tcPr>
          <w:p>
            <w:pPr>
              <w:pStyle w:val="TableParagraph"/>
              <w:spacing w:before="84"/>
              <w:ind w:right="210"/>
              <w:jc w:val="right"/>
              <w:rPr>
                <w:sz w:val="20"/>
              </w:rPr>
            </w:pPr>
            <w:r>
              <w:rPr>
                <w:sz w:val="20"/>
              </w:rPr>
              <w:t>Municipal/ Regular</w:t>
            </w:r>
          </w:p>
        </w:tc>
      </w:tr>
      <w:tr>
        <w:trPr>
          <w:trHeight w:val="1579" w:hRule="atLeast"/>
        </w:trPr>
        <w:tc>
          <w:tcPr>
            <w:tcW w:w="2093" w:type="dxa"/>
            <w:tcBorders>
              <w:right w:val="single" w:sz="4" w:space="0" w:color="000000"/>
            </w:tcBorders>
          </w:tcPr>
          <w:p>
            <w:pPr>
              <w:pStyle w:val="TableParagraph"/>
              <w:spacing w:before="8"/>
              <w:rPr>
                <w:sz w:val="26"/>
              </w:rPr>
            </w:pPr>
          </w:p>
          <w:p>
            <w:pPr>
              <w:pStyle w:val="TableParagraph"/>
              <w:ind w:left="502" w:right="163" w:hanging="318"/>
              <w:rPr>
                <w:sz w:val="20"/>
              </w:rPr>
            </w:pPr>
            <w:r>
              <w:rPr>
                <w:sz w:val="20"/>
              </w:rPr>
              <w:t>Unidad Deportiva San Andrés</w:t>
            </w:r>
          </w:p>
        </w:tc>
        <w:tc>
          <w:tcPr>
            <w:tcW w:w="2402" w:type="dxa"/>
            <w:tcBorders>
              <w:left w:val="single" w:sz="4" w:space="0" w:color="000000"/>
            </w:tcBorders>
            <w:shd w:val="clear" w:color="auto" w:fill="CCCCCC"/>
          </w:tcPr>
          <w:p>
            <w:pPr>
              <w:pStyle w:val="TableParagraph"/>
              <w:spacing w:before="8"/>
              <w:rPr>
                <w:sz w:val="26"/>
              </w:rPr>
            </w:pPr>
          </w:p>
          <w:p>
            <w:pPr>
              <w:pStyle w:val="TableParagraph"/>
              <w:ind w:right="429"/>
              <w:jc w:val="right"/>
              <w:rPr>
                <w:sz w:val="20"/>
              </w:rPr>
            </w:pPr>
            <w:r>
              <w:rPr>
                <w:sz w:val="20"/>
              </w:rPr>
              <w:t>San Andrés</w:t>
            </w:r>
          </w:p>
        </w:tc>
        <w:tc>
          <w:tcPr>
            <w:tcW w:w="3468" w:type="dxa"/>
            <w:gridSpan w:val="2"/>
            <w:shd w:val="clear" w:color="auto" w:fill="CCCCCC"/>
          </w:tcPr>
          <w:p>
            <w:pPr>
              <w:pStyle w:val="TableParagraph"/>
              <w:spacing w:line="245" w:lineRule="exact" w:before="82"/>
              <w:ind w:left="538"/>
              <w:rPr>
                <w:sz w:val="20"/>
              </w:rPr>
            </w:pPr>
            <w:r>
              <w:rPr>
                <w:sz w:val="20"/>
              </w:rPr>
              <w:t>1 campo para béisbol</w:t>
            </w:r>
          </w:p>
          <w:p>
            <w:pPr>
              <w:pStyle w:val="TableParagraph"/>
              <w:ind w:left="538" w:right="131"/>
              <w:rPr>
                <w:sz w:val="20"/>
              </w:rPr>
            </w:pPr>
            <w:r>
              <w:rPr>
                <w:sz w:val="20"/>
              </w:rPr>
              <w:t>1 cancha para fútbol rápido 1 área de juegos infantiles</w:t>
            </w:r>
          </w:p>
        </w:tc>
        <w:tc>
          <w:tcPr>
            <w:tcW w:w="2333" w:type="dxa"/>
            <w:shd w:val="clear" w:color="auto" w:fill="CCCCCC"/>
          </w:tcPr>
          <w:p>
            <w:pPr>
              <w:pStyle w:val="TableParagraph"/>
              <w:spacing w:before="8"/>
              <w:rPr>
                <w:sz w:val="26"/>
              </w:rPr>
            </w:pPr>
          </w:p>
          <w:p>
            <w:pPr>
              <w:pStyle w:val="TableParagraph"/>
              <w:ind w:left="599"/>
              <w:rPr>
                <w:sz w:val="20"/>
              </w:rPr>
            </w:pPr>
            <w:r>
              <w:rPr>
                <w:sz w:val="20"/>
              </w:rPr>
              <w:t>Ejidal/Bueno</w:t>
            </w:r>
          </w:p>
        </w:tc>
      </w:tr>
      <w:tr>
        <w:trPr>
          <w:trHeight w:val="895" w:hRule="atLeast"/>
        </w:trPr>
        <w:tc>
          <w:tcPr>
            <w:tcW w:w="2093" w:type="dxa"/>
            <w:tcBorders>
              <w:right w:val="single" w:sz="4" w:space="0" w:color="000000"/>
            </w:tcBorders>
          </w:tcPr>
          <w:p>
            <w:pPr>
              <w:pStyle w:val="TableParagraph"/>
              <w:spacing w:before="82"/>
              <w:ind w:left="223" w:right="222" w:hanging="1"/>
              <w:jc w:val="center"/>
              <w:rPr>
                <w:sz w:val="20"/>
              </w:rPr>
            </w:pPr>
            <w:r>
              <w:rPr>
                <w:sz w:val="20"/>
              </w:rPr>
              <w:t>Cancha de Usos Múltiples San An- drés</w:t>
            </w:r>
          </w:p>
        </w:tc>
        <w:tc>
          <w:tcPr>
            <w:tcW w:w="2402" w:type="dxa"/>
            <w:tcBorders>
              <w:left w:val="single" w:sz="4" w:space="0" w:color="000000"/>
            </w:tcBorders>
          </w:tcPr>
          <w:p>
            <w:pPr>
              <w:pStyle w:val="TableParagraph"/>
              <w:spacing w:before="82"/>
              <w:ind w:right="429"/>
              <w:jc w:val="right"/>
              <w:rPr>
                <w:sz w:val="20"/>
              </w:rPr>
            </w:pPr>
            <w:r>
              <w:rPr>
                <w:sz w:val="20"/>
              </w:rPr>
              <w:t>San Andrés</w:t>
            </w:r>
          </w:p>
        </w:tc>
        <w:tc>
          <w:tcPr>
            <w:tcW w:w="647" w:type="dxa"/>
          </w:tcPr>
          <w:p>
            <w:pPr>
              <w:pStyle w:val="TableParagraph"/>
              <w:rPr>
                <w:rFonts w:ascii="Times New Roman"/>
                <w:sz w:val="20"/>
              </w:rPr>
            </w:pPr>
          </w:p>
        </w:tc>
        <w:tc>
          <w:tcPr>
            <w:tcW w:w="2821" w:type="dxa"/>
          </w:tcPr>
          <w:p>
            <w:pPr>
              <w:pStyle w:val="TableParagraph"/>
              <w:spacing w:before="82"/>
              <w:ind w:left="285" w:right="197" w:hanging="185"/>
              <w:rPr>
                <w:sz w:val="20"/>
              </w:rPr>
            </w:pPr>
            <w:r>
              <w:rPr>
                <w:sz w:val="20"/>
              </w:rPr>
              <w:t>Cancha para básquetbol con opción a voleibol</w:t>
            </w:r>
          </w:p>
        </w:tc>
        <w:tc>
          <w:tcPr>
            <w:tcW w:w="2333" w:type="dxa"/>
          </w:tcPr>
          <w:p>
            <w:pPr>
              <w:pStyle w:val="TableParagraph"/>
              <w:spacing w:before="82"/>
              <w:ind w:right="210"/>
              <w:jc w:val="right"/>
              <w:rPr>
                <w:sz w:val="20"/>
              </w:rPr>
            </w:pPr>
            <w:r>
              <w:rPr>
                <w:sz w:val="20"/>
              </w:rPr>
              <w:t>Municipal/ Regular</w:t>
            </w:r>
          </w:p>
        </w:tc>
      </w:tr>
      <w:tr>
        <w:trPr>
          <w:trHeight w:val="739" w:hRule="atLeast"/>
        </w:trPr>
        <w:tc>
          <w:tcPr>
            <w:tcW w:w="2093" w:type="dxa"/>
            <w:tcBorders>
              <w:right w:val="single" w:sz="4" w:space="0" w:color="000000"/>
            </w:tcBorders>
          </w:tcPr>
          <w:p>
            <w:pPr>
              <w:pStyle w:val="TableParagraph"/>
              <w:spacing w:before="82"/>
              <w:ind w:left="220" w:right="199" w:firstLine="21"/>
              <w:rPr>
                <w:sz w:val="20"/>
              </w:rPr>
            </w:pPr>
            <w:r>
              <w:rPr>
                <w:sz w:val="20"/>
              </w:rPr>
              <w:t>Cancha de Usos Múltiples La Joya</w:t>
            </w:r>
          </w:p>
        </w:tc>
        <w:tc>
          <w:tcPr>
            <w:tcW w:w="2402" w:type="dxa"/>
            <w:tcBorders>
              <w:left w:val="single" w:sz="4" w:space="0" w:color="000000"/>
            </w:tcBorders>
            <w:shd w:val="clear" w:color="auto" w:fill="CCCCCC"/>
          </w:tcPr>
          <w:p>
            <w:pPr>
              <w:pStyle w:val="TableParagraph"/>
              <w:spacing w:before="82"/>
              <w:ind w:left="1046"/>
              <w:rPr>
                <w:sz w:val="20"/>
              </w:rPr>
            </w:pPr>
            <w:r>
              <w:rPr>
                <w:sz w:val="20"/>
              </w:rPr>
              <w:t>La Joya</w:t>
            </w:r>
          </w:p>
        </w:tc>
        <w:tc>
          <w:tcPr>
            <w:tcW w:w="647" w:type="dxa"/>
            <w:shd w:val="clear" w:color="auto" w:fill="CCCCCC"/>
          </w:tcPr>
          <w:p>
            <w:pPr>
              <w:pStyle w:val="TableParagraph"/>
              <w:rPr>
                <w:rFonts w:ascii="Times New Roman"/>
                <w:sz w:val="20"/>
              </w:rPr>
            </w:pPr>
          </w:p>
        </w:tc>
        <w:tc>
          <w:tcPr>
            <w:tcW w:w="2821" w:type="dxa"/>
            <w:shd w:val="clear" w:color="auto" w:fill="CCCCCC"/>
          </w:tcPr>
          <w:p>
            <w:pPr>
              <w:pStyle w:val="TableParagraph"/>
              <w:spacing w:before="82"/>
              <w:ind w:left="285" w:right="197" w:hanging="185"/>
              <w:rPr>
                <w:sz w:val="20"/>
              </w:rPr>
            </w:pPr>
            <w:r>
              <w:rPr>
                <w:sz w:val="20"/>
              </w:rPr>
              <w:t>Cancha para básquetbol con opción a voleibol</w:t>
            </w:r>
          </w:p>
        </w:tc>
        <w:tc>
          <w:tcPr>
            <w:tcW w:w="2333" w:type="dxa"/>
            <w:shd w:val="clear" w:color="auto" w:fill="CCCCCC"/>
          </w:tcPr>
          <w:p>
            <w:pPr>
              <w:pStyle w:val="TableParagraph"/>
              <w:spacing w:before="82"/>
              <w:ind w:right="240"/>
              <w:jc w:val="right"/>
              <w:rPr>
                <w:sz w:val="20"/>
              </w:rPr>
            </w:pPr>
            <w:r>
              <w:rPr>
                <w:sz w:val="20"/>
              </w:rPr>
              <w:t>Municipal/Regular</w:t>
            </w:r>
          </w:p>
        </w:tc>
      </w:tr>
    </w:tbl>
    <w:p>
      <w:pPr>
        <w:spacing w:after="0"/>
        <w:jc w:val="right"/>
        <w:rPr>
          <w:sz w:val="20"/>
        </w:rPr>
        <w:sectPr>
          <w:pgSz w:w="12240" w:h="15840"/>
          <w:pgMar w:header="178" w:footer="1076" w:top="1120" w:bottom="1360" w:left="460" w:right="220"/>
        </w:sectPr>
      </w:pPr>
    </w:p>
    <w:p>
      <w:pPr>
        <w:pStyle w:val="BodyText"/>
        <w:rPr>
          <w:sz w:val="20"/>
        </w:rPr>
      </w:pPr>
    </w:p>
    <w:p>
      <w:pPr>
        <w:pStyle w:val="BodyText"/>
        <w:spacing w:before="1"/>
        <w:rPr>
          <w:sz w:val="21"/>
        </w:rPr>
      </w:pPr>
    </w:p>
    <w:tbl>
      <w:tblPr>
        <w:tblW w:w="0" w:type="auto"/>
        <w:jc w:val="left"/>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78"/>
        <w:gridCol w:w="2615"/>
        <w:gridCol w:w="3409"/>
        <w:gridCol w:w="2181"/>
      </w:tblGrid>
      <w:tr>
        <w:trPr>
          <w:trHeight w:val="895" w:hRule="atLeast"/>
        </w:trPr>
        <w:tc>
          <w:tcPr>
            <w:tcW w:w="2178" w:type="dxa"/>
            <w:tcBorders>
              <w:right w:val="single" w:sz="4" w:space="0" w:color="000000"/>
            </w:tcBorders>
          </w:tcPr>
          <w:p>
            <w:pPr>
              <w:pStyle w:val="TableParagraph"/>
              <w:spacing w:before="82"/>
              <w:ind w:left="442" w:right="354" w:firstLine="1"/>
              <w:jc w:val="center"/>
              <w:rPr>
                <w:sz w:val="20"/>
              </w:rPr>
            </w:pPr>
            <w:r>
              <w:rPr>
                <w:sz w:val="20"/>
              </w:rPr>
              <w:t>Cancha de Básquetbol La Estación</w:t>
            </w:r>
          </w:p>
        </w:tc>
        <w:tc>
          <w:tcPr>
            <w:tcW w:w="2615" w:type="dxa"/>
            <w:tcBorders>
              <w:left w:val="single" w:sz="4" w:space="0" w:color="000000"/>
            </w:tcBorders>
          </w:tcPr>
          <w:p>
            <w:pPr>
              <w:pStyle w:val="TableParagraph"/>
              <w:spacing w:before="82"/>
              <w:ind w:left="845" w:right="368" w:hanging="219"/>
              <w:rPr>
                <w:sz w:val="20"/>
              </w:rPr>
            </w:pPr>
            <w:r>
              <w:rPr>
                <w:sz w:val="20"/>
              </w:rPr>
              <w:t>Col. La Estación, Magdalena</w:t>
            </w:r>
          </w:p>
        </w:tc>
        <w:tc>
          <w:tcPr>
            <w:tcW w:w="3409" w:type="dxa"/>
          </w:tcPr>
          <w:p>
            <w:pPr>
              <w:pStyle w:val="TableParagraph"/>
              <w:spacing w:before="82"/>
              <w:ind w:left="354" w:right="192"/>
              <w:jc w:val="center"/>
              <w:rPr>
                <w:sz w:val="20"/>
              </w:rPr>
            </w:pPr>
            <w:r>
              <w:rPr>
                <w:sz w:val="20"/>
              </w:rPr>
              <w:t>Cancha para básquetbol</w:t>
            </w:r>
          </w:p>
        </w:tc>
        <w:tc>
          <w:tcPr>
            <w:tcW w:w="2181" w:type="dxa"/>
          </w:tcPr>
          <w:p>
            <w:pPr>
              <w:pStyle w:val="TableParagraph"/>
              <w:spacing w:before="82"/>
              <w:ind w:left="172" w:right="254"/>
              <w:jc w:val="center"/>
              <w:rPr>
                <w:sz w:val="20"/>
              </w:rPr>
            </w:pPr>
            <w:r>
              <w:rPr>
                <w:sz w:val="20"/>
              </w:rPr>
              <w:t>Ejidal/Mal estado</w:t>
            </w:r>
          </w:p>
        </w:tc>
      </w:tr>
      <w:tr>
        <w:trPr>
          <w:trHeight w:val="739" w:hRule="atLeast"/>
        </w:trPr>
        <w:tc>
          <w:tcPr>
            <w:tcW w:w="2178" w:type="dxa"/>
            <w:tcBorders>
              <w:right w:val="single" w:sz="4" w:space="0" w:color="000000"/>
            </w:tcBorders>
          </w:tcPr>
          <w:p>
            <w:pPr>
              <w:pStyle w:val="TableParagraph"/>
              <w:spacing w:before="84"/>
              <w:ind w:left="634" w:right="124" w:hanging="407"/>
              <w:rPr>
                <w:sz w:val="20"/>
              </w:rPr>
            </w:pPr>
            <w:r>
              <w:rPr>
                <w:sz w:val="20"/>
              </w:rPr>
              <w:t>Campo de Béisbol San Simón</w:t>
            </w:r>
          </w:p>
        </w:tc>
        <w:tc>
          <w:tcPr>
            <w:tcW w:w="2615" w:type="dxa"/>
            <w:tcBorders>
              <w:left w:val="single" w:sz="4" w:space="0" w:color="000000"/>
            </w:tcBorders>
            <w:shd w:val="clear" w:color="auto" w:fill="CCCCCC"/>
          </w:tcPr>
          <w:p>
            <w:pPr>
              <w:pStyle w:val="TableParagraph"/>
              <w:spacing w:before="84"/>
              <w:ind w:left="812" w:right="578"/>
              <w:jc w:val="center"/>
              <w:rPr>
                <w:sz w:val="20"/>
              </w:rPr>
            </w:pPr>
            <w:r>
              <w:rPr>
                <w:sz w:val="20"/>
              </w:rPr>
              <w:t>San Simón</w:t>
            </w:r>
          </w:p>
        </w:tc>
        <w:tc>
          <w:tcPr>
            <w:tcW w:w="3409" w:type="dxa"/>
            <w:shd w:val="clear" w:color="auto" w:fill="CCCCCC"/>
          </w:tcPr>
          <w:p>
            <w:pPr>
              <w:pStyle w:val="TableParagraph"/>
              <w:spacing w:before="84"/>
              <w:ind w:left="356" w:right="192"/>
              <w:jc w:val="center"/>
              <w:rPr>
                <w:sz w:val="20"/>
              </w:rPr>
            </w:pPr>
            <w:r>
              <w:rPr>
                <w:sz w:val="20"/>
              </w:rPr>
              <w:t>Campo para béisbol</w:t>
            </w:r>
          </w:p>
        </w:tc>
        <w:tc>
          <w:tcPr>
            <w:tcW w:w="2181" w:type="dxa"/>
            <w:shd w:val="clear" w:color="auto" w:fill="CCCCCC"/>
          </w:tcPr>
          <w:p>
            <w:pPr>
              <w:pStyle w:val="TableParagraph"/>
              <w:spacing w:before="84"/>
              <w:ind w:left="172" w:right="254"/>
              <w:jc w:val="center"/>
              <w:rPr>
                <w:sz w:val="20"/>
              </w:rPr>
            </w:pPr>
            <w:r>
              <w:rPr>
                <w:sz w:val="20"/>
              </w:rPr>
              <w:t>Ejidal/ Bueno</w:t>
            </w:r>
          </w:p>
        </w:tc>
      </w:tr>
      <w:tr>
        <w:trPr>
          <w:trHeight w:val="1144" w:hRule="atLeast"/>
        </w:trPr>
        <w:tc>
          <w:tcPr>
            <w:tcW w:w="2178" w:type="dxa"/>
            <w:tcBorders>
              <w:right w:val="single" w:sz="4" w:space="0" w:color="000000"/>
            </w:tcBorders>
          </w:tcPr>
          <w:p>
            <w:pPr>
              <w:pStyle w:val="TableParagraph"/>
              <w:spacing w:before="10"/>
              <w:rPr>
                <w:sz w:val="26"/>
              </w:rPr>
            </w:pPr>
          </w:p>
          <w:p>
            <w:pPr>
              <w:pStyle w:val="TableParagraph"/>
              <w:ind w:left="306" w:right="221"/>
              <w:jc w:val="center"/>
              <w:rPr>
                <w:sz w:val="20"/>
              </w:rPr>
            </w:pPr>
            <w:r>
              <w:rPr>
                <w:sz w:val="20"/>
              </w:rPr>
              <w:t>Cancha de Usos Múltiples Santa María</w:t>
            </w:r>
          </w:p>
        </w:tc>
        <w:tc>
          <w:tcPr>
            <w:tcW w:w="2615" w:type="dxa"/>
            <w:tcBorders>
              <w:left w:val="single" w:sz="4" w:space="0" w:color="000000"/>
            </w:tcBorders>
          </w:tcPr>
          <w:p>
            <w:pPr>
              <w:pStyle w:val="TableParagraph"/>
              <w:spacing w:before="10"/>
              <w:rPr>
                <w:sz w:val="26"/>
              </w:rPr>
            </w:pPr>
          </w:p>
          <w:p>
            <w:pPr>
              <w:pStyle w:val="TableParagraph"/>
              <w:ind w:left="816" w:right="578"/>
              <w:jc w:val="center"/>
              <w:rPr>
                <w:sz w:val="20"/>
              </w:rPr>
            </w:pPr>
            <w:r>
              <w:rPr>
                <w:sz w:val="20"/>
              </w:rPr>
              <w:t>Santa María</w:t>
            </w:r>
          </w:p>
        </w:tc>
        <w:tc>
          <w:tcPr>
            <w:tcW w:w="3409" w:type="dxa"/>
          </w:tcPr>
          <w:p>
            <w:pPr>
              <w:pStyle w:val="TableParagraph"/>
              <w:spacing w:before="84"/>
              <w:ind w:left="719" w:right="351" w:hanging="185"/>
              <w:rPr>
                <w:sz w:val="20"/>
              </w:rPr>
            </w:pPr>
            <w:r>
              <w:rPr>
                <w:sz w:val="20"/>
              </w:rPr>
              <w:t>Cancha para básquetbol con opción a voleibol</w:t>
            </w:r>
          </w:p>
        </w:tc>
        <w:tc>
          <w:tcPr>
            <w:tcW w:w="2181" w:type="dxa"/>
          </w:tcPr>
          <w:p>
            <w:pPr>
              <w:pStyle w:val="TableParagraph"/>
              <w:spacing w:before="10"/>
              <w:rPr>
                <w:sz w:val="26"/>
              </w:rPr>
            </w:pPr>
          </w:p>
          <w:p>
            <w:pPr>
              <w:pStyle w:val="TableParagraph"/>
              <w:ind w:left="174" w:right="254"/>
              <w:jc w:val="center"/>
              <w:rPr>
                <w:sz w:val="20"/>
              </w:rPr>
            </w:pPr>
            <w:r>
              <w:rPr>
                <w:sz w:val="20"/>
              </w:rPr>
              <w:t>Municipal/ Bueno</w:t>
            </w:r>
          </w:p>
        </w:tc>
      </w:tr>
      <w:tr>
        <w:trPr>
          <w:trHeight w:val="1142" w:hRule="atLeast"/>
        </w:trPr>
        <w:tc>
          <w:tcPr>
            <w:tcW w:w="2178" w:type="dxa"/>
            <w:tcBorders>
              <w:right w:val="single" w:sz="4" w:space="0" w:color="000000"/>
            </w:tcBorders>
          </w:tcPr>
          <w:p>
            <w:pPr>
              <w:pStyle w:val="TableParagraph"/>
              <w:spacing w:before="80"/>
              <w:ind w:left="306" w:right="221"/>
              <w:jc w:val="center"/>
              <w:rPr>
                <w:sz w:val="20"/>
              </w:rPr>
            </w:pPr>
            <w:r>
              <w:rPr>
                <w:sz w:val="20"/>
              </w:rPr>
              <w:t>Cancha de Usos Múltiples Idolina Gaona Ruiz</w:t>
            </w:r>
          </w:p>
        </w:tc>
        <w:tc>
          <w:tcPr>
            <w:tcW w:w="2615" w:type="dxa"/>
            <w:tcBorders>
              <w:left w:val="single" w:sz="4" w:space="0" w:color="000000"/>
            </w:tcBorders>
          </w:tcPr>
          <w:p>
            <w:pPr>
              <w:pStyle w:val="TableParagraph"/>
              <w:spacing w:before="80"/>
              <w:ind w:left="845" w:right="358" w:hanging="231"/>
              <w:rPr>
                <w:sz w:val="20"/>
              </w:rPr>
            </w:pPr>
            <w:r>
              <w:rPr>
                <w:sz w:val="20"/>
              </w:rPr>
              <w:t>Col. El Santuario, Magdalena</w:t>
            </w:r>
          </w:p>
        </w:tc>
        <w:tc>
          <w:tcPr>
            <w:tcW w:w="3409" w:type="dxa"/>
          </w:tcPr>
          <w:p>
            <w:pPr>
              <w:pStyle w:val="TableParagraph"/>
              <w:spacing w:before="80"/>
              <w:ind w:left="356" w:right="192"/>
              <w:jc w:val="center"/>
              <w:rPr>
                <w:sz w:val="20"/>
              </w:rPr>
            </w:pPr>
            <w:r>
              <w:rPr>
                <w:sz w:val="20"/>
              </w:rPr>
              <w:t>- Cancha de básquetbol con opción a voleibol</w:t>
            </w:r>
          </w:p>
          <w:p>
            <w:pPr>
              <w:pStyle w:val="TableParagraph"/>
              <w:spacing w:line="245" w:lineRule="exact" w:before="2"/>
              <w:ind w:left="352" w:right="192"/>
              <w:jc w:val="center"/>
              <w:rPr>
                <w:sz w:val="20"/>
              </w:rPr>
            </w:pPr>
            <w:r>
              <w:rPr>
                <w:sz w:val="20"/>
              </w:rPr>
              <w:t>-1 área de juegos infantiles</w:t>
            </w:r>
          </w:p>
          <w:p>
            <w:pPr>
              <w:pStyle w:val="TableParagraph"/>
              <w:spacing w:line="245" w:lineRule="exact"/>
              <w:ind w:left="356" w:right="191"/>
              <w:jc w:val="center"/>
              <w:rPr>
                <w:sz w:val="20"/>
              </w:rPr>
            </w:pPr>
            <w:r>
              <w:rPr>
                <w:sz w:val="20"/>
              </w:rPr>
              <w:t>- 1 gimnasio al aire libre</w:t>
            </w:r>
          </w:p>
        </w:tc>
        <w:tc>
          <w:tcPr>
            <w:tcW w:w="2181" w:type="dxa"/>
          </w:tcPr>
          <w:p>
            <w:pPr>
              <w:pStyle w:val="TableParagraph"/>
              <w:spacing w:before="80"/>
              <w:ind w:left="170" w:right="254"/>
              <w:jc w:val="center"/>
              <w:rPr>
                <w:sz w:val="20"/>
              </w:rPr>
            </w:pPr>
            <w:r>
              <w:rPr>
                <w:sz w:val="20"/>
              </w:rPr>
              <w:t>Municipal/Bueno</w:t>
            </w:r>
          </w:p>
        </w:tc>
      </w:tr>
      <w:tr>
        <w:trPr>
          <w:trHeight w:val="1140" w:hRule="atLeast"/>
        </w:trPr>
        <w:tc>
          <w:tcPr>
            <w:tcW w:w="2178" w:type="dxa"/>
            <w:tcBorders>
              <w:right w:val="single" w:sz="4" w:space="0" w:color="000000"/>
            </w:tcBorders>
          </w:tcPr>
          <w:p>
            <w:pPr>
              <w:pStyle w:val="TableParagraph"/>
              <w:spacing w:before="80"/>
              <w:ind w:left="654" w:right="116" w:hanging="433"/>
              <w:rPr>
                <w:sz w:val="20"/>
              </w:rPr>
            </w:pPr>
            <w:r>
              <w:rPr>
                <w:sz w:val="20"/>
              </w:rPr>
              <w:t>Parque Recreativo La Cañita</w:t>
            </w:r>
          </w:p>
        </w:tc>
        <w:tc>
          <w:tcPr>
            <w:tcW w:w="2615" w:type="dxa"/>
            <w:tcBorders>
              <w:left w:val="single" w:sz="4" w:space="0" w:color="000000"/>
            </w:tcBorders>
          </w:tcPr>
          <w:p>
            <w:pPr>
              <w:pStyle w:val="TableParagraph"/>
              <w:spacing w:before="80"/>
              <w:ind w:left="845" w:right="440" w:hanging="145"/>
              <w:rPr>
                <w:sz w:val="20"/>
              </w:rPr>
            </w:pPr>
            <w:r>
              <w:rPr>
                <w:sz w:val="20"/>
              </w:rPr>
              <w:t>Col. La Cañita, Magdalena</w:t>
            </w:r>
          </w:p>
        </w:tc>
        <w:tc>
          <w:tcPr>
            <w:tcW w:w="3409" w:type="dxa"/>
          </w:tcPr>
          <w:p>
            <w:pPr>
              <w:pStyle w:val="TableParagraph"/>
              <w:spacing w:line="245" w:lineRule="exact" w:before="80"/>
              <w:ind w:left="356" w:right="191"/>
              <w:jc w:val="center"/>
              <w:rPr>
                <w:sz w:val="20"/>
              </w:rPr>
            </w:pPr>
            <w:r>
              <w:rPr>
                <w:sz w:val="20"/>
              </w:rPr>
              <w:t>- Juegos infantiles</w:t>
            </w:r>
          </w:p>
          <w:p>
            <w:pPr>
              <w:pStyle w:val="TableParagraph"/>
              <w:ind w:left="356" w:right="190"/>
              <w:jc w:val="center"/>
              <w:rPr>
                <w:sz w:val="20"/>
              </w:rPr>
            </w:pPr>
            <w:r>
              <w:rPr>
                <w:sz w:val="20"/>
              </w:rPr>
              <w:t>- Cancha para</w:t>
            </w:r>
            <w:r>
              <w:rPr>
                <w:spacing w:val="-13"/>
                <w:sz w:val="20"/>
              </w:rPr>
              <w:t> </w:t>
            </w:r>
            <w:r>
              <w:rPr>
                <w:sz w:val="20"/>
              </w:rPr>
              <w:t>básquetbol con opción a</w:t>
            </w:r>
            <w:r>
              <w:rPr>
                <w:spacing w:val="-3"/>
                <w:sz w:val="20"/>
              </w:rPr>
              <w:t> </w:t>
            </w:r>
            <w:r>
              <w:rPr>
                <w:sz w:val="20"/>
              </w:rPr>
              <w:t>voleibol</w:t>
            </w:r>
          </w:p>
          <w:p>
            <w:pPr>
              <w:pStyle w:val="TableParagraph"/>
              <w:spacing w:line="244" w:lineRule="exact"/>
              <w:ind w:left="356" w:right="189"/>
              <w:jc w:val="center"/>
              <w:rPr>
                <w:sz w:val="20"/>
              </w:rPr>
            </w:pPr>
            <w:r>
              <w:rPr>
                <w:sz w:val="20"/>
              </w:rPr>
              <w:t>- gimnasio al aire</w:t>
            </w:r>
            <w:r>
              <w:rPr>
                <w:spacing w:val="-8"/>
                <w:sz w:val="20"/>
              </w:rPr>
              <w:t> </w:t>
            </w:r>
            <w:r>
              <w:rPr>
                <w:sz w:val="20"/>
              </w:rPr>
              <w:t>libre</w:t>
            </w:r>
          </w:p>
        </w:tc>
        <w:tc>
          <w:tcPr>
            <w:tcW w:w="2181" w:type="dxa"/>
          </w:tcPr>
          <w:p>
            <w:pPr>
              <w:pStyle w:val="TableParagraph"/>
              <w:spacing w:before="80"/>
              <w:ind w:left="170" w:right="254"/>
              <w:jc w:val="center"/>
              <w:rPr>
                <w:sz w:val="20"/>
              </w:rPr>
            </w:pPr>
            <w:r>
              <w:rPr>
                <w:sz w:val="20"/>
              </w:rPr>
              <w:t>Municipal/Bueno</w:t>
            </w:r>
          </w:p>
        </w:tc>
      </w:tr>
      <w:tr>
        <w:trPr>
          <w:trHeight w:val="1632" w:hRule="atLeast"/>
        </w:trPr>
        <w:tc>
          <w:tcPr>
            <w:tcW w:w="2178" w:type="dxa"/>
            <w:tcBorders>
              <w:right w:val="single" w:sz="4" w:space="0" w:color="000000"/>
            </w:tcBorders>
          </w:tcPr>
          <w:p>
            <w:pPr>
              <w:pStyle w:val="TableParagraph"/>
              <w:spacing w:before="80"/>
              <w:ind w:left="598" w:right="191" w:hanging="303"/>
              <w:rPr>
                <w:sz w:val="20"/>
              </w:rPr>
            </w:pPr>
            <w:r>
              <w:rPr>
                <w:sz w:val="20"/>
              </w:rPr>
              <w:t>Parque Temático Los Llanitos</w:t>
            </w:r>
          </w:p>
        </w:tc>
        <w:tc>
          <w:tcPr>
            <w:tcW w:w="2615" w:type="dxa"/>
            <w:tcBorders>
              <w:left w:val="single" w:sz="4" w:space="0" w:color="000000"/>
            </w:tcBorders>
          </w:tcPr>
          <w:p>
            <w:pPr>
              <w:pStyle w:val="TableParagraph"/>
              <w:spacing w:before="80"/>
              <w:ind w:left="845" w:right="338" w:hanging="251"/>
              <w:rPr>
                <w:sz w:val="20"/>
              </w:rPr>
            </w:pPr>
            <w:r>
              <w:rPr>
                <w:sz w:val="20"/>
              </w:rPr>
              <w:t>Col. La Ladrillera, Magdalena</w:t>
            </w:r>
          </w:p>
        </w:tc>
        <w:tc>
          <w:tcPr>
            <w:tcW w:w="3409" w:type="dxa"/>
          </w:tcPr>
          <w:p>
            <w:pPr>
              <w:pStyle w:val="TableParagraph"/>
              <w:numPr>
                <w:ilvl w:val="0"/>
                <w:numId w:val="29"/>
              </w:numPr>
              <w:tabs>
                <w:tab w:pos="580" w:val="left" w:leader="none"/>
              </w:tabs>
              <w:spacing w:line="245" w:lineRule="exact" w:before="80" w:after="0"/>
              <w:ind w:left="580" w:right="0" w:hanging="418"/>
              <w:jc w:val="left"/>
              <w:rPr>
                <w:sz w:val="20"/>
              </w:rPr>
            </w:pPr>
            <w:r>
              <w:rPr>
                <w:sz w:val="20"/>
              </w:rPr>
              <w:t>1 área de juegos</w:t>
            </w:r>
            <w:r>
              <w:rPr>
                <w:spacing w:val="-7"/>
                <w:sz w:val="20"/>
              </w:rPr>
              <w:t> </w:t>
            </w:r>
            <w:r>
              <w:rPr>
                <w:sz w:val="20"/>
              </w:rPr>
              <w:t>infantiles</w:t>
            </w:r>
          </w:p>
          <w:p>
            <w:pPr>
              <w:pStyle w:val="TableParagraph"/>
              <w:numPr>
                <w:ilvl w:val="0"/>
                <w:numId w:val="29"/>
              </w:numPr>
              <w:tabs>
                <w:tab w:pos="628" w:val="left" w:leader="none"/>
              </w:tabs>
              <w:spacing w:line="240" w:lineRule="auto" w:before="0" w:after="0"/>
              <w:ind w:left="462" w:right="293" w:hanging="2"/>
              <w:jc w:val="left"/>
              <w:rPr>
                <w:sz w:val="20"/>
              </w:rPr>
            </w:pPr>
            <w:r>
              <w:rPr>
                <w:sz w:val="20"/>
              </w:rPr>
              <w:t>Cancha de fútbol rápido con opción a básquetbol y voleibol</w:t>
            </w:r>
          </w:p>
          <w:p>
            <w:pPr>
              <w:pStyle w:val="TableParagraph"/>
              <w:spacing w:line="245" w:lineRule="exact" w:before="1"/>
              <w:ind w:left="356" w:right="191"/>
              <w:jc w:val="center"/>
              <w:rPr>
                <w:sz w:val="20"/>
              </w:rPr>
            </w:pPr>
            <w:r>
              <w:rPr>
                <w:sz w:val="20"/>
              </w:rPr>
              <w:t>- 1 gimnasio al aire libre</w:t>
            </w:r>
          </w:p>
          <w:p>
            <w:pPr>
              <w:pStyle w:val="TableParagraph"/>
              <w:spacing w:line="245" w:lineRule="exact"/>
              <w:ind w:left="356" w:right="192"/>
              <w:jc w:val="center"/>
              <w:rPr>
                <w:sz w:val="20"/>
              </w:rPr>
            </w:pPr>
            <w:r>
              <w:rPr>
                <w:sz w:val="20"/>
              </w:rPr>
              <w:t>- señalética de temática vial</w:t>
            </w:r>
          </w:p>
        </w:tc>
        <w:tc>
          <w:tcPr>
            <w:tcW w:w="2181" w:type="dxa"/>
          </w:tcPr>
          <w:p>
            <w:pPr>
              <w:pStyle w:val="TableParagraph"/>
              <w:spacing w:before="80"/>
              <w:ind w:left="168" w:right="254"/>
              <w:jc w:val="center"/>
              <w:rPr>
                <w:sz w:val="20"/>
              </w:rPr>
            </w:pPr>
            <w:r>
              <w:rPr>
                <w:sz w:val="20"/>
              </w:rPr>
              <w:t>Municipio/Bueno</w:t>
            </w:r>
          </w:p>
        </w:tc>
      </w:tr>
      <w:tr>
        <w:trPr>
          <w:trHeight w:val="1138" w:hRule="atLeast"/>
        </w:trPr>
        <w:tc>
          <w:tcPr>
            <w:tcW w:w="2178" w:type="dxa"/>
            <w:tcBorders>
              <w:right w:val="single" w:sz="4" w:space="0" w:color="000000"/>
            </w:tcBorders>
          </w:tcPr>
          <w:p>
            <w:pPr>
              <w:pStyle w:val="TableParagraph"/>
              <w:spacing w:before="80"/>
              <w:ind w:left="322" w:right="91" w:hanging="123"/>
              <w:rPr>
                <w:sz w:val="20"/>
              </w:rPr>
            </w:pPr>
            <w:r>
              <w:rPr>
                <w:sz w:val="20"/>
              </w:rPr>
              <w:t>Parque Urbano Luis Donaldo Colosio</w:t>
            </w:r>
          </w:p>
        </w:tc>
        <w:tc>
          <w:tcPr>
            <w:tcW w:w="2615" w:type="dxa"/>
            <w:tcBorders>
              <w:left w:val="single" w:sz="4" w:space="0" w:color="000000"/>
            </w:tcBorders>
          </w:tcPr>
          <w:p>
            <w:pPr>
              <w:pStyle w:val="TableParagraph"/>
              <w:spacing w:before="80"/>
              <w:ind w:left="845" w:right="494" w:hanging="95"/>
              <w:rPr>
                <w:sz w:val="20"/>
              </w:rPr>
            </w:pPr>
            <w:r>
              <w:rPr>
                <w:sz w:val="20"/>
              </w:rPr>
              <w:t>Col. Los Pinos, Magdalena</w:t>
            </w:r>
          </w:p>
        </w:tc>
        <w:tc>
          <w:tcPr>
            <w:tcW w:w="3409" w:type="dxa"/>
          </w:tcPr>
          <w:p>
            <w:pPr>
              <w:pStyle w:val="TableParagraph"/>
              <w:spacing w:line="245" w:lineRule="exact" w:before="80"/>
              <w:ind w:left="354" w:right="192"/>
              <w:jc w:val="center"/>
              <w:rPr>
                <w:sz w:val="20"/>
              </w:rPr>
            </w:pPr>
            <w:r>
              <w:rPr>
                <w:sz w:val="20"/>
              </w:rPr>
              <w:t>- 1 área de juegos infantiles</w:t>
            </w:r>
          </w:p>
          <w:p>
            <w:pPr>
              <w:pStyle w:val="TableParagraph"/>
              <w:spacing w:line="245" w:lineRule="exact"/>
              <w:ind w:left="356" w:right="192"/>
              <w:jc w:val="center"/>
              <w:rPr>
                <w:sz w:val="20"/>
              </w:rPr>
            </w:pPr>
            <w:r>
              <w:rPr>
                <w:sz w:val="20"/>
              </w:rPr>
              <w:t>- zona de skatepark</w:t>
            </w:r>
          </w:p>
          <w:p>
            <w:pPr>
              <w:pStyle w:val="TableParagraph"/>
              <w:spacing w:line="245" w:lineRule="exact"/>
              <w:ind w:left="355" w:right="192"/>
              <w:jc w:val="center"/>
              <w:rPr>
                <w:sz w:val="20"/>
              </w:rPr>
            </w:pPr>
            <w:r>
              <w:rPr>
                <w:sz w:val="20"/>
              </w:rPr>
              <w:t>- zona de terrazas</w:t>
            </w:r>
          </w:p>
          <w:p>
            <w:pPr>
              <w:pStyle w:val="TableParagraph"/>
              <w:spacing w:line="245" w:lineRule="exact"/>
              <w:ind w:left="356" w:right="191"/>
              <w:jc w:val="center"/>
              <w:rPr>
                <w:sz w:val="20"/>
              </w:rPr>
            </w:pPr>
            <w:r>
              <w:rPr>
                <w:sz w:val="20"/>
              </w:rPr>
              <w:t>- 1 gimnasio al aire libre</w:t>
            </w:r>
          </w:p>
        </w:tc>
        <w:tc>
          <w:tcPr>
            <w:tcW w:w="2181" w:type="dxa"/>
          </w:tcPr>
          <w:p>
            <w:pPr>
              <w:pStyle w:val="TableParagraph"/>
              <w:spacing w:before="80"/>
              <w:ind w:left="168" w:right="254"/>
              <w:jc w:val="center"/>
              <w:rPr>
                <w:sz w:val="20"/>
              </w:rPr>
            </w:pPr>
            <w:r>
              <w:rPr>
                <w:sz w:val="20"/>
              </w:rPr>
              <w:t>Municipio/Bueno</w:t>
            </w:r>
          </w:p>
        </w:tc>
      </w:tr>
    </w:tbl>
    <w:p>
      <w:pPr>
        <w:pStyle w:val="BodyText"/>
        <w:spacing w:before="9"/>
        <w:rPr>
          <w:sz w:val="11"/>
        </w:rPr>
      </w:pPr>
    </w:p>
    <w:p>
      <w:pPr>
        <w:spacing w:before="101"/>
        <w:ind w:left="1001" w:right="1258" w:firstLine="0"/>
        <w:jc w:val="center"/>
        <w:rPr>
          <w:sz w:val="15"/>
        </w:rPr>
      </w:pPr>
      <w:r>
        <w:rPr>
          <w:b/>
          <w:sz w:val="15"/>
        </w:rPr>
        <w:t>Fuente</w:t>
      </w:r>
      <w:r>
        <w:rPr>
          <w:sz w:val="15"/>
        </w:rPr>
        <w:t>: Dirección de Desarrollo Urbano del Ayuntamiento de Magdalena, Jalisco</w:t>
      </w:r>
    </w:p>
    <w:p>
      <w:pPr>
        <w:pStyle w:val="BodyText"/>
        <w:rPr>
          <w:sz w:val="20"/>
        </w:rPr>
      </w:pPr>
    </w:p>
    <w:p>
      <w:pPr>
        <w:pStyle w:val="BodyText"/>
        <w:spacing w:before="11"/>
        <w:rPr>
          <w:sz w:val="19"/>
        </w:rPr>
      </w:pPr>
    </w:p>
    <w:p>
      <w:pPr>
        <w:pStyle w:val="Heading2"/>
        <w:spacing w:before="100"/>
        <w:rPr>
          <w:rFonts w:ascii="Century Gothic" w:hAnsi="Century Gothic"/>
        </w:rPr>
      </w:pPr>
      <w:r>
        <w:rPr>
          <w:rFonts w:ascii="Century Gothic" w:hAnsi="Century Gothic"/>
        </w:rPr>
        <w:t>Recreación</w:t>
      </w:r>
    </w:p>
    <w:p>
      <w:pPr>
        <w:pStyle w:val="BodyText"/>
        <w:spacing w:before="10"/>
        <w:rPr>
          <w:b/>
          <w:sz w:val="23"/>
        </w:rPr>
      </w:pPr>
    </w:p>
    <w:p>
      <w:pPr>
        <w:pStyle w:val="BodyText"/>
        <w:spacing w:line="276" w:lineRule="auto" w:before="1"/>
        <w:ind w:left="901" w:right="1155"/>
        <w:jc w:val="both"/>
      </w:pPr>
      <w:r>
        <w:rPr/>
        <w:t>En cuanto a espacios para la recreación y la cultura, el municipio cuenta con </w:t>
      </w:r>
      <w:r>
        <w:rPr>
          <w:spacing w:val="-3"/>
        </w:rPr>
        <w:t>un</w:t>
      </w:r>
      <w:r>
        <w:rPr>
          <w:spacing w:val="54"/>
        </w:rPr>
        <w:t> </w:t>
      </w:r>
      <w:r>
        <w:rPr/>
        <w:t>Auditorio Municipal y una Casa de la Cultura, los cuales son utilizados para diversas actividades culturales con el fin de proporcionar entretenimiento y sano esparcimiento a la</w:t>
      </w:r>
      <w:r>
        <w:rPr>
          <w:spacing w:val="-3"/>
        </w:rPr>
        <w:t> </w:t>
      </w:r>
      <w:r>
        <w:rPr/>
        <w:t>población.</w:t>
      </w:r>
    </w:p>
    <w:p>
      <w:pPr>
        <w:pStyle w:val="BodyText"/>
        <w:spacing w:before="6"/>
        <w:rPr>
          <w:sz w:val="25"/>
        </w:rPr>
      </w:pPr>
    </w:p>
    <w:p>
      <w:pPr>
        <w:pStyle w:val="BodyText"/>
        <w:spacing w:line="276" w:lineRule="auto"/>
        <w:ind w:left="901" w:right="1155"/>
        <w:jc w:val="both"/>
      </w:pPr>
      <w:r>
        <w:rPr/>
        <w:t>En la oferta cultural tenemos talleres como: folclor juvenil, folclor infantil, pintura, tejido artesanal, danza árabe, ballet clásico, ritmo latino y urbano, música en cuerdas, música en cualquier instrumento y el Escuadrón de Niñas Exploradoras e Innovadoras. También predomina la enseñanza formal de música a través del Núcleo ECOS Música para el Desarrollo.</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6"/>
        <w:jc w:val="both"/>
      </w:pPr>
      <w:r>
        <w:rPr/>
        <w:t>Sin duda la más importante área de recreación es la Plaza Cívica, tanto en la cabecera municipal como en las localidades, además en la cabecera se cuenta con la cancha ubicada a un costado de la misma plaza donde el Ayuntamiento lleva acabo eventos culturales, deportivos, sociales y de recreación al igual en las localidades del municipio.</w:t>
      </w:r>
    </w:p>
    <w:p>
      <w:pPr>
        <w:pStyle w:val="BodyText"/>
        <w:spacing w:before="1"/>
        <w:rPr>
          <w:sz w:val="24"/>
        </w:rPr>
      </w:pPr>
    </w:p>
    <w:p>
      <w:pPr>
        <w:pStyle w:val="BodyText"/>
        <w:spacing w:line="276" w:lineRule="auto"/>
        <w:ind w:left="901" w:right="1156"/>
        <w:jc w:val="both"/>
      </w:pPr>
      <w:r>
        <w:rPr/>
        <w:t>Sin embargo, las actividades de recreación en el municipio siguen siendo escasas y es importante ampliar con apoyo de entidades estatales u organismos privados, la oferta de actividades que involucren, sobre todo, a la población joven del municipio.</w:t>
      </w:r>
    </w:p>
    <w:p>
      <w:pPr>
        <w:pStyle w:val="BodyText"/>
        <w:spacing w:before="11"/>
        <w:rPr>
          <w:sz w:val="23"/>
        </w:rPr>
      </w:pPr>
    </w:p>
    <w:p>
      <w:pPr>
        <w:pStyle w:val="Heading4"/>
        <w:spacing w:before="1"/>
        <w:jc w:val="both"/>
      </w:pPr>
      <w:r>
        <w:rPr/>
        <w:t>Pobreza Multidimensional</w:t>
      </w:r>
    </w:p>
    <w:p>
      <w:pPr>
        <w:pStyle w:val="BodyText"/>
        <w:spacing w:before="9"/>
        <w:rPr>
          <w:b/>
          <w:sz w:val="28"/>
        </w:rPr>
      </w:pPr>
    </w:p>
    <w:p>
      <w:pPr>
        <w:pStyle w:val="BodyText"/>
        <w:spacing w:line="276" w:lineRule="auto"/>
        <w:ind w:left="901" w:right="1154"/>
        <w:jc w:val="both"/>
      </w:pPr>
      <w:r>
        <w:rPr/>
        <w:t>Según la ficha municipal de Magdalena, elaborada por IIEG, “la pobreza, está asociada a condiciones de vida que vulneran la dignidad de las personas, limitan sus derechos y libertades fundamentales, impiden la satisfacción de sus necesidades básicas e imposibilitan su plena integración social. De acuerdo con esta concepción, una persona se considera en situación de pobreza multidimensional cuando sus ingresos son insuficientes para adquirir los bienes y los servicios que requiere para satisfacer sus necesidades y presenta carencia en al menos uno de los siguientes seis indicadores: rezago educativo, acceso a los servicios de salud, alimentación, acceso a la seguridad social, calidad y espacios de la vivienda y servicios básicos en la</w:t>
      </w:r>
      <w:r>
        <w:rPr>
          <w:spacing w:val="-22"/>
        </w:rPr>
        <w:t> </w:t>
      </w:r>
      <w:r>
        <w:rPr/>
        <w:t>vivienda.</w:t>
      </w:r>
    </w:p>
    <w:p>
      <w:pPr>
        <w:pStyle w:val="BodyText"/>
        <w:spacing w:before="2"/>
        <w:rPr>
          <w:sz w:val="25"/>
        </w:rPr>
      </w:pPr>
    </w:p>
    <w:p>
      <w:pPr>
        <w:pStyle w:val="BodyText"/>
        <w:spacing w:line="276" w:lineRule="auto"/>
        <w:ind w:left="901" w:right="1156"/>
        <w:jc w:val="both"/>
      </w:pPr>
      <w:r>
        <w:rPr/>
        <w:t>La nueva metodología para medir el fenómeno de la pobreza fue desarrollada por el CONEVAL y permite profundizar en el estudio de la pobreza, ya que además de medir los ingresos, como tradicionalmente se realizaba, se analizan las carencias sociales desde una óptica de los derechos sociales.</w:t>
      </w:r>
    </w:p>
    <w:p>
      <w:pPr>
        <w:pStyle w:val="BodyText"/>
        <w:spacing w:before="4"/>
        <w:rPr>
          <w:sz w:val="25"/>
        </w:rPr>
      </w:pPr>
    </w:p>
    <w:p>
      <w:pPr>
        <w:pStyle w:val="BodyText"/>
        <w:spacing w:line="276" w:lineRule="auto"/>
        <w:ind w:left="901" w:right="1156"/>
        <w:jc w:val="both"/>
      </w:pPr>
      <w:r>
        <w:rPr/>
        <w:t>Estos componentes permitirán dar un seguimiento puntual de las carencias sociales y al bienestar económico de la población, además de proporcionar elementos para el diagnóstico y seguimiento de la situación de la pobreza en nuestro país, desde un enfoque novedoso y consistente con las disposiciones legales aplicables y que retoma los desarrollos académicos recientes en materia de medición de la pobreza.</w:t>
      </w:r>
    </w:p>
    <w:p>
      <w:pPr>
        <w:pStyle w:val="BodyText"/>
        <w:spacing w:before="4"/>
        <w:rPr>
          <w:sz w:val="25"/>
        </w:rPr>
      </w:pPr>
    </w:p>
    <w:p>
      <w:pPr>
        <w:pStyle w:val="BodyText"/>
        <w:spacing w:line="276" w:lineRule="auto" w:before="1"/>
        <w:ind w:left="901" w:right="1154"/>
        <w:jc w:val="both"/>
      </w:pPr>
      <w:r>
        <w:rPr/>
        <w:t>En términos generales de acuerdo a su ingreso y a su índice de privación social se proponen la siguiente clasificación: 1. Pobres multidimensionales, población con ingreso inferior al valor de la línea de bienestar y que padece al menos una carencia social; 2. Vulnerables por carencias sociales, población que presenta una o más carencias sociales, pero cuyo ingreso es superior a la línea de bienestar; 3. Vulnerables por ingresos,</w:t>
      </w:r>
      <w:r>
        <w:rPr>
          <w:spacing w:val="6"/>
        </w:rPr>
        <w:t> </w:t>
      </w:r>
      <w:r>
        <w:rPr/>
        <w:t>población</w:t>
      </w:r>
      <w:r>
        <w:rPr>
          <w:spacing w:val="4"/>
        </w:rPr>
        <w:t> </w:t>
      </w:r>
      <w:r>
        <w:rPr/>
        <w:t>que</w:t>
      </w:r>
      <w:r>
        <w:rPr>
          <w:spacing w:val="8"/>
        </w:rPr>
        <w:t> </w:t>
      </w:r>
      <w:r>
        <w:rPr/>
        <w:t>no</w:t>
      </w:r>
      <w:r>
        <w:rPr>
          <w:spacing w:val="7"/>
        </w:rPr>
        <w:t> </w:t>
      </w:r>
      <w:r>
        <w:rPr/>
        <w:t>presenta</w:t>
      </w:r>
      <w:r>
        <w:rPr>
          <w:spacing w:val="7"/>
        </w:rPr>
        <w:t> </w:t>
      </w:r>
      <w:r>
        <w:rPr/>
        <w:t>carencias</w:t>
      </w:r>
      <w:r>
        <w:rPr>
          <w:spacing w:val="9"/>
        </w:rPr>
        <w:t> </w:t>
      </w:r>
      <w:r>
        <w:rPr/>
        <w:t>sociales</w:t>
      </w:r>
      <w:r>
        <w:rPr>
          <w:spacing w:val="9"/>
        </w:rPr>
        <w:t> </w:t>
      </w:r>
      <w:r>
        <w:rPr/>
        <w:t>y</w:t>
      </w:r>
      <w:r>
        <w:rPr>
          <w:spacing w:val="6"/>
        </w:rPr>
        <w:t> </w:t>
      </w:r>
      <w:r>
        <w:rPr/>
        <w:t>cuyo</w:t>
      </w:r>
      <w:r>
        <w:rPr>
          <w:spacing w:val="5"/>
        </w:rPr>
        <w:t> </w:t>
      </w:r>
      <w:r>
        <w:rPr/>
        <w:t>ingreso</w:t>
      </w:r>
      <w:r>
        <w:rPr>
          <w:spacing w:val="7"/>
        </w:rPr>
        <w:t> </w:t>
      </w:r>
      <w:r>
        <w:rPr/>
        <w:t>es</w:t>
      </w:r>
      <w:r>
        <w:rPr>
          <w:spacing w:val="6"/>
        </w:rPr>
        <w:t> </w:t>
      </w:r>
      <w:r>
        <w:rPr/>
        <w:t>inferior</w:t>
      </w:r>
      <w:r>
        <w:rPr>
          <w:spacing w:val="8"/>
        </w:rPr>
        <w:t> </w:t>
      </w:r>
      <w:r>
        <w:rPr/>
        <w:t>o</w:t>
      </w:r>
      <w:r>
        <w:rPr>
          <w:spacing w:val="6"/>
        </w:rPr>
        <w:t> </w:t>
      </w:r>
      <w:r>
        <w:rPr/>
        <w:t>igual</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45"/>
        <w:rPr>
          <w:sz w:val="14"/>
        </w:rPr>
      </w:pPr>
      <w:r>
        <w:rPr/>
        <w:t>a la línea de bienestar; y 4. No pobre multidimensional y no vulnerable, población cuyo ingreso es superior a la línea de bienestar y que no tiene carencia social alguna.”</w:t>
      </w:r>
      <w:r>
        <w:rPr>
          <w:position w:val="6"/>
          <w:sz w:val="14"/>
        </w:rPr>
        <w:t>1</w:t>
      </w:r>
    </w:p>
    <w:p>
      <w:pPr>
        <w:pStyle w:val="BodyText"/>
        <w:rPr>
          <w:sz w:val="26"/>
        </w:rPr>
      </w:pPr>
    </w:p>
    <w:p>
      <w:pPr>
        <w:pStyle w:val="BodyText"/>
        <w:spacing w:before="4"/>
        <w:rPr>
          <w:sz w:val="23"/>
        </w:rPr>
      </w:pPr>
    </w:p>
    <w:p>
      <w:pPr>
        <w:pStyle w:val="Heading3"/>
        <w:spacing w:before="1"/>
        <w:ind w:left="1001" w:right="1261"/>
      </w:pPr>
      <w:r>
        <w:rPr/>
        <w:t>TABLA 6. POBREZA MULTIDIMENSIONAL EN MAGDALENA 2015</w:t>
      </w:r>
    </w:p>
    <w:p>
      <w:pPr>
        <w:pStyle w:val="BodyText"/>
        <w:rPr>
          <w:sz w:val="20"/>
        </w:rPr>
      </w:pPr>
    </w:p>
    <w:p>
      <w:pPr>
        <w:pStyle w:val="BodyText"/>
        <w:spacing w:before="3" w:after="1"/>
        <w:rPr>
          <w:sz w:val="10"/>
        </w:rPr>
      </w:pPr>
    </w:p>
    <w:tbl>
      <w:tblPr>
        <w:tblW w:w="0" w:type="auto"/>
        <w:jc w:val="left"/>
        <w:tblInd w:w="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97"/>
        <w:gridCol w:w="1506"/>
        <w:gridCol w:w="1340"/>
      </w:tblGrid>
      <w:tr>
        <w:trPr>
          <w:trHeight w:val="651" w:hRule="atLeast"/>
        </w:trPr>
        <w:tc>
          <w:tcPr>
            <w:tcW w:w="7197" w:type="dxa"/>
            <w:tcBorders>
              <w:bottom w:val="single" w:sz="6" w:space="0" w:color="000000"/>
              <w:right w:val="single" w:sz="4" w:space="0" w:color="000000"/>
            </w:tcBorders>
          </w:tcPr>
          <w:p>
            <w:pPr>
              <w:pStyle w:val="TableParagraph"/>
              <w:spacing w:before="3"/>
              <w:ind w:left="81"/>
              <w:rPr>
                <w:sz w:val="20"/>
              </w:rPr>
            </w:pPr>
            <w:r>
              <w:rPr>
                <w:sz w:val="20"/>
              </w:rPr>
              <w:t>INDICADORES DE INCIDENCIA</w:t>
            </w:r>
          </w:p>
        </w:tc>
        <w:tc>
          <w:tcPr>
            <w:tcW w:w="1506" w:type="dxa"/>
            <w:tcBorders>
              <w:left w:val="single" w:sz="4" w:space="0" w:color="000000"/>
              <w:bottom w:val="single" w:sz="6" w:space="0" w:color="000000"/>
            </w:tcBorders>
          </w:tcPr>
          <w:p>
            <w:pPr>
              <w:pStyle w:val="TableParagraph"/>
              <w:spacing w:before="3"/>
              <w:ind w:left="76"/>
              <w:rPr>
                <w:sz w:val="20"/>
              </w:rPr>
            </w:pPr>
            <w:r>
              <w:rPr>
                <w:sz w:val="20"/>
              </w:rPr>
              <w:t>PORCENTAJE</w:t>
            </w:r>
          </w:p>
        </w:tc>
        <w:tc>
          <w:tcPr>
            <w:tcW w:w="1340" w:type="dxa"/>
            <w:tcBorders>
              <w:bottom w:val="single" w:sz="6" w:space="0" w:color="000000"/>
            </w:tcBorders>
          </w:tcPr>
          <w:p>
            <w:pPr>
              <w:pStyle w:val="TableParagraph"/>
              <w:spacing w:before="3"/>
              <w:ind w:left="157"/>
              <w:rPr>
                <w:sz w:val="20"/>
              </w:rPr>
            </w:pPr>
            <w:r>
              <w:rPr>
                <w:sz w:val="20"/>
              </w:rPr>
              <w:t>PERSONAS</w:t>
            </w:r>
          </w:p>
        </w:tc>
      </w:tr>
      <w:tr>
        <w:trPr>
          <w:trHeight w:val="452" w:hRule="atLeast"/>
        </w:trPr>
        <w:tc>
          <w:tcPr>
            <w:tcW w:w="7197" w:type="dxa"/>
            <w:tcBorders>
              <w:top w:val="single" w:sz="6" w:space="0" w:color="000000"/>
              <w:right w:val="single" w:sz="4" w:space="0" w:color="000000"/>
            </w:tcBorders>
          </w:tcPr>
          <w:p>
            <w:pPr>
              <w:pStyle w:val="TableParagraph"/>
              <w:spacing w:before="80"/>
              <w:ind w:left="81"/>
              <w:rPr>
                <w:sz w:val="20"/>
              </w:rPr>
            </w:pPr>
            <w:r>
              <w:rPr>
                <w:sz w:val="20"/>
              </w:rPr>
              <w:t>Población en situación de pobreza multidimensional</w:t>
            </w:r>
          </w:p>
        </w:tc>
        <w:tc>
          <w:tcPr>
            <w:tcW w:w="1506" w:type="dxa"/>
            <w:tcBorders>
              <w:top w:val="single" w:sz="6" w:space="0" w:color="000000"/>
              <w:left w:val="single" w:sz="4" w:space="0" w:color="000000"/>
            </w:tcBorders>
            <w:shd w:val="clear" w:color="auto" w:fill="CCCCCC"/>
          </w:tcPr>
          <w:p>
            <w:pPr>
              <w:pStyle w:val="TableParagraph"/>
              <w:spacing w:before="80"/>
              <w:ind w:left="76"/>
              <w:rPr>
                <w:sz w:val="20"/>
              </w:rPr>
            </w:pPr>
            <w:r>
              <w:rPr>
                <w:sz w:val="20"/>
              </w:rPr>
              <w:t>48.1%</w:t>
            </w:r>
          </w:p>
        </w:tc>
        <w:tc>
          <w:tcPr>
            <w:tcW w:w="1340" w:type="dxa"/>
            <w:tcBorders>
              <w:top w:val="single" w:sz="6" w:space="0" w:color="000000"/>
            </w:tcBorders>
            <w:shd w:val="clear" w:color="auto" w:fill="CCCCCC"/>
          </w:tcPr>
          <w:p>
            <w:pPr>
              <w:pStyle w:val="TableParagraph"/>
              <w:spacing w:before="80"/>
              <w:ind w:left="157"/>
              <w:rPr>
                <w:sz w:val="20"/>
              </w:rPr>
            </w:pPr>
            <w:r>
              <w:rPr>
                <w:sz w:val="20"/>
              </w:rPr>
              <w:t>11,051</w:t>
            </w:r>
          </w:p>
        </w:tc>
      </w:tr>
      <w:tr>
        <w:trPr>
          <w:trHeight w:val="461" w:hRule="atLeast"/>
        </w:trPr>
        <w:tc>
          <w:tcPr>
            <w:tcW w:w="7197" w:type="dxa"/>
            <w:tcBorders>
              <w:right w:val="single" w:sz="4" w:space="0" w:color="000000"/>
            </w:tcBorders>
          </w:tcPr>
          <w:p>
            <w:pPr>
              <w:pStyle w:val="TableParagraph"/>
              <w:spacing w:before="84"/>
              <w:ind w:left="81"/>
              <w:rPr>
                <w:sz w:val="20"/>
              </w:rPr>
            </w:pPr>
            <w:r>
              <w:rPr>
                <w:sz w:val="20"/>
              </w:rPr>
              <w:t>Población en situación de pobreza multidimensional moderada</w:t>
            </w:r>
          </w:p>
        </w:tc>
        <w:tc>
          <w:tcPr>
            <w:tcW w:w="1506" w:type="dxa"/>
            <w:tcBorders>
              <w:left w:val="single" w:sz="4" w:space="0" w:color="000000"/>
            </w:tcBorders>
          </w:tcPr>
          <w:p>
            <w:pPr>
              <w:pStyle w:val="TableParagraph"/>
              <w:spacing w:before="84"/>
              <w:ind w:left="76"/>
              <w:rPr>
                <w:sz w:val="20"/>
              </w:rPr>
            </w:pPr>
            <w:r>
              <w:rPr>
                <w:sz w:val="20"/>
              </w:rPr>
              <w:t>43.9%</w:t>
            </w:r>
          </w:p>
        </w:tc>
        <w:tc>
          <w:tcPr>
            <w:tcW w:w="1340" w:type="dxa"/>
          </w:tcPr>
          <w:p>
            <w:pPr>
              <w:pStyle w:val="TableParagraph"/>
              <w:spacing w:before="84"/>
              <w:ind w:left="157"/>
              <w:rPr>
                <w:sz w:val="20"/>
              </w:rPr>
            </w:pPr>
            <w:r>
              <w:rPr>
                <w:sz w:val="20"/>
              </w:rPr>
              <w:t>10,086</w:t>
            </w:r>
          </w:p>
        </w:tc>
      </w:tr>
      <w:tr>
        <w:trPr>
          <w:trHeight w:val="460" w:hRule="atLeast"/>
        </w:trPr>
        <w:tc>
          <w:tcPr>
            <w:tcW w:w="7197" w:type="dxa"/>
            <w:tcBorders>
              <w:right w:val="single" w:sz="4" w:space="0" w:color="000000"/>
            </w:tcBorders>
          </w:tcPr>
          <w:p>
            <w:pPr>
              <w:pStyle w:val="TableParagraph"/>
              <w:spacing w:before="84"/>
              <w:ind w:left="81"/>
              <w:rPr>
                <w:sz w:val="20"/>
              </w:rPr>
            </w:pPr>
            <w:r>
              <w:rPr>
                <w:sz w:val="20"/>
              </w:rPr>
              <w:t>Población en situación de pobreza multidimensional extrema</w:t>
            </w:r>
          </w:p>
        </w:tc>
        <w:tc>
          <w:tcPr>
            <w:tcW w:w="1506" w:type="dxa"/>
            <w:tcBorders>
              <w:left w:val="single" w:sz="4" w:space="0" w:color="000000"/>
            </w:tcBorders>
            <w:shd w:val="clear" w:color="auto" w:fill="CCCCCC"/>
          </w:tcPr>
          <w:p>
            <w:pPr>
              <w:pStyle w:val="TableParagraph"/>
              <w:spacing w:before="84"/>
              <w:ind w:left="76"/>
              <w:rPr>
                <w:sz w:val="20"/>
              </w:rPr>
            </w:pPr>
            <w:r>
              <w:rPr>
                <w:sz w:val="20"/>
              </w:rPr>
              <w:t>4.2%</w:t>
            </w:r>
          </w:p>
        </w:tc>
        <w:tc>
          <w:tcPr>
            <w:tcW w:w="1340" w:type="dxa"/>
            <w:shd w:val="clear" w:color="auto" w:fill="CCCCCC"/>
          </w:tcPr>
          <w:p>
            <w:pPr>
              <w:pStyle w:val="TableParagraph"/>
              <w:spacing w:before="84"/>
              <w:ind w:left="157"/>
              <w:rPr>
                <w:sz w:val="20"/>
              </w:rPr>
            </w:pPr>
            <w:r>
              <w:rPr>
                <w:sz w:val="20"/>
              </w:rPr>
              <w:t>965</w:t>
            </w:r>
          </w:p>
        </w:tc>
      </w:tr>
      <w:tr>
        <w:trPr>
          <w:trHeight w:val="460" w:hRule="atLeast"/>
        </w:trPr>
        <w:tc>
          <w:tcPr>
            <w:tcW w:w="7197" w:type="dxa"/>
            <w:tcBorders>
              <w:right w:val="single" w:sz="4" w:space="0" w:color="000000"/>
            </w:tcBorders>
          </w:tcPr>
          <w:p>
            <w:pPr>
              <w:pStyle w:val="TableParagraph"/>
              <w:spacing w:before="82"/>
              <w:ind w:left="81"/>
              <w:rPr>
                <w:sz w:val="20"/>
              </w:rPr>
            </w:pPr>
            <w:r>
              <w:rPr>
                <w:sz w:val="20"/>
              </w:rPr>
              <w:t>Población vulnerable por carencias sociales</w:t>
            </w:r>
          </w:p>
        </w:tc>
        <w:tc>
          <w:tcPr>
            <w:tcW w:w="1506" w:type="dxa"/>
            <w:tcBorders>
              <w:left w:val="single" w:sz="4" w:space="0" w:color="000000"/>
            </w:tcBorders>
          </w:tcPr>
          <w:p>
            <w:pPr>
              <w:pStyle w:val="TableParagraph"/>
              <w:spacing w:before="82"/>
              <w:ind w:left="76"/>
              <w:rPr>
                <w:sz w:val="20"/>
              </w:rPr>
            </w:pPr>
            <w:r>
              <w:rPr>
                <w:sz w:val="20"/>
              </w:rPr>
              <w:t>32.7%</w:t>
            </w:r>
          </w:p>
        </w:tc>
        <w:tc>
          <w:tcPr>
            <w:tcW w:w="1340" w:type="dxa"/>
          </w:tcPr>
          <w:p>
            <w:pPr>
              <w:pStyle w:val="TableParagraph"/>
              <w:spacing w:before="82"/>
              <w:ind w:left="157"/>
              <w:rPr>
                <w:sz w:val="20"/>
              </w:rPr>
            </w:pPr>
            <w:r>
              <w:rPr>
                <w:sz w:val="20"/>
              </w:rPr>
              <w:t>7,512</w:t>
            </w:r>
          </w:p>
        </w:tc>
      </w:tr>
      <w:tr>
        <w:trPr>
          <w:trHeight w:val="458" w:hRule="atLeast"/>
        </w:trPr>
        <w:tc>
          <w:tcPr>
            <w:tcW w:w="7197" w:type="dxa"/>
            <w:tcBorders>
              <w:right w:val="single" w:sz="4" w:space="0" w:color="000000"/>
            </w:tcBorders>
          </w:tcPr>
          <w:p>
            <w:pPr>
              <w:pStyle w:val="TableParagraph"/>
              <w:spacing w:before="82"/>
              <w:ind w:left="81"/>
              <w:rPr>
                <w:sz w:val="20"/>
              </w:rPr>
            </w:pPr>
            <w:r>
              <w:rPr>
                <w:sz w:val="20"/>
              </w:rPr>
              <w:t>Población vulnerable por ingresos</w:t>
            </w:r>
          </w:p>
        </w:tc>
        <w:tc>
          <w:tcPr>
            <w:tcW w:w="1506" w:type="dxa"/>
            <w:tcBorders>
              <w:left w:val="single" w:sz="4" w:space="0" w:color="000000"/>
            </w:tcBorders>
            <w:shd w:val="clear" w:color="auto" w:fill="CCCCCC"/>
          </w:tcPr>
          <w:p>
            <w:pPr>
              <w:pStyle w:val="TableParagraph"/>
              <w:spacing w:before="82"/>
              <w:ind w:left="76"/>
              <w:rPr>
                <w:sz w:val="20"/>
              </w:rPr>
            </w:pPr>
            <w:r>
              <w:rPr>
                <w:sz w:val="20"/>
              </w:rPr>
              <w:t>5.5%</w:t>
            </w:r>
          </w:p>
        </w:tc>
        <w:tc>
          <w:tcPr>
            <w:tcW w:w="1340" w:type="dxa"/>
            <w:shd w:val="clear" w:color="auto" w:fill="CCCCCC"/>
          </w:tcPr>
          <w:p>
            <w:pPr>
              <w:pStyle w:val="TableParagraph"/>
              <w:spacing w:before="82"/>
              <w:ind w:left="157"/>
              <w:rPr>
                <w:sz w:val="20"/>
              </w:rPr>
            </w:pPr>
            <w:r>
              <w:rPr>
                <w:sz w:val="20"/>
              </w:rPr>
              <w:t>1,252</w:t>
            </w:r>
          </w:p>
        </w:tc>
      </w:tr>
      <w:tr>
        <w:trPr>
          <w:trHeight w:val="460" w:hRule="atLeast"/>
        </w:trPr>
        <w:tc>
          <w:tcPr>
            <w:tcW w:w="7197" w:type="dxa"/>
            <w:tcBorders>
              <w:right w:val="single" w:sz="4" w:space="0" w:color="000000"/>
            </w:tcBorders>
          </w:tcPr>
          <w:p>
            <w:pPr>
              <w:pStyle w:val="TableParagraph"/>
              <w:spacing w:before="84"/>
              <w:ind w:left="81"/>
              <w:rPr>
                <w:sz w:val="20"/>
              </w:rPr>
            </w:pPr>
            <w:r>
              <w:rPr>
                <w:sz w:val="20"/>
              </w:rPr>
              <w:t>Población no pobre multidimensional y no vulnerable</w:t>
            </w:r>
          </w:p>
        </w:tc>
        <w:tc>
          <w:tcPr>
            <w:tcW w:w="1506" w:type="dxa"/>
            <w:tcBorders>
              <w:left w:val="single" w:sz="4" w:space="0" w:color="000000"/>
            </w:tcBorders>
          </w:tcPr>
          <w:p>
            <w:pPr>
              <w:pStyle w:val="TableParagraph"/>
              <w:spacing w:before="84"/>
              <w:ind w:left="76"/>
              <w:rPr>
                <w:sz w:val="20"/>
              </w:rPr>
            </w:pPr>
            <w:r>
              <w:rPr>
                <w:sz w:val="20"/>
              </w:rPr>
              <w:t>13.7%</w:t>
            </w:r>
          </w:p>
        </w:tc>
        <w:tc>
          <w:tcPr>
            <w:tcW w:w="1340" w:type="dxa"/>
          </w:tcPr>
          <w:p>
            <w:pPr>
              <w:pStyle w:val="TableParagraph"/>
              <w:spacing w:before="84"/>
              <w:ind w:left="157"/>
              <w:rPr>
                <w:sz w:val="20"/>
              </w:rPr>
            </w:pPr>
            <w:r>
              <w:rPr>
                <w:sz w:val="20"/>
              </w:rPr>
              <w:t>3,151</w:t>
            </w:r>
          </w:p>
        </w:tc>
      </w:tr>
      <w:tr>
        <w:trPr>
          <w:trHeight w:val="458" w:hRule="atLeast"/>
        </w:trPr>
        <w:tc>
          <w:tcPr>
            <w:tcW w:w="7197" w:type="dxa"/>
            <w:tcBorders>
              <w:right w:val="single" w:sz="4" w:space="0" w:color="000000"/>
            </w:tcBorders>
          </w:tcPr>
          <w:p>
            <w:pPr>
              <w:pStyle w:val="TableParagraph"/>
              <w:spacing w:before="82"/>
              <w:ind w:left="81"/>
              <w:rPr>
                <w:sz w:val="20"/>
              </w:rPr>
            </w:pPr>
            <w:r>
              <w:rPr>
                <w:sz w:val="20"/>
              </w:rPr>
              <w:t>Población con al menos una carencia social</w:t>
            </w:r>
          </w:p>
        </w:tc>
        <w:tc>
          <w:tcPr>
            <w:tcW w:w="1506" w:type="dxa"/>
            <w:tcBorders>
              <w:left w:val="single" w:sz="4" w:space="0" w:color="000000"/>
            </w:tcBorders>
            <w:shd w:val="clear" w:color="auto" w:fill="CCCCCC"/>
          </w:tcPr>
          <w:p>
            <w:pPr>
              <w:pStyle w:val="TableParagraph"/>
              <w:spacing w:before="82"/>
              <w:ind w:left="76"/>
              <w:rPr>
                <w:sz w:val="20"/>
              </w:rPr>
            </w:pPr>
            <w:r>
              <w:rPr>
                <w:sz w:val="20"/>
              </w:rPr>
              <w:t>80.8%</w:t>
            </w:r>
          </w:p>
        </w:tc>
        <w:tc>
          <w:tcPr>
            <w:tcW w:w="1340" w:type="dxa"/>
            <w:shd w:val="clear" w:color="auto" w:fill="CCCCCC"/>
          </w:tcPr>
          <w:p>
            <w:pPr>
              <w:pStyle w:val="TableParagraph"/>
              <w:spacing w:before="82"/>
              <w:ind w:left="157"/>
              <w:rPr>
                <w:sz w:val="20"/>
              </w:rPr>
            </w:pPr>
            <w:r>
              <w:rPr>
                <w:sz w:val="20"/>
              </w:rPr>
              <w:t>18,563</w:t>
            </w:r>
          </w:p>
        </w:tc>
      </w:tr>
      <w:tr>
        <w:trPr>
          <w:trHeight w:val="460" w:hRule="atLeast"/>
        </w:trPr>
        <w:tc>
          <w:tcPr>
            <w:tcW w:w="7197" w:type="dxa"/>
            <w:tcBorders>
              <w:right w:val="single" w:sz="4" w:space="0" w:color="000000"/>
            </w:tcBorders>
          </w:tcPr>
          <w:p>
            <w:pPr>
              <w:pStyle w:val="TableParagraph"/>
              <w:spacing w:before="84"/>
              <w:ind w:left="81"/>
              <w:rPr>
                <w:sz w:val="20"/>
              </w:rPr>
            </w:pPr>
            <w:r>
              <w:rPr>
                <w:sz w:val="20"/>
              </w:rPr>
              <w:t>Población con al menos tres carencias sociales</w:t>
            </w:r>
          </w:p>
        </w:tc>
        <w:tc>
          <w:tcPr>
            <w:tcW w:w="1506" w:type="dxa"/>
            <w:tcBorders>
              <w:left w:val="single" w:sz="4" w:space="0" w:color="000000"/>
            </w:tcBorders>
          </w:tcPr>
          <w:p>
            <w:pPr>
              <w:pStyle w:val="TableParagraph"/>
              <w:spacing w:before="84"/>
              <w:ind w:left="76"/>
              <w:rPr>
                <w:sz w:val="20"/>
              </w:rPr>
            </w:pPr>
            <w:r>
              <w:rPr>
                <w:sz w:val="20"/>
              </w:rPr>
              <w:t>14.6%</w:t>
            </w:r>
          </w:p>
        </w:tc>
        <w:tc>
          <w:tcPr>
            <w:tcW w:w="1340" w:type="dxa"/>
          </w:tcPr>
          <w:p>
            <w:pPr>
              <w:pStyle w:val="TableParagraph"/>
              <w:spacing w:before="84"/>
              <w:ind w:left="157"/>
              <w:rPr>
                <w:sz w:val="20"/>
              </w:rPr>
            </w:pPr>
            <w:r>
              <w:rPr>
                <w:sz w:val="20"/>
              </w:rPr>
              <w:t>3,353</w:t>
            </w:r>
          </w:p>
        </w:tc>
      </w:tr>
      <w:tr>
        <w:trPr>
          <w:trHeight w:val="460" w:hRule="atLeast"/>
        </w:trPr>
        <w:tc>
          <w:tcPr>
            <w:tcW w:w="7197" w:type="dxa"/>
            <w:tcBorders>
              <w:right w:val="single" w:sz="4" w:space="0" w:color="000000"/>
            </w:tcBorders>
          </w:tcPr>
          <w:p>
            <w:pPr>
              <w:pStyle w:val="TableParagraph"/>
              <w:spacing w:before="84"/>
              <w:ind w:left="81"/>
              <w:rPr>
                <w:sz w:val="20"/>
              </w:rPr>
            </w:pPr>
            <w:r>
              <w:rPr>
                <w:sz w:val="20"/>
              </w:rPr>
              <w:t>Rezago educativo</w:t>
            </w:r>
          </w:p>
        </w:tc>
        <w:tc>
          <w:tcPr>
            <w:tcW w:w="1506" w:type="dxa"/>
            <w:tcBorders>
              <w:left w:val="single" w:sz="4" w:space="0" w:color="000000"/>
            </w:tcBorders>
            <w:shd w:val="clear" w:color="auto" w:fill="CCCCCC"/>
          </w:tcPr>
          <w:p>
            <w:pPr>
              <w:pStyle w:val="TableParagraph"/>
              <w:spacing w:before="84"/>
              <w:ind w:left="76"/>
              <w:rPr>
                <w:sz w:val="20"/>
              </w:rPr>
            </w:pPr>
            <w:r>
              <w:rPr>
                <w:sz w:val="20"/>
              </w:rPr>
              <w:t>23.1%</w:t>
            </w:r>
          </w:p>
        </w:tc>
        <w:tc>
          <w:tcPr>
            <w:tcW w:w="1340" w:type="dxa"/>
            <w:shd w:val="clear" w:color="auto" w:fill="CCCCCC"/>
          </w:tcPr>
          <w:p>
            <w:pPr>
              <w:pStyle w:val="TableParagraph"/>
              <w:spacing w:before="84"/>
              <w:ind w:left="157"/>
              <w:rPr>
                <w:sz w:val="20"/>
              </w:rPr>
            </w:pPr>
            <w:r>
              <w:rPr>
                <w:sz w:val="20"/>
              </w:rPr>
              <w:t>5,315</w:t>
            </w:r>
          </w:p>
        </w:tc>
      </w:tr>
      <w:tr>
        <w:trPr>
          <w:trHeight w:val="461" w:hRule="atLeast"/>
        </w:trPr>
        <w:tc>
          <w:tcPr>
            <w:tcW w:w="7197" w:type="dxa"/>
            <w:tcBorders>
              <w:right w:val="single" w:sz="4" w:space="0" w:color="000000"/>
            </w:tcBorders>
          </w:tcPr>
          <w:p>
            <w:pPr>
              <w:pStyle w:val="TableParagraph"/>
              <w:spacing w:before="82"/>
              <w:ind w:left="81"/>
              <w:rPr>
                <w:sz w:val="20"/>
              </w:rPr>
            </w:pPr>
            <w:r>
              <w:rPr>
                <w:sz w:val="20"/>
              </w:rPr>
              <w:t>Acceso a los servicios de salud</w:t>
            </w:r>
          </w:p>
        </w:tc>
        <w:tc>
          <w:tcPr>
            <w:tcW w:w="1506" w:type="dxa"/>
            <w:tcBorders>
              <w:left w:val="single" w:sz="4" w:space="0" w:color="000000"/>
            </w:tcBorders>
          </w:tcPr>
          <w:p>
            <w:pPr>
              <w:pStyle w:val="TableParagraph"/>
              <w:spacing w:before="82"/>
              <w:ind w:left="76"/>
              <w:rPr>
                <w:sz w:val="20"/>
              </w:rPr>
            </w:pPr>
            <w:r>
              <w:rPr>
                <w:sz w:val="20"/>
              </w:rPr>
              <w:t>9.2%</w:t>
            </w:r>
          </w:p>
        </w:tc>
        <w:tc>
          <w:tcPr>
            <w:tcW w:w="1340" w:type="dxa"/>
          </w:tcPr>
          <w:p>
            <w:pPr>
              <w:pStyle w:val="TableParagraph"/>
              <w:spacing w:before="82"/>
              <w:ind w:left="157"/>
              <w:rPr>
                <w:sz w:val="20"/>
              </w:rPr>
            </w:pPr>
            <w:r>
              <w:rPr>
                <w:sz w:val="20"/>
              </w:rPr>
              <w:t>2,112</w:t>
            </w:r>
          </w:p>
        </w:tc>
      </w:tr>
      <w:tr>
        <w:trPr>
          <w:trHeight w:val="458" w:hRule="atLeast"/>
        </w:trPr>
        <w:tc>
          <w:tcPr>
            <w:tcW w:w="7197" w:type="dxa"/>
            <w:tcBorders>
              <w:right w:val="single" w:sz="4" w:space="0" w:color="000000"/>
            </w:tcBorders>
          </w:tcPr>
          <w:p>
            <w:pPr>
              <w:pStyle w:val="TableParagraph"/>
              <w:spacing w:before="82"/>
              <w:ind w:left="81"/>
              <w:rPr>
                <w:sz w:val="20"/>
              </w:rPr>
            </w:pPr>
            <w:r>
              <w:rPr>
                <w:sz w:val="20"/>
              </w:rPr>
              <w:t>Acceso a la seguridad social</w:t>
            </w:r>
          </w:p>
        </w:tc>
        <w:tc>
          <w:tcPr>
            <w:tcW w:w="1506" w:type="dxa"/>
            <w:tcBorders>
              <w:left w:val="single" w:sz="4" w:space="0" w:color="000000"/>
            </w:tcBorders>
            <w:shd w:val="clear" w:color="auto" w:fill="CCCCCC"/>
          </w:tcPr>
          <w:p>
            <w:pPr>
              <w:pStyle w:val="TableParagraph"/>
              <w:spacing w:before="82"/>
              <w:ind w:left="76"/>
              <w:rPr>
                <w:sz w:val="20"/>
              </w:rPr>
            </w:pPr>
            <w:r>
              <w:rPr>
                <w:sz w:val="20"/>
              </w:rPr>
              <w:t>69.8%</w:t>
            </w:r>
          </w:p>
        </w:tc>
        <w:tc>
          <w:tcPr>
            <w:tcW w:w="1340" w:type="dxa"/>
            <w:shd w:val="clear" w:color="auto" w:fill="CCCCCC"/>
          </w:tcPr>
          <w:p>
            <w:pPr>
              <w:pStyle w:val="TableParagraph"/>
              <w:spacing w:before="82"/>
              <w:ind w:left="157"/>
              <w:rPr>
                <w:sz w:val="20"/>
              </w:rPr>
            </w:pPr>
            <w:r>
              <w:rPr>
                <w:sz w:val="20"/>
              </w:rPr>
              <w:t>16,041</w:t>
            </w:r>
          </w:p>
        </w:tc>
      </w:tr>
      <w:tr>
        <w:trPr>
          <w:trHeight w:val="460" w:hRule="atLeast"/>
        </w:trPr>
        <w:tc>
          <w:tcPr>
            <w:tcW w:w="7197" w:type="dxa"/>
            <w:tcBorders>
              <w:right w:val="single" w:sz="4" w:space="0" w:color="000000"/>
            </w:tcBorders>
          </w:tcPr>
          <w:p>
            <w:pPr>
              <w:pStyle w:val="TableParagraph"/>
              <w:spacing w:before="84"/>
              <w:ind w:left="81"/>
              <w:rPr>
                <w:sz w:val="20"/>
              </w:rPr>
            </w:pPr>
            <w:r>
              <w:rPr>
                <w:sz w:val="20"/>
              </w:rPr>
              <w:t>Calidad y espacios de las viviendas</w:t>
            </w:r>
          </w:p>
        </w:tc>
        <w:tc>
          <w:tcPr>
            <w:tcW w:w="1506" w:type="dxa"/>
            <w:tcBorders>
              <w:left w:val="single" w:sz="4" w:space="0" w:color="000000"/>
            </w:tcBorders>
          </w:tcPr>
          <w:p>
            <w:pPr>
              <w:pStyle w:val="TableParagraph"/>
              <w:spacing w:before="84"/>
              <w:ind w:left="76"/>
              <w:rPr>
                <w:sz w:val="20"/>
              </w:rPr>
            </w:pPr>
            <w:r>
              <w:rPr>
                <w:sz w:val="20"/>
              </w:rPr>
              <w:t>7.8%</w:t>
            </w:r>
          </w:p>
        </w:tc>
        <w:tc>
          <w:tcPr>
            <w:tcW w:w="1340" w:type="dxa"/>
          </w:tcPr>
          <w:p>
            <w:pPr>
              <w:pStyle w:val="TableParagraph"/>
              <w:spacing w:before="84"/>
              <w:ind w:left="157"/>
              <w:rPr>
                <w:sz w:val="20"/>
              </w:rPr>
            </w:pPr>
            <w:r>
              <w:rPr>
                <w:sz w:val="20"/>
              </w:rPr>
              <w:t>1,782</w:t>
            </w:r>
          </w:p>
        </w:tc>
      </w:tr>
      <w:tr>
        <w:trPr>
          <w:trHeight w:val="458" w:hRule="atLeast"/>
        </w:trPr>
        <w:tc>
          <w:tcPr>
            <w:tcW w:w="7197" w:type="dxa"/>
            <w:tcBorders>
              <w:right w:val="single" w:sz="4" w:space="0" w:color="000000"/>
            </w:tcBorders>
          </w:tcPr>
          <w:p>
            <w:pPr>
              <w:pStyle w:val="TableParagraph"/>
              <w:spacing w:before="82"/>
              <w:ind w:left="81"/>
              <w:rPr>
                <w:sz w:val="20"/>
              </w:rPr>
            </w:pPr>
            <w:r>
              <w:rPr>
                <w:sz w:val="20"/>
              </w:rPr>
              <w:t>Acceso a los servicios básicos en la vivienda</w:t>
            </w:r>
          </w:p>
        </w:tc>
        <w:tc>
          <w:tcPr>
            <w:tcW w:w="1506" w:type="dxa"/>
            <w:tcBorders>
              <w:left w:val="single" w:sz="4" w:space="0" w:color="000000"/>
            </w:tcBorders>
            <w:shd w:val="clear" w:color="auto" w:fill="CCCCCC"/>
          </w:tcPr>
          <w:p>
            <w:pPr>
              <w:pStyle w:val="TableParagraph"/>
              <w:spacing w:before="82"/>
              <w:ind w:left="76"/>
              <w:rPr>
                <w:sz w:val="20"/>
              </w:rPr>
            </w:pPr>
            <w:r>
              <w:rPr>
                <w:sz w:val="20"/>
              </w:rPr>
              <w:t>15.8%</w:t>
            </w:r>
          </w:p>
        </w:tc>
        <w:tc>
          <w:tcPr>
            <w:tcW w:w="1340" w:type="dxa"/>
            <w:shd w:val="clear" w:color="auto" w:fill="CCCCCC"/>
          </w:tcPr>
          <w:p>
            <w:pPr>
              <w:pStyle w:val="TableParagraph"/>
              <w:spacing w:before="82"/>
              <w:ind w:left="157"/>
              <w:rPr>
                <w:sz w:val="20"/>
              </w:rPr>
            </w:pPr>
            <w:r>
              <w:rPr>
                <w:sz w:val="20"/>
              </w:rPr>
              <w:t>3,623</w:t>
            </w:r>
          </w:p>
        </w:tc>
      </w:tr>
      <w:tr>
        <w:trPr>
          <w:trHeight w:val="460" w:hRule="atLeast"/>
        </w:trPr>
        <w:tc>
          <w:tcPr>
            <w:tcW w:w="7197" w:type="dxa"/>
            <w:tcBorders>
              <w:right w:val="single" w:sz="4" w:space="0" w:color="000000"/>
            </w:tcBorders>
          </w:tcPr>
          <w:p>
            <w:pPr>
              <w:pStyle w:val="TableParagraph"/>
              <w:spacing w:before="84"/>
              <w:ind w:left="81"/>
              <w:rPr>
                <w:sz w:val="20"/>
              </w:rPr>
            </w:pPr>
            <w:r>
              <w:rPr>
                <w:sz w:val="20"/>
              </w:rPr>
              <w:t>Acceso a la alimentación</w:t>
            </w:r>
          </w:p>
        </w:tc>
        <w:tc>
          <w:tcPr>
            <w:tcW w:w="1506" w:type="dxa"/>
            <w:tcBorders>
              <w:left w:val="single" w:sz="4" w:space="0" w:color="000000"/>
            </w:tcBorders>
          </w:tcPr>
          <w:p>
            <w:pPr>
              <w:pStyle w:val="TableParagraph"/>
              <w:spacing w:before="84"/>
              <w:ind w:left="76"/>
              <w:rPr>
                <w:sz w:val="20"/>
              </w:rPr>
            </w:pPr>
            <w:r>
              <w:rPr>
                <w:sz w:val="20"/>
              </w:rPr>
              <w:t>16%</w:t>
            </w:r>
          </w:p>
        </w:tc>
        <w:tc>
          <w:tcPr>
            <w:tcW w:w="1340" w:type="dxa"/>
          </w:tcPr>
          <w:p>
            <w:pPr>
              <w:pStyle w:val="TableParagraph"/>
              <w:spacing w:before="84"/>
              <w:ind w:left="157"/>
              <w:rPr>
                <w:sz w:val="20"/>
              </w:rPr>
            </w:pPr>
            <w:r>
              <w:rPr>
                <w:sz w:val="20"/>
              </w:rPr>
              <w:t>3,685</w:t>
            </w:r>
          </w:p>
        </w:tc>
      </w:tr>
      <w:tr>
        <w:trPr>
          <w:trHeight w:val="460" w:hRule="atLeast"/>
        </w:trPr>
        <w:tc>
          <w:tcPr>
            <w:tcW w:w="7197" w:type="dxa"/>
            <w:tcBorders>
              <w:right w:val="single" w:sz="4" w:space="0" w:color="000000"/>
            </w:tcBorders>
          </w:tcPr>
          <w:p>
            <w:pPr>
              <w:pStyle w:val="TableParagraph"/>
              <w:spacing w:before="84"/>
              <w:ind w:left="81"/>
              <w:rPr>
                <w:sz w:val="20"/>
              </w:rPr>
            </w:pPr>
            <w:r>
              <w:rPr>
                <w:sz w:val="20"/>
              </w:rPr>
              <w:t>Población con un ingreso Inferior a la línea do bienestar mínimo</w:t>
            </w:r>
          </w:p>
        </w:tc>
        <w:tc>
          <w:tcPr>
            <w:tcW w:w="1506" w:type="dxa"/>
            <w:tcBorders>
              <w:left w:val="single" w:sz="4" w:space="0" w:color="000000"/>
            </w:tcBorders>
            <w:shd w:val="clear" w:color="auto" w:fill="CCCCCC"/>
          </w:tcPr>
          <w:p>
            <w:pPr>
              <w:pStyle w:val="TableParagraph"/>
              <w:spacing w:before="84"/>
              <w:ind w:left="76"/>
              <w:rPr>
                <w:sz w:val="20"/>
              </w:rPr>
            </w:pPr>
            <w:r>
              <w:rPr>
                <w:sz w:val="20"/>
              </w:rPr>
              <w:t>14.6%</w:t>
            </w:r>
          </w:p>
        </w:tc>
        <w:tc>
          <w:tcPr>
            <w:tcW w:w="1340" w:type="dxa"/>
            <w:shd w:val="clear" w:color="auto" w:fill="CCCCCC"/>
          </w:tcPr>
          <w:p>
            <w:pPr>
              <w:pStyle w:val="TableParagraph"/>
              <w:spacing w:before="84"/>
              <w:ind w:left="157"/>
              <w:rPr>
                <w:sz w:val="20"/>
              </w:rPr>
            </w:pPr>
            <w:r>
              <w:rPr>
                <w:sz w:val="20"/>
              </w:rPr>
              <w:t>3,353</w:t>
            </w:r>
          </w:p>
        </w:tc>
      </w:tr>
      <w:tr>
        <w:trPr>
          <w:trHeight w:val="460" w:hRule="atLeast"/>
        </w:trPr>
        <w:tc>
          <w:tcPr>
            <w:tcW w:w="7197" w:type="dxa"/>
            <w:tcBorders>
              <w:right w:val="single" w:sz="4" w:space="0" w:color="000000"/>
            </w:tcBorders>
          </w:tcPr>
          <w:p>
            <w:pPr>
              <w:pStyle w:val="TableParagraph"/>
              <w:spacing w:before="82"/>
              <w:ind w:left="81"/>
              <w:rPr>
                <w:sz w:val="20"/>
              </w:rPr>
            </w:pPr>
            <w:r>
              <w:rPr>
                <w:sz w:val="20"/>
              </w:rPr>
              <w:t>Población con un ingreso Inferior a la línea de bienestar</w:t>
            </w:r>
          </w:p>
        </w:tc>
        <w:tc>
          <w:tcPr>
            <w:tcW w:w="1506" w:type="dxa"/>
            <w:tcBorders>
              <w:left w:val="single" w:sz="4" w:space="0" w:color="000000"/>
            </w:tcBorders>
          </w:tcPr>
          <w:p>
            <w:pPr>
              <w:pStyle w:val="TableParagraph"/>
              <w:spacing w:before="82"/>
              <w:ind w:left="76"/>
              <w:rPr>
                <w:sz w:val="20"/>
              </w:rPr>
            </w:pPr>
            <w:r>
              <w:rPr>
                <w:sz w:val="20"/>
              </w:rPr>
              <w:t>53.6%</w:t>
            </w:r>
          </w:p>
        </w:tc>
        <w:tc>
          <w:tcPr>
            <w:tcW w:w="1340" w:type="dxa"/>
          </w:tcPr>
          <w:p>
            <w:pPr>
              <w:pStyle w:val="TableParagraph"/>
              <w:spacing w:before="82"/>
              <w:ind w:left="157"/>
              <w:rPr>
                <w:sz w:val="20"/>
              </w:rPr>
            </w:pPr>
            <w:r>
              <w:rPr>
                <w:sz w:val="20"/>
              </w:rPr>
              <w:t>12,303</w:t>
            </w:r>
          </w:p>
        </w:tc>
      </w:tr>
    </w:tbl>
    <w:p>
      <w:pPr>
        <w:pStyle w:val="BodyText"/>
        <w:rPr>
          <w:sz w:val="28"/>
        </w:rPr>
      </w:pPr>
    </w:p>
    <w:p>
      <w:pPr>
        <w:pStyle w:val="BodyText"/>
        <w:rPr>
          <w:sz w:val="27"/>
        </w:rPr>
      </w:pPr>
    </w:p>
    <w:p>
      <w:pPr>
        <w:spacing w:before="1"/>
        <w:ind w:left="1001" w:right="1253" w:firstLine="0"/>
        <w:jc w:val="center"/>
        <w:rPr>
          <w:sz w:val="15"/>
        </w:rPr>
      </w:pPr>
      <w:r>
        <w:rPr>
          <w:sz w:val="15"/>
        </w:rPr>
        <w:t>Fuente: Ficha Municipal de Magdalena, Jalisco. INSTITUTO DE INFORMACIÓN ESTADÍSTICA</w:t>
      </w:r>
      <w:r>
        <w:rPr>
          <w:spacing w:val="-31"/>
          <w:sz w:val="15"/>
        </w:rPr>
        <w:t> </w:t>
      </w:r>
      <w:r>
        <w:rPr>
          <w:sz w:val="15"/>
        </w:rPr>
        <w:t>Y GEOGRÁFICA https://iieg.gob.mx/contenido/Municipios/Magdalena.pdf</w:t>
      </w:r>
    </w:p>
    <w:p>
      <w:pPr>
        <w:pStyle w:val="BodyText"/>
        <w:rPr>
          <w:sz w:val="20"/>
        </w:rPr>
      </w:pPr>
    </w:p>
    <w:p>
      <w:pPr>
        <w:pStyle w:val="BodyText"/>
        <w:spacing w:before="9"/>
        <w:rPr>
          <w:sz w:val="28"/>
        </w:rPr>
      </w:pPr>
      <w:r>
        <w:rPr/>
        <w:pict>
          <v:line style="position:absolute;mso-position-horizontal-relative:page;mso-position-vertical-relative:paragraph;z-index:-251609088;mso-wrap-distance-left:0;mso-wrap-distance-right:0" from="68.064003pt,19.911083pt" to="212.084003pt,19.911083pt" stroked="true" strokeweight=".60004pt" strokecolor="#000000">
            <v:stroke dashstyle="solid"/>
            <w10:wrap type="topAndBottom"/>
          </v:line>
        </w:pict>
      </w:r>
    </w:p>
    <w:p>
      <w:pPr>
        <w:pStyle w:val="BodyText"/>
        <w:spacing w:before="5"/>
        <w:rPr>
          <w:sz w:val="14"/>
        </w:rPr>
      </w:pPr>
    </w:p>
    <w:p>
      <w:pPr>
        <w:spacing w:before="102"/>
        <w:ind w:left="3517" w:right="0" w:hanging="1465"/>
        <w:jc w:val="left"/>
        <w:rPr>
          <w:sz w:val="15"/>
        </w:rPr>
      </w:pPr>
      <w:r>
        <w:rPr>
          <w:position w:val="4"/>
          <w:sz w:val="10"/>
        </w:rPr>
        <w:t>1 </w:t>
      </w:r>
      <w:r>
        <w:rPr>
          <w:sz w:val="15"/>
        </w:rPr>
        <w:t>Ficha Municipal de Magdalena, Jalisco. INSTITUTO DE INFORMACIÓN ESTADÍSTICA Y GEOGRÁFICA https://iieg.gob.mx/contenido/Municipios/Magdalena.pdf</w:t>
      </w:r>
    </w:p>
    <w:p>
      <w:pPr>
        <w:spacing w:after="0"/>
        <w:jc w:val="left"/>
        <w:rPr>
          <w:sz w:val="15"/>
        </w:rPr>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En la tabla anterior, se muestra el porcentaje y número de personas en situación </w:t>
      </w:r>
      <w:r>
        <w:rPr>
          <w:spacing w:val="-3"/>
        </w:rPr>
        <w:t>de</w:t>
      </w:r>
      <w:r>
        <w:rPr>
          <w:spacing w:val="54"/>
        </w:rPr>
        <w:t> </w:t>
      </w:r>
      <w:r>
        <w:rPr/>
        <w:t>pobreza, vulnerable por carencias sociales, vulnerable por ingresos y; no pobre y no vulnerable.</w:t>
      </w:r>
    </w:p>
    <w:p>
      <w:pPr>
        <w:pStyle w:val="BodyText"/>
        <w:spacing w:before="4"/>
        <w:rPr>
          <w:sz w:val="25"/>
        </w:rPr>
      </w:pPr>
    </w:p>
    <w:p>
      <w:pPr>
        <w:pStyle w:val="BodyText"/>
        <w:spacing w:line="276" w:lineRule="auto"/>
        <w:ind w:left="901" w:right="1155"/>
        <w:jc w:val="both"/>
      </w:pPr>
      <w:r>
        <w:rPr/>
        <w:t>En Magdalena el 48.1 por ciento de la población se encuentra en situación de pobreza, es decir 11 mil cincuenta y una personas comparten esta situación en el municipio, así mismo el 32.7% por ciento de la población (7,512 personas) es vulnerable por carencias sociales; el 5.5 por ciento es vulnerable por ingresos y 13.7 por ciento es no pobre y </w:t>
      </w:r>
      <w:r>
        <w:rPr>
          <w:spacing w:val="-3"/>
        </w:rPr>
        <w:t>no </w:t>
      </w:r>
      <w:r>
        <w:rPr/>
        <w:t>vulnerable.</w:t>
      </w:r>
    </w:p>
    <w:p>
      <w:pPr>
        <w:pStyle w:val="BodyText"/>
        <w:spacing w:before="5"/>
        <w:rPr>
          <w:sz w:val="25"/>
        </w:rPr>
      </w:pPr>
    </w:p>
    <w:p>
      <w:pPr>
        <w:pStyle w:val="BodyText"/>
        <w:spacing w:line="276" w:lineRule="auto"/>
        <w:ind w:left="901" w:right="1154"/>
        <w:jc w:val="both"/>
      </w:pPr>
      <w:r>
        <w:rPr/>
        <w:t>Es importante agregar que sólo el 4.2 por ciento de la población de Magdalena presentó pobreza extrema, es decir novecientas sesenta y cinco personas (965), y un 43.9% por ciento está en pobreza moderada (10,086).</w:t>
      </w:r>
    </w:p>
    <w:p>
      <w:pPr>
        <w:pStyle w:val="BodyText"/>
        <w:spacing w:before="4"/>
        <w:rPr>
          <w:sz w:val="25"/>
        </w:rPr>
      </w:pPr>
    </w:p>
    <w:p>
      <w:pPr>
        <w:pStyle w:val="BodyText"/>
        <w:spacing w:line="276" w:lineRule="auto"/>
        <w:ind w:left="901" w:right="1157"/>
        <w:jc w:val="both"/>
      </w:pPr>
      <w:r>
        <w:rPr/>
        <w:t>De los indicadores de carencias sociales, destaca que el acceso a la seguridad social es la más alta con un 69.8 por ciento, que en términos absolutos se trata de 16 mil cuarenta y un habitantes que no tienen asegurados sus ingresos para una vejez</w:t>
      </w:r>
      <w:r>
        <w:rPr>
          <w:spacing w:val="-25"/>
        </w:rPr>
        <w:t> </w:t>
      </w:r>
      <w:r>
        <w:rPr/>
        <w:t>digna.</w:t>
      </w:r>
    </w:p>
    <w:p>
      <w:pPr>
        <w:pStyle w:val="BodyText"/>
        <w:spacing w:before="1"/>
        <w:rPr>
          <w:sz w:val="25"/>
        </w:rPr>
      </w:pPr>
    </w:p>
    <w:p>
      <w:pPr>
        <w:pStyle w:val="BodyText"/>
        <w:spacing w:line="276" w:lineRule="auto"/>
        <w:ind w:left="901" w:right="1156"/>
        <w:jc w:val="both"/>
      </w:pPr>
      <w:r>
        <w:rPr/>
        <w:t>La carencia social que menos tienen los habitantes del municipio es en cuanto a calidad y espacios de la vivienda. Es decir que solo el 7.8% de la población no cuenta con una vivienda de</w:t>
      </w:r>
      <w:r>
        <w:rPr>
          <w:spacing w:val="-9"/>
        </w:rPr>
        <w:t> </w:t>
      </w:r>
      <w:r>
        <w:rPr/>
        <w:t>calidad.</w:t>
      </w:r>
    </w:p>
    <w:p>
      <w:pPr>
        <w:pStyle w:val="BodyText"/>
        <w:spacing w:before="4"/>
        <w:rPr>
          <w:sz w:val="25"/>
        </w:rPr>
      </w:pPr>
    </w:p>
    <w:p>
      <w:pPr>
        <w:pStyle w:val="BodyText"/>
        <w:spacing w:line="276" w:lineRule="auto"/>
        <w:ind w:left="901" w:right="1155"/>
        <w:jc w:val="both"/>
      </w:pPr>
      <w:r>
        <w:rPr/>
        <w:t>El factor determinante para la pobreza a nivel municipal está dado por las carencias sociales. Si bien la ponderación de ingresos es relevante para el cálculo de la pobreza, los factores que destacan en mayor medida la falta de acceso a ciertos derechos sociales como la educación, la salud, la alimentación y la seguridad social.</w:t>
      </w:r>
    </w:p>
    <w:p>
      <w:pPr>
        <w:pStyle w:val="BodyText"/>
        <w:spacing w:before="6"/>
        <w:rPr>
          <w:sz w:val="25"/>
        </w:rPr>
      </w:pPr>
    </w:p>
    <w:p>
      <w:pPr>
        <w:pStyle w:val="BodyText"/>
        <w:spacing w:line="276" w:lineRule="auto"/>
        <w:ind w:left="901" w:right="1155"/>
        <w:jc w:val="both"/>
      </w:pPr>
      <w:r>
        <w:rPr/>
        <w:t>Estas cifras nos señalan, que si bien, la población de magdalena, en su gran mayoría tiene cubiertos sus servicios básicos y cuentan con vivienda de calidad, aún queda un reto importante en materia educativa, de seguridad social, acceso a salud y alimentación.</w:t>
      </w:r>
    </w:p>
    <w:p>
      <w:pPr>
        <w:pStyle w:val="BodyText"/>
        <w:rPr>
          <w:sz w:val="24"/>
        </w:rPr>
      </w:pPr>
    </w:p>
    <w:p>
      <w:pPr>
        <w:pStyle w:val="Heading2"/>
        <w:rPr>
          <w:rFonts w:ascii="Century Gothic" w:hAnsi="Century Gothic"/>
        </w:rPr>
      </w:pPr>
      <w:r>
        <w:rPr>
          <w:rFonts w:ascii="Century Gothic" w:hAnsi="Century Gothic"/>
        </w:rPr>
        <w:t>Marginación</w:t>
      </w:r>
    </w:p>
    <w:p>
      <w:pPr>
        <w:pStyle w:val="BodyText"/>
        <w:spacing w:before="8"/>
        <w:rPr>
          <w:b/>
          <w:sz w:val="23"/>
        </w:rPr>
      </w:pPr>
    </w:p>
    <w:p>
      <w:pPr>
        <w:pStyle w:val="BodyText"/>
        <w:spacing w:line="276" w:lineRule="auto"/>
        <w:ind w:left="901" w:right="1155"/>
        <w:jc w:val="both"/>
      </w:pPr>
      <w:r>
        <w:rPr/>
        <w:t>Según la ficha municipal de Magdalena, elaborada por IIEG, “La construcción del índice para las entidades federativas, regiones y municipios considera cuatro dimensiones estructurales de la marginación: falta de acceso a la educación (población analfabeta de 15 años o más y población sin primaria completa de 15 años o más), residencia en viviendas inadecuadas (sin disponibilidad de agua entubada, sin drenaje ni servicio sanitario exclusivo, con piso de tierra, sin disponibilidad de energía eléctrica</w:t>
      </w:r>
      <w:r>
        <w:rPr>
          <w:spacing w:val="14"/>
        </w:rPr>
        <w:t> </w:t>
      </w:r>
      <w:r>
        <w:rPr/>
        <w:t>y</w:t>
      </w:r>
      <w:r>
        <w:rPr>
          <w:spacing w:val="13"/>
        </w:rPr>
        <w:t> </w:t>
      </w:r>
      <w:r>
        <w:rPr/>
        <w:t>con</w:t>
      </w:r>
      <w:r>
        <w:rPr>
          <w:spacing w:val="12"/>
        </w:rPr>
        <w:t> </w:t>
      </w:r>
      <w:r>
        <w:rPr/>
        <w:t>algún</w:t>
      </w:r>
      <w:r>
        <w:rPr>
          <w:spacing w:val="14"/>
        </w:rPr>
        <w:t> </w:t>
      </w:r>
      <w:r>
        <w:rPr/>
        <w:t>nivel</w:t>
      </w:r>
      <w:r>
        <w:rPr>
          <w:spacing w:val="14"/>
        </w:rPr>
        <w:t> </w:t>
      </w:r>
      <w:r>
        <w:rPr/>
        <w:t>de</w:t>
      </w:r>
      <w:r>
        <w:rPr>
          <w:spacing w:val="14"/>
        </w:rPr>
        <w:t> </w:t>
      </w:r>
      <w:r>
        <w:rPr/>
        <w:t>hacinamiento),</w:t>
      </w:r>
      <w:r>
        <w:rPr>
          <w:spacing w:val="13"/>
        </w:rPr>
        <w:t> </w:t>
      </w:r>
      <w:r>
        <w:rPr/>
        <w:t>percepción</w:t>
      </w:r>
      <w:r>
        <w:rPr>
          <w:spacing w:val="12"/>
        </w:rPr>
        <w:t> </w:t>
      </w:r>
      <w:r>
        <w:rPr/>
        <w:t>de</w:t>
      </w:r>
      <w:r>
        <w:rPr>
          <w:spacing w:val="14"/>
        </w:rPr>
        <w:t> </w:t>
      </w:r>
      <w:r>
        <w:rPr/>
        <w:t>ingresos</w:t>
      </w:r>
      <w:r>
        <w:rPr>
          <w:spacing w:val="14"/>
        </w:rPr>
        <w:t> </w:t>
      </w:r>
      <w:r>
        <w:rPr/>
        <w:t>monetarios</w:t>
      </w:r>
    </w:p>
    <w:p>
      <w:pPr>
        <w:spacing w:after="0" w:line="276" w:lineRule="auto"/>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rPr>
          <w:sz w:val="14"/>
        </w:rPr>
      </w:pPr>
      <w:r>
        <w:rPr/>
        <w:t>insuficientes (ingresos hasta 2 salarios mínimos) y residir en localidades pequeñas con menos de 5 mil habitantes.”</w:t>
      </w:r>
      <w:r>
        <w:rPr>
          <w:position w:val="6"/>
          <w:sz w:val="14"/>
        </w:rPr>
        <w:t>2</w:t>
      </w:r>
    </w:p>
    <w:p>
      <w:pPr>
        <w:pStyle w:val="BodyText"/>
        <w:rPr>
          <w:sz w:val="24"/>
        </w:rPr>
      </w:pPr>
    </w:p>
    <w:p>
      <w:pPr>
        <w:pStyle w:val="BodyText"/>
        <w:spacing w:line="276" w:lineRule="auto"/>
        <w:ind w:left="901" w:right="1155"/>
        <w:jc w:val="both"/>
      </w:pPr>
      <w:r>
        <w:rPr/>
        <w:t>A nivel localidad, se tiene que la mayoría de las principales localidades del municipio tienen grado de marginación bajo, a excepción de San Andrés y San Simón que tienen grado de marginación medio, en particular se ve que esta última tiene los más altos porcentajes de población analfabeta (8.8 por ciento) y sin primaria completa (30.9 por ciento)</w:t>
      </w:r>
    </w:p>
    <w:p>
      <w:pPr>
        <w:pStyle w:val="BodyText"/>
        <w:spacing w:before="5"/>
        <w:rPr>
          <w:sz w:val="23"/>
        </w:rPr>
      </w:pPr>
    </w:p>
    <w:p>
      <w:pPr>
        <w:pStyle w:val="BodyText"/>
        <w:ind w:left="1001" w:right="900"/>
        <w:jc w:val="center"/>
        <w:rPr>
          <w:rFonts w:ascii="Corbel" w:hAnsi="Corbel"/>
        </w:rPr>
      </w:pPr>
      <w:r>
        <w:rPr>
          <w:rFonts w:ascii="Corbel" w:hAnsi="Corbel"/>
          <w:spacing w:val="-1"/>
          <w:w w:val="100"/>
        </w:rPr>
        <w:t>T</w:t>
      </w:r>
      <w:r>
        <w:rPr>
          <w:rFonts w:ascii="Corbel" w:hAnsi="Corbel"/>
          <w:spacing w:val="-2"/>
          <w:w w:val="100"/>
        </w:rPr>
        <w:t>A</w:t>
      </w:r>
      <w:r>
        <w:rPr>
          <w:rFonts w:ascii="Corbel" w:hAnsi="Corbel"/>
          <w:w w:val="100"/>
        </w:rPr>
        <w:t>BLA</w:t>
      </w:r>
      <w:r>
        <w:rPr>
          <w:rFonts w:ascii="Corbel" w:hAnsi="Corbel"/>
          <w:spacing w:val="-2"/>
        </w:rPr>
        <w:t> </w:t>
      </w:r>
      <w:r>
        <w:rPr>
          <w:rFonts w:ascii="Corbel" w:hAnsi="Corbel"/>
          <w:spacing w:val="-1"/>
          <w:w w:val="100"/>
        </w:rPr>
        <w:t>7</w:t>
      </w:r>
      <w:r>
        <w:rPr>
          <w:rFonts w:ascii="Corbel" w:hAnsi="Corbel"/>
          <w:w w:val="100"/>
        </w:rPr>
        <w:t>.</w:t>
      </w:r>
      <w:r>
        <w:rPr>
          <w:rFonts w:ascii="Corbel" w:hAnsi="Corbel"/>
          <w:spacing w:val="-2"/>
        </w:rPr>
        <w:t> </w:t>
      </w:r>
      <w:r>
        <w:rPr>
          <w:rFonts w:ascii="Corbel" w:hAnsi="Corbel"/>
          <w:spacing w:val="-2"/>
          <w:w w:val="100"/>
        </w:rPr>
        <w:t>GRA</w:t>
      </w:r>
      <w:r>
        <w:rPr>
          <w:rFonts w:ascii="Corbel" w:hAnsi="Corbel"/>
          <w:w w:val="100"/>
        </w:rPr>
        <w:t>DO</w:t>
      </w:r>
      <w:r>
        <w:rPr>
          <w:rFonts w:ascii="Corbel" w:hAnsi="Corbel"/>
        </w:rPr>
        <w:t> </w:t>
      </w:r>
      <w:r>
        <w:rPr>
          <w:rFonts w:ascii="Corbel" w:hAnsi="Corbel"/>
          <w:w w:val="100"/>
        </w:rPr>
        <w:t>DE</w:t>
      </w:r>
      <w:r>
        <w:rPr>
          <w:rFonts w:ascii="Corbel" w:hAnsi="Corbel"/>
          <w:spacing w:val="-1"/>
        </w:rPr>
        <w:t> </w:t>
      </w:r>
      <w:r>
        <w:rPr>
          <w:rFonts w:ascii="Corbel" w:hAnsi="Corbel"/>
          <w:w w:val="100"/>
        </w:rPr>
        <w:t>M</w:t>
      </w:r>
      <w:r>
        <w:rPr>
          <w:rFonts w:ascii="Corbel" w:hAnsi="Corbel"/>
          <w:spacing w:val="-2"/>
          <w:w w:val="100"/>
        </w:rPr>
        <w:t>ARG</w:t>
      </w:r>
      <w:r>
        <w:rPr>
          <w:rFonts w:ascii="Corbel" w:hAnsi="Corbel"/>
          <w:w w:val="100"/>
        </w:rPr>
        <w:t>I</w:t>
      </w:r>
      <w:r>
        <w:rPr>
          <w:rFonts w:ascii="Corbel" w:hAnsi="Corbel"/>
          <w:spacing w:val="-1"/>
          <w:w w:val="100"/>
        </w:rPr>
        <w:t>N</w:t>
      </w:r>
      <w:r>
        <w:rPr>
          <w:rFonts w:ascii="Corbel" w:hAnsi="Corbel"/>
          <w:spacing w:val="-2"/>
          <w:w w:val="100"/>
        </w:rPr>
        <w:t>A</w:t>
      </w:r>
      <w:r>
        <w:rPr>
          <w:rFonts w:ascii="Corbel" w:hAnsi="Corbel"/>
          <w:spacing w:val="-1"/>
          <w:w w:val="100"/>
        </w:rPr>
        <w:t>CIÓ</w:t>
      </w:r>
      <w:r>
        <w:rPr>
          <w:rFonts w:ascii="Corbel" w:hAnsi="Corbel"/>
          <w:w w:val="100"/>
        </w:rPr>
        <w:t>N</w:t>
      </w:r>
      <w:r>
        <w:rPr>
          <w:rFonts w:ascii="Corbel" w:hAnsi="Corbel"/>
          <w:spacing w:val="-1"/>
        </w:rPr>
        <w:t> </w:t>
      </w:r>
      <w:r>
        <w:rPr>
          <w:rFonts w:ascii="Corbel" w:hAnsi="Corbel"/>
          <w:w w:val="100"/>
        </w:rPr>
        <w:t>E</w:t>
      </w:r>
      <w:r>
        <w:rPr>
          <w:rFonts w:ascii="Corbel" w:hAnsi="Corbel"/>
          <w:spacing w:val="-1"/>
        </w:rPr>
        <w:t> </w:t>
      </w:r>
      <w:r>
        <w:rPr>
          <w:rFonts w:ascii="Corbel" w:hAnsi="Corbel"/>
          <w:w w:val="100"/>
        </w:rPr>
        <w:t>I</w:t>
      </w:r>
      <w:r>
        <w:rPr>
          <w:rFonts w:ascii="Corbel" w:hAnsi="Corbel"/>
          <w:spacing w:val="-3"/>
          <w:w w:val="100"/>
        </w:rPr>
        <w:t>N</w:t>
      </w:r>
      <w:r>
        <w:rPr>
          <w:rFonts w:ascii="Corbel" w:hAnsi="Corbel"/>
          <w:w w:val="100"/>
        </w:rPr>
        <w:t>D</w:t>
      </w:r>
      <w:r>
        <w:rPr>
          <w:rFonts w:ascii="Corbel" w:hAnsi="Corbel"/>
          <w:spacing w:val="1"/>
          <w:w w:val="100"/>
        </w:rPr>
        <w:t>I</w:t>
      </w:r>
      <w:r>
        <w:rPr>
          <w:rFonts w:ascii="Corbel" w:hAnsi="Corbel"/>
          <w:spacing w:val="-1"/>
          <w:w w:val="100"/>
        </w:rPr>
        <w:t>C</w:t>
      </w:r>
      <w:r>
        <w:rPr>
          <w:rFonts w:ascii="Corbel" w:hAnsi="Corbel"/>
          <w:spacing w:val="-2"/>
          <w:w w:val="100"/>
        </w:rPr>
        <w:t>A</w:t>
      </w:r>
      <w:r>
        <w:rPr>
          <w:rFonts w:ascii="Corbel" w:hAnsi="Corbel"/>
          <w:w w:val="100"/>
        </w:rPr>
        <w:t>DO</w:t>
      </w:r>
      <w:r>
        <w:rPr>
          <w:rFonts w:ascii="Corbel" w:hAnsi="Corbel"/>
          <w:spacing w:val="-4"/>
          <w:w w:val="100"/>
        </w:rPr>
        <w:t>R</w:t>
      </w:r>
      <w:r>
        <w:rPr>
          <w:rFonts w:ascii="Corbel" w:hAnsi="Corbel"/>
          <w:spacing w:val="-2"/>
          <w:w w:val="100"/>
        </w:rPr>
        <w:t>E</w:t>
      </w:r>
      <w:r>
        <w:rPr>
          <w:rFonts w:ascii="Corbel" w:hAnsi="Corbel"/>
          <w:w w:val="100"/>
        </w:rPr>
        <w:t>S</w:t>
      </w:r>
      <w:r>
        <w:rPr>
          <w:rFonts w:ascii="Corbel" w:hAnsi="Corbel"/>
        </w:rPr>
        <w:t> </w:t>
      </w:r>
      <w:r>
        <w:rPr>
          <w:rFonts w:ascii="Corbel" w:hAnsi="Corbel"/>
          <w:w w:val="100"/>
        </w:rPr>
        <w:t>SOCI</w:t>
      </w:r>
      <w:r>
        <w:rPr>
          <w:rFonts w:ascii="Corbel" w:hAnsi="Corbel"/>
          <w:spacing w:val="-3"/>
          <w:w w:val="100"/>
        </w:rPr>
        <w:t>O</w:t>
      </w:r>
      <w:r>
        <w:rPr>
          <w:rFonts w:ascii="Corbel" w:hAnsi="Corbel"/>
          <w:w w:val="100"/>
        </w:rPr>
        <w:t>-D</w:t>
      </w:r>
      <w:r>
        <w:rPr>
          <w:rFonts w:ascii="Corbel" w:hAnsi="Corbel"/>
          <w:spacing w:val="-2"/>
          <w:w w:val="100"/>
        </w:rPr>
        <w:t>E</w:t>
      </w:r>
      <w:r>
        <w:rPr>
          <w:rFonts w:ascii="Corbel" w:hAnsi="Corbel"/>
          <w:w w:val="100"/>
        </w:rPr>
        <w:t>M</w:t>
      </w:r>
      <w:r>
        <w:rPr>
          <w:rFonts w:ascii="Corbel" w:hAnsi="Corbel"/>
          <w:spacing w:val="-1"/>
          <w:w w:val="100"/>
        </w:rPr>
        <w:t>O</w:t>
      </w:r>
      <w:r>
        <w:rPr>
          <w:rFonts w:ascii="Corbel" w:hAnsi="Corbel"/>
          <w:spacing w:val="-2"/>
          <w:w w:val="100"/>
        </w:rPr>
        <w:t>GRÁ</w:t>
      </w:r>
      <w:r>
        <w:rPr>
          <w:rFonts w:ascii="Corbel" w:hAnsi="Corbel"/>
          <w:spacing w:val="-1"/>
          <w:w w:val="100"/>
        </w:rPr>
        <w:t>F</w:t>
      </w:r>
      <w:r>
        <w:rPr>
          <w:rFonts w:ascii="Corbel" w:hAnsi="Corbel"/>
          <w:w w:val="100"/>
        </w:rPr>
        <w:t>I</w:t>
      </w:r>
      <w:r>
        <w:rPr>
          <w:rFonts w:ascii="Corbel" w:hAnsi="Corbel"/>
          <w:spacing w:val="-1"/>
          <w:w w:val="100"/>
        </w:rPr>
        <w:t>C</w:t>
      </w:r>
      <w:r>
        <w:rPr>
          <w:rFonts w:ascii="Corbel" w:hAnsi="Corbel"/>
          <w:w w:val="100"/>
        </w:rPr>
        <w:t>O</w:t>
      </w:r>
      <w:r>
        <w:rPr>
          <w:rFonts w:ascii="Corbel" w:hAnsi="Corbel"/>
          <w:spacing w:val="-1"/>
        </w:rPr>
        <w:t> </w:t>
      </w:r>
      <w:r>
        <w:rPr>
          <w:rFonts w:ascii="Corbel" w:hAnsi="Corbel"/>
          <w:smallCaps/>
          <w:w w:val="100"/>
        </w:rPr>
        <w:t>2</w:t>
      </w:r>
      <w:r>
        <w:rPr>
          <w:rFonts w:ascii="Corbel" w:hAnsi="Corbel"/>
          <w:smallCaps/>
          <w:spacing w:val="-1"/>
          <w:w w:val="100"/>
        </w:rPr>
        <w:t>010</w:t>
      </w:r>
    </w:p>
    <w:p>
      <w:pPr>
        <w:pStyle w:val="BodyText"/>
        <w:spacing w:before="10"/>
        <w:rPr>
          <w:rFonts w:ascii="Corbel"/>
          <w:sz w:val="26"/>
        </w:rPr>
      </w:pPr>
    </w:p>
    <w:tbl>
      <w:tblPr>
        <w:tblW w:w="0" w:type="auto"/>
        <w:jc w:val="left"/>
        <w:tblInd w:w="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04"/>
        <w:gridCol w:w="1316"/>
        <w:gridCol w:w="1643"/>
        <w:gridCol w:w="1530"/>
        <w:gridCol w:w="1539"/>
        <w:gridCol w:w="1566"/>
        <w:gridCol w:w="1377"/>
      </w:tblGrid>
      <w:tr>
        <w:trPr>
          <w:trHeight w:val="2612" w:hRule="atLeast"/>
        </w:trPr>
        <w:tc>
          <w:tcPr>
            <w:tcW w:w="1604" w:type="dxa"/>
            <w:tcBorders>
              <w:bottom w:val="single" w:sz="6" w:space="0" w:color="000000"/>
              <w:right w:val="single" w:sz="4" w:space="0" w:color="000000"/>
            </w:tcBorders>
          </w:tcPr>
          <w:p>
            <w:pPr>
              <w:pStyle w:val="TableParagraph"/>
              <w:spacing w:before="3"/>
              <w:ind w:left="312" w:right="303" w:firstLine="19"/>
              <w:rPr>
                <w:sz w:val="20"/>
              </w:rPr>
            </w:pPr>
            <w:r>
              <w:rPr>
                <w:sz w:val="20"/>
              </w:rPr>
              <w:t>Municipio </w:t>
            </w:r>
            <w:r>
              <w:rPr>
                <w:w w:val="95"/>
                <w:sz w:val="20"/>
              </w:rPr>
              <w:t>Localidad</w:t>
            </w:r>
          </w:p>
        </w:tc>
        <w:tc>
          <w:tcPr>
            <w:tcW w:w="1316" w:type="dxa"/>
            <w:tcBorders>
              <w:left w:val="single" w:sz="4" w:space="0" w:color="000000"/>
              <w:bottom w:val="single" w:sz="6" w:space="0" w:color="000000"/>
            </w:tcBorders>
          </w:tcPr>
          <w:p>
            <w:pPr>
              <w:pStyle w:val="TableParagraph"/>
              <w:spacing w:before="3"/>
              <w:ind w:left="371" w:right="260"/>
              <w:jc w:val="center"/>
              <w:rPr>
                <w:sz w:val="20"/>
              </w:rPr>
            </w:pPr>
            <w:r>
              <w:rPr>
                <w:sz w:val="20"/>
              </w:rPr>
              <w:t>Grado</w:t>
            </w:r>
          </w:p>
        </w:tc>
        <w:tc>
          <w:tcPr>
            <w:tcW w:w="1643" w:type="dxa"/>
            <w:tcBorders>
              <w:bottom w:val="single" w:sz="6" w:space="0" w:color="000000"/>
            </w:tcBorders>
          </w:tcPr>
          <w:p>
            <w:pPr>
              <w:pStyle w:val="TableParagraph"/>
              <w:spacing w:before="3"/>
              <w:ind w:left="333" w:hanging="53"/>
              <w:rPr>
                <w:sz w:val="20"/>
              </w:rPr>
            </w:pPr>
            <w:r>
              <w:rPr>
                <w:sz w:val="20"/>
              </w:rPr>
              <w:t>% población de 15 años analfabeta</w:t>
            </w:r>
          </w:p>
        </w:tc>
        <w:tc>
          <w:tcPr>
            <w:tcW w:w="1530" w:type="dxa"/>
            <w:tcBorders>
              <w:bottom w:val="single" w:sz="6" w:space="0" w:color="000000"/>
            </w:tcBorders>
          </w:tcPr>
          <w:p>
            <w:pPr>
              <w:pStyle w:val="TableParagraph"/>
              <w:spacing w:before="3"/>
              <w:ind w:left="149" w:right="122" w:hanging="3"/>
              <w:jc w:val="center"/>
              <w:rPr>
                <w:sz w:val="20"/>
              </w:rPr>
            </w:pPr>
            <w:r>
              <w:rPr>
                <w:sz w:val="20"/>
              </w:rPr>
              <w:t>% población de 15 años o más si prima- ria comple- tada</w:t>
            </w:r>
          </w:p>
        </w:tc>
        <w:tc>
          <w:tcPr>
            <w:tcW w:w="1539" w:type="dxa"/>
            <w:tcBorders>
              <w:bottom w:val="single" w:sz="6" w:space="0" w:color="000000"/>
            </w:tcBorders>
          </w:tcPr>
          <w:p>
            <w:pPr>
              <w:pStyle w:val="TableParagraph"/>
              <w:spacing w:before="3"/>
              <w:ind w:left="119" w:right="94" w:firstLine="1"/>
              <w:jc w:val="center"/>
              <w:rPr>
                <w:sz w:val="20"/>
              </w:rPr>
            </w:pPr>
            <w:r>
              <w:rPr>
                <w:sz w:val="20"/>
              </w:rPr>
              <w:t>Población en localidades con menos de 5000 habi- tantes</w:t>
            </w:r>
          </w:p>
        </w:tc>
        <w:tc>
          <w:tcPr>
            <w:tcW w:w="1566" w:type="dxa"/>
            <w:tcBorders>
              <w:bottom w:val="single" w:sz="6" w:space="0" w:color="000000"/>
            </w:tcBorders>
          </w:tcPr>
          <w:p>
            <w:pPr>
              <w:pStyle w:val="TableParagraph"/>
              <w:spacing w:before="3"/>
              <w:ind w:left="90" w:right="108" w:hanging="2"/>
              <w:jc w:val="center"/>
              <w:rPr>
                <w:sz w:val="20"/>
              </w:rPr>
            </w:pPr>
            <w:r>
              <w:rPr>
                <w:sz w:val="20"/>
              </w:rPr>
              <w:t>% población ocupada con ingresos de hasta dos salarios míni- mos</w:t>
            </w:r>
          </w:p>
        </w:tc>
        <w:tc>
          <w:tcPr>
            <w:tcW w:w="1377" w:type="dxa"/>
            <w:tcBorders>
              <w:bottom w:val="single" w:sz="6" w:space="0" w:color="000000"/>
            </w:tcBorders>
          </w:tcPr>
          <w:p>
            <w:pPr>
              <w:pStyle w:val="TableParagraph"/>
              <w:spacing w:before="3"/>
              <w:ind w:left="101" w:right="133" w:firstLine="1"/>
              <w:jc w:val="center"/>
              <w:rPr>
                <w:sz w:val="20"/>
              </w:rPr>
            </w:pPr>
            <w:r>
              <w:rPr>
                <w:sz w:val="20"/>
              </w:rPr>
              <w:t>% viviendas partículas habitadas que no dis- ponen de </w:t>
            </w:r>
            <w:r>
              <w:rPr>
                <w:w w:val="95"/>
                <w:sz w:val="20"/>
              </w:rPr>
              <w:t>refrigerador</w:t>
            </w:r>
          </w:p>
        </w:tc>
      </w:tr>
      <w:tr>
        <w:trPr>
          <w:trHeight w:val="452" w:hRule="atLeast"/>
        </w:trPr>
        <w:tc>
          <w:tcPr>
            <w:tcW w:w="1604" w:type="dxa"/>
            <w:tcBorders>
              <w:top w:val="single" w:sz="6" w:space="0" w:color="000000"/>
              <w:right w:val="single" w:sz="4" w:space="0" w:color="000000"/>
            </w:tcBorders>
          </w:tcPr>
          <w:p>
            <w:pPr>
              <w:pStyle w:val="TableParagraph"/>
              <w:spacing w:before="80"/>
              <w:ind w:left="127" w:right="120"/>
              <w:jc w:val="center"/>
              <w:rPr>
                <w:sz w:val="20"/>
              </w:rPr>
            </w:pPr>
            <w:r>
              <w:rPr>
                <w:sz w:val="20"/>
              </w:rPr>
              <w:t>Jalisco</w:t>
            </w:r>
          </w:p>
        </w:tc>
        <w:tc>
          <w:tcPr>
            <w:tcW w:w="1316" w:type="dxa"/>
            <w:tcBorders>
              <w:top w:val="single" w:sz="6" w:space="0" w:color="000000"/>
              <w:left w:val="single" w:sz="4" w:space="0" w:color="000000"/>
            </w:tcBorders>
            <w:shd w:val="clear" w:color="auto" w:fill="CCCCCC"/>
          </w:tcPr>
          <w:p>
            <w:pPr>
              <w:pStyle w:val="TableParagraph"/>
              <w:spacing w:before="80"/>
              <w:ind w:left="371" w:right="258"/>
              <w:jc w:val="center"/>
              <w:rPr>
                <w:sz w:val="20"/>
              </w:rPr>
            </w:pPr>
            <w:r>
              <w:rPr>
                <w:sz w:val="20"/>
              </w:rPr>
              <w:t>Bajo</w:t>
            </w:r>
          </w:p>
        </w:tc>
        <w:tc>
          <w:tcPr>
            <w:tcW w:w="1643" w:type="dxa"/>
            <w:tcBorders>
              <w:top w:val="single" w:sz="6" w:space="0" w:color="000000"/>
            </w:tcBorders>
            <w:shd w:val="clear" w:color="auto" w:fill="CCCCCC"/>
          </w:tcPr>
          <w:p>
            <w:pPr>
              <w:pStyle w:val="TableParagraph"/>
              <w:spacing w:before="80"/>
              <w:ind w:right="619"/>
              <w:jc w:val="right"/>
              <w:rPr>
                <w:sz w:val="20"/>
              </w:rPr>
            </w:pPr>
            <w:r>
              <w:rPr>
                <w:sz w:val="20"/>
              </w:rPr>
              <w:t>4.5</w:t>
            </w:r>
          </w:p>
        </w:tc>
        <w:tc>
          <w:tcPr>
            <w:tcW w:w="1530" w:type="dxa"/>
            <w:tcBorders>
              <w:top w:val="single" w:sz="6" w:space="0" w:color="000000"/>
            </w:tcBorders>
            <w:shd w:val="clear" w:color="auto" w:fill="CCCCCC"/>
          </w:tcPr>
          <w:p>
            <w:pPr>
              <w:pStyle w:val="TableParagraph"/>
              <w:spacing w:before="80"/>
              <w:ind w:right="558"/>
              <w:jc w:val="right"/>
              <w:rPr>
                <w:sz w:val="20"/>
              </w:rPr>
            </w:pPr>
            <w:r>
              <w:rPr>
                <w:w w:val="95"/>
                <w:sz w:val="20"/>
              </w:rPr>
              <w:t>18.0</w:t>
            </w:r>
          </w:p>
        </w:tc>
        <w:tc>
          <w:tcPr>
            <w:tcW w:w="1539" w:type="dxa"/>
            <w:tcBorders>
              <w:top w:val="single" w:sz="6" w:space="0" w:color="000000"/>
            </w:tcBorders>
            <w:shd w:val="clear" w:color="auto" w:fill="CCCCCC"/>
          </w:tcPr>
          <w:p>
            <w:pPr>
              <w:pStyle w:val="TableParagraph"/>
              <w:spacing w:before="80"/>
              <w:ind w:right="563"/>
              <w:jc w:val="right"/>
              <w:rPr>
                <w:sz w:val="20"/>
              </w:rPr>
            </w:pPr>
            <w:r>
              <w:rPr>
                <w:w w:val="95"/>
                <w:sz w:val="20"/>
              </w:rPr>
              <w:t>17.5</w:t>
            </w:r>
          </w:p>
        </w:tc>
        <w:tc>
          <w:tcPr>
            <w:tcW w:w="1566" w:type="dxa"/>
            <w:tcBorders>
              <w:top w:val="single" w:sz="6" w:space="0" w:color="000000"/>
            </w:tcBorders>
            <w:shd w:val="clear" w:color="auto" w:fill="CCCCCC"/>
          </w:tcPr>
          <w:p>
            <w:pPr>
              <w:pStyle w:val="TableParagraph"/>
              <w:spacing w:before="80"/>
              <w:ind w:left="560" w:right="578"/>
              <w:jc w:val="center"/>
              <w:rPr>
                <w:sz w:val="20"/>
              </w:rPr>
            </w:pPr>
            <w:r>
              <w:rPr>
                <w:sz w:val="20"/>
              </w:rPr>
              <w:t>27.2</w:t>
            </w:r>
          </w:p>
        </w:tc>
        <w:tc>
          <w:tcPr>
            <w:tcW w:w="1377" w:type="dxa"/>
            <w:tcBorders>
              <w:top w:val="single" w:sz="6" w:space="0" w:color="000000"/>
            </w:tcBorders>
            <w:shd w:val="clear" w:color="auto" w:fill="CCCCCC"/>
          </w:tcPr>
          <w:p>
            <w:pPr>
              <w:pStyle w:val="TableParagraph"/>
              <w:spacing w:before="80"/>
              <w:ind w:left="456" w:right="490"/>
              <w:jc w:val="center"/>
              <w:rPr>
                <w:sz w:val="20"/>
              </w:rPr>
            </w:pPr>
            <w:r>
              <w:rPr>
                <w:sz w:val="20"/>
              </w:rPr>
              <w:t>6.8</w:t>
            </w:r>
          </w:p>
        </w:tc>
      </w:tr>
      <w:tr>
        <w:trPr>
          <w:trHeight w:val="460" w:hRule="atLeast"/>
        </w:trPr>
        <w:tc>
          <w:tcPr>
            <w:tcW w:w="1604" w:type="dxa"/>
            <w:tcBorders>
              <w:right w:val="single" w:sz="4" w:space="0" w:color="000000"/>
            </w:tcBorders>
          </w:tcPr>
          <w:p>
            <w:pPr>
              <w:pStyle w:val="TableParagraph"/>
              <w:spacing w:before="84"/>
              <w:ind w:left="127" w:right="121"/>
              <w:jc w:val="center"/>
              <w:rPr>
                <w:sz w:val="20"/>
              </w:rPr>
            </w:pPr>
            <w:r>
              <w:rPr>
                <w:sz w:val="20"/>
              </w:rPr>
              <w:t>Región Valles</w:t>
            </w:r>
          </w:p>
        </w:tc>
        <w:tc>
          <w:tcPr>
            <w:tcW w:w="1316" w:type="dxa"/>
            <w:tcBorders>
              <w:left w:val="single" w:sz="4" w:space="0" w:color="000000"/>
            </w:tcBorders>
          </w:tcPr>
          <w:p>
            <w:pPr>
              <w:pStyle w:val="TableParagraph"/>
              <w:spacing w:before="84"/>
              <w:ind w:left="371" w:right="258"/>
              <w:jc w:val="center"/>
              <w:rPr>
                <w:sz w:val="20"/>
              </w:rPr>
            </w:pPr>
            <w:r>
              <w:rPr>
                <w:sz w:val="20"/>
              </w:rPr>
              <w:t>Bajo</w:t>
            </w:r>
          </w:p>
        </w:tc>
        <w:tc>
          <w:tcPr>
            <w:tcW w:w="1643" w:type="dxa"/>
          </w:tcPr>
          <w:p>
            <w:pPr>
              <w:pStyle w:val="TableParagraph"/>
              <w:spacing w:before="84"/>
              <w:ind w:right="619"/>
              <w:jc w:val="right"/>
              <w:rPr>
                <w:sz w:val="20"/>
              </w:rPr>
            </w:pPr>
            <w:r>
              <w:rPr>
                <w:sz w:val="20"/>
              </w:rPr>
              <w:t>5.5</w:t>
            </w:r>
          </w:p>
        </w:tc>
        <w:tc>
          <w:tcPr>
            <w:tcW w:w="1530" w:type="dxa"/>
          </w:tcPr>
          <w:p>
            <w:pPr>
              <w:pStyle w:val="TableParagraph"/>
              <w:spacing w:before="84"/>
              <w:ind w:right="558"/>
              <w:jc w:val="right"/>
              <w:rPr>
                <w:sz w:val="20"/>
              </w:rPr>
            </w:pPr>
            <w:r>
              <w:rPr>
                <w:w w:val="95"/>
                <w:sz w:val="20"/>
              </w:rPr>
              <w:t>23.2</w:t>
            </w:r>
          </w:p>
        </w:tc>
        <w:tc>
          <w:tcPr>
            <w:tcW w:w="1539" w:type="dxa"/>
          </w:tcPr>
          <w:p>
            <w:pPr>
              <w:pStyle w:val="TableParagraph"/>
              <w:spacing w:before="84"/>
              <w:ind w:right="563"/>
              <w:jc w:val="right"/>
              <w:rPr>
                <w:sz w:val="20"/>
              </w:rPr>
            </w:pPr>
            <w:r>
              <w:rPr>
                <w:w w:val="95"/>
                <w:sz w:val="20"/>
              </w:rPr>
              <w:t>39.1</w:t>
            </w:r>
          </w:p>
        </w:tc>
        <w:tc>
          <w:tcPr>
            <w:tcW w:w="1566" w:type="dxa"/>
          </w:tcPr>
          <w:p>
            <w:pPr>
              <w:pStyle w:val="TableParagraph"/>
              <w:spacing w:before="84"/>
              <w:ind w:left="560" w:right="578"/>
              <w:jc w:val="center"/>
              <w:rPr>
                <w:sz w:val="20"/>
              </w:rPr>
            </w:pPr>
            <w:r>
              <w:rPr>
                <w:sz w:val="20"/>
              </w:rPr>
              <w:t>39.1</w:t>
            </w:r>
          </w:p>
        </w:tc>
        <w:tc>
          <w:tcPr>
            <w:tcW w:w="1377" w:type="dxa"/>
          </w:tcPr>
          <w:p>
            <w:pPr>
              <w:pStyle w:val="TableParagraph"/>
              <w:spacing w:before="84"/>
              <w:ind w:left="456" w:right="490"/>
              <w:jc w:val="center"/>
              <w:rPr>
                <w:sz w:val="20"/>
              </w:rPr>
            </w:pPr>
            <w:r>
              <w:rPr>
                <w:sz w:val="20"/>
              </w:rPr>
              <w:t>8.6</w:t>
            </w:r>
          </w:p>
        </w:tc>
      </w:tr>
      <w:tr>
        <w:trPr>
          <w:trHeight w:val="461" w:hRule="atLeast"/>
        </w:trPr>
        <w:tc>
          <w:tcPr>
            <w:tcW w:w="1604" w:type="dxa"/>
            <w:tcBorders>
              <w:right w:val="single" w:sz="4" w:space="0" w:color="000000"/>
            </w:tcBorders>
          </w:tcPr>
          <w:p>
            <w:pPr>
              <w:pStyle w:val="TableParagraph"/>
              <w:spacing w:before="85"/>
              <w:ind w:left="127" w:right="123"/>
              <w:jc w:val="center"/>
              <w:rPr>
                <w:sz w:val="20"/>
              </w:rPr>
            </w:pPr>
            <w:r>
              <w:rPr>
                <w:sz w:val="20"/>
              </w:rPr>
              <w:t>Magdalena</w:t>
            </w:r>
          </w:p>
        </w:tc>
        <w:tc>
          <w:tcPr>
            <w:tcW w:w="1316" w:type="dxa"/>
            <w:tcBorders>
              <w:left w:val="single" w:sz="4" w:space="0" w:color="000000"/>
            </w:tcBorders>
            <w:shd w:val="clear" w:color="auto" w:fill="CCCCCC"/>
          </w:tcPr>
          <w:p>
            <w:pPr>
              <w:pStyle w:val="TableParagraph"/>
              <w:spacing w:before="85"/>
              <w:ind w:left="371" w:right="258"/>
              <w:jc w:val="center"/>
              <w:rPr>
                <w:sz w:val="20"/>
              </w:rPr>
            </w:pPr>
            <w:r>
              <w:rPr>
                <w:sz w:val="20"/>
              </w:rPr>
              <w:t>Bajo</w:t>
            </w:r>
          </w:p>
        </w:tc>
        <w:tc>
          <w:tcPr>
            <w:tcW w:w="1643" w:type="dxa"/>
            <w:shd w:val="clear" w:color="auto" w:fill="CCCCCC"/>
          </w:tcPr>
          <w:p>
            <w:pPr>
              <w:pStyle w:val="TableParagraph"/>
              <w:spacing w:before="85"/>
              <w:ind w:right="619"/>
              <w:jc w:val="right"/>
              <w:rPr>
                <w:sz w:val="20"/>
              </w:rPr>
            </w:pPr>
            <w:r>
              <w:rPr>
                <w:sz w:val="20"/>
              </w:rPr>
              <w:t>5.6</w:t>
            </w:r>
          </w:p>
        </w:tc>
        <w:tc>
          <w:tcPr>
            <w:tcW w:w="1530" w:type="dxa"/>
            <w:shd w:val="clear" w:color="auto" w:fill="CCCCCC"/>
          </w:tcPr>
          <w:p>
            <w:pPr>
              <w:pStyle w:val="TableParagraph"/>
              <w:spacing w:before="85"/>
              <w:ind w:right="558"/>
              <w:jc w:val="right"/>
              <w:rPr>
                <w:sz w:val="20"/>
              </w:rPr>
            </w:pPr>
            <w:r>
              <w:rPr>
                <w:w w:val="95"/>
                <w:sz w:val="20"/>
              </w:rPr>
              <w:t>23.7</w:t>
            </w:r>
          </w:p>
        </w:tc>
        <w:tc>
          <w:tcPr>
            <w:tcW w:w="1539" w:type="dxa"/>
            <w:shd w:val="clear" w:color="auto" w:fill="CCCCCC"/>
          </w:tcPr>
          <w:p>
            <w:pPr>
              <w:pStyle w:val="TableParagraph"/>
              <w:spacing w:before="85"/>
              <w:ind w:right="563"/>
              <w:jc w:val="right"/>
              <w:rPr>
                <w:sz w:val="20"/>
              </w:rPr>
            </w:pPr>
            <w:r>
              <w:rPr>
                <w:w w:val="95"/>
                <w:sz w:val="20"/>
              </w:rPr>
              <w:t>24.0</w:t>
            </w:r>
          </w:p>
        </w:tc>
        <w:tc>
          <w:tcPr>
            <w:tcW w:w="1566" w:type="dxa"/>
            <w:shd w:val="clear" w:color="auto" w:fill="CCCCCC"/>
          </w:tcPr>
          <w:p>
            <w:pPr>
              <w:pStyle w:val="TableParagraph"/>
              <w:spacing w:before="85"/>
              <w:ind w:left="560" w:right="578"/>
              <w:jc w:val="center"/>
              <w:rPr>
                <w:sz w:val="20"/>
              </w:rPr>
            </w:pPr>
            <w:r>
              <w:rPr>
                <w:sz w:val="20"/>
              </w:rPr>
              <w:t>33.1</w:t>
            </w:r>
          </w:p>
        </w:tc>
        <w:tc>
          <w:tcPr>
            <w:tcW w:w="1377" w:type="dxa"/>
            <w:shd w:val="clear" w:color="auto" w:fill="CCCCCC"/>
          </w:tcPr>
          <w:p>
            <w:pPr>
              <w:pStyle w:val="TableParagraph"/>
              <w:spacing w:before="85"/>
              <w:ind w:left="459" w:right="490"/>
              <w:jc w:val="center"/>
              <w:rPr>
                <w:sz w:val="20"/>
              </w:rPr>
            </w:pPr>
            <w:r>
              <w:rPr>
                <w:sz w:val="20"/>
              </w:rPr>
              <w:t>12.3</w:t>
            </w:r>
          </w:p>
        </w:tc>
      </w:tr>
      <w:tr>
        <w:trPr>
          <w:trHeight w:val="604" w:hRule="atLeast"/>
        </w:trPr>
        <w:tc>
          <w:tcPr>
            <w:tcW w:w="1604" w:type="dxa"/>
            <w:tcBorders>
              <w:right w:val="single" w:sz="4" w:space="0" w:color="000000"/>
            </w:tcBorders>
          </w:tcPr>
          <w:p>
            <w:pPr>
              <w:pStyle w:val="TableParagraph"/>
              <w:spacing w:before="82"/>
              <w:ind w:left="127" w:right="123"/>
              <w:jc w:val="center"/>
              <w:rPr>
                <w:sz w:val="20"/>
              </w:rPr>
            </w:pPr>
            <w:r>
              <w:rPr>
                <w:sz w:val="20"/>
              </w:rPr>
              <w:t>San Andrés</w:t>
            </w:r>
          </w:p>
        </w:tc>
        <w:tc>
          <w:tcPr>
            <w:tcW w:w="1316" w:type="dxa"/>
            <w:tcBorders>
              <w:left w:val="single" w:sz="4" w:space="0" w:color="000000"/>
            </w:tcBorders>
          </w:tcPr>
          <w:p>
            <w:pPr>
              <w:pStyle w:val="TableParagraph"/>
              <w:spacing w:before="82"/>
              <w:ind w:left="371" w:right="260"/>
              <w:jc w:val="center"/>
              <w:rPr>
                <w:sz w:val="20"/>
              </w:rPr>
            </w:pPr>
            <w:r>
              <w:rPr>
                <w:sz w:val="20"/>
              </w:rPr>
              <w:t>Medio</w:t>
            </w:r>
          </w:p>
        </w:tc>
        <w:tc>
          <w:tcPr>
            <w:tcW w:w="1643" w:type="dxa"/>
          </w:tcPr>
          <w:p>
            <w:pPr>
              <w:pStyle w:val="TableParagraph"/>
              <w:spacing w:before="82"/>
              <w:ind w:right="619"/>
              <w:jc w:val="right"/>
              <w:rPr>
                <w:sz w:val="20"/>
              </w:rPr>
            </w:pPr>
            <w:r>
              <w:rPr>
                <w:sz w:val="20"/>
              </w:rPr>
              <w:t>5.5</w:t>
            </w:r>
          </w:p>
        </w:tc>
        <w:tc>
          <w:tcPr>
            <w:tcW w:w="1530" w:type="dxa"/>
          </w:tcPr>
          <w:p>
            <w:pPr>
              <w:pStyle w:val="TableParagraph"/>
              <w:spacing w:before="82"/>
              <w:ind w:right="558"/>
              <w:jc w:val="right"/>
              <w:rPr>
                <w:sz w:val="20"/>
              </w:rPr>
            </w:pPr>
            <w:r>
              <w:rPr>
                <w:w w:val="95"/>
                <w:sz w:val="20"/>
              </w:rPr>
              <w:t>29.9</w:t>
            </w:r>
          </w:p>
        </w:tc>
        <w:tc>
          <w:tcPr>
            <w:tcW w:w="1539" w:type="dxa"/>
          </w:tcPr>
          <w:p>
            <w:pPr>
              <w:pStyle w:val="TableParagraph"/>
              <w:rPr>
                <w:rFonts w:ascii="Times New Roman"/>
                <w:sz w:val="18"/>
              </w:rPr>
            </w:pPr>
          </w:p>
        </w:tc>
        <w:tc>
          <w:tcPr>
            <w:tcW w:w="1566" w:type="dxa"/>
          </w:tcPr>
          <w:p>
            <w:pPr>
              <w:pStyle w:val="TableParagraph"/>
              <w:rPr>
                <w:rFonts w:ascii="Times New Roman"/>
                <w:sz w:val="18"/>
              </w:rPr>
            </w:pPr>
          </w:p>
        </w:tc>
        <w:tc>
          <w:tcPr>
            <w:tcW w:w="1377" w:type="dxa"/>
          </w:tcPr>
          <w:p>
            <w:pPr>
              <w:pStyle w:val="TableParagraph"/>
              <w:spacing w:before="82"/>
              <w:ind w:left="459" w:right="490"/>
              <w:jc w:val="center"/>
              <w:rPr>
                <w:sz w:val="20"/>
              </w:rPr>
            </w:pPr>
            <w:r>
              <w:rPr>
                <w:sz w:val="20"/>
              </w:rPr>
              <w:t>19.2</w:t>
            </w:r>
          </w:p>
        </w:tc>
      </w:tr>
      <w:tr>
        <w:trPr>
          <w:trHeight w:val="604" w:hRule="atLeast"/>
        </w:trPr>
        <w:tc>
          <w:tcPr>
            <w:tcW w:w="1604" w:type="dxa"/>
            <w:tcBorders>
              <w:right w:val="single" w:sz="4" w:space="0" w:color="000000"/>
            </w:tcBorders>
          </w:tcPr>
          <w:p>
            <w:pPr>
              <w:pStyle w:val="TableParagraph"/>
              <w:spacing w:before="82"/>
              <w:ind w:left="127" w:right="124"/>
              <w:jc w:val="center"/>
              <w:rPr>
                <w:sz w:val="20"/>
              </w:rPr>
            </w:pPr>
            <w:r>
              <w:rPr>
                <w:sz w:val="20"/>
              </w:rPr>
              <w:t>La Quemada</w:t>
            </w:r>
          </w:p>
        </w:tc>
        <w:tc>
          <w:tcPr>
            <w:tcW w:w="1316" w:type="dxa"/>
            <w:tcBorders>
              <w:left w:val="single" w:sz="4" w:space="0" w:color="000000"/>
            </w:tcBorders>
            <w:shd w:val="clear" w:color="auto" w:fill="CCCCCC"/>
          </w:tcPr>
          <w:p>
            <w:pPr>
              <w:pStyle w:val="TableParagraph"/>
              <w:spacing w:before="82"/>
              <w:ind w:left="371" w:right="258"/>
              <w:jc w:val="center"/>
              <w:rPr>
                <w:sz w:val="20"/>
              </w:rPr>
            </w:pPr>
            <w:r>
              <w:rPr>
                <w:sz w:val="20"/>
              </w:rPr>
              <w:t>Bajo</w:t>
            </w:r>
          </w:p>
        </w:tc>
        <w:tc>
          <w:tcPr>
            <w:tcW w:w="1643" w:type="dxa"/>
            <w:shd w:val="clear" w:color="auto" w:fill="CCCCCC"/>
          </w:tcPr>
          <w:p>
            <w:pPr>
              <w:pStyle w:val="TableParagraph"/>
              <w:spacing w:before="82"/>
              <w:ind w:right="619"/>
              <w:jc w:val="right"/>
              <w:rPr>
                <w:sz w:val="20"/>
              </w:rPr>
            </w:pPr>
            <w:r>
              <w:rPr>
                <w:sz w:val="20"/>
              </w:rPr>
              <w:t>5.6</w:t>
            </w:r>
          </w:p>
        </w:tc>
        <w:tc>
          <w:tcPr>
            <w:tcW w:w="1530" w:type="dxa"/>
            <w:shd w:val="clear" w:color="auto" w:fill="CCCCCC"/>
          </w:tcPr>
          <w:p>
            <w:pPr>
              <w:pStyle w:val="TableParagraph"/>
              <w:spacing w:before="82"/>
              <w:ind w:right="558"/>
              <w:jc w:val="right"/>
              <w:rPr>
                <w:sz w:val="20"/>
              </w:rPr>
            </w:pPr>
            <w:r>
              <w:rPr>
                <w:w w:val="95"/>
                <w:sz w:val="20"/>
              </w:rPr>
              <w:t>21.2</w:t>
            </w:r>
          </w:p>
        </w:tc>
        <w:tc>
          <w:tcPr>
            <w:tcW w:w="1539" w:type="dxa"/>
            <w:shd w:val="clear" w:color="auto" w:fill="CCCCCC"/>
          </w:tcPr>
          <w:p>
            <w:pPr>
              <w:pStyle w:val="TableParagraph"/>
              <w:rPr>
                <w:rFonts w:ascii="Times New Roman"/>
                <w:sz w:val="18"/>
              </w:rPr>
            </w:pPr>
          </w:p>
        </w:tc>
        <w:tc>
          <w:tcPr>
            <w:tcW w:w="1566" w:type="dxa"/>
            <w:shd w:val="clear" w:color="auto" w:fill="CCCCCC"/>
          </w:tcPr>
          <w:p>
            <w:pPr>
              <w:pStyle w:val="TableParagraph"/>
              <w:rPr>
                <w:rFonts w:ascii="Times New Roman"/>
                <w:sz w:val="18"/>
              </w:rPr>
            </w:pPr>
          </w:p>
        </w:tc>
        <w:tc>
          <w:tcPr>
            <w:tcW w:w="1377" w:type="dxa"/>
            <w:shd w:val="clear" w:color="auto" w:fill="CCCCCC"/>
          </w:tcPr>
          <w:p>
            <w:pPr>
              <w:pStyle w:val="TableParagraph"/>
              <w:spacing w:before="82"/>
              <w:ind w:left="456" w:right="490"/>
              <w:jc w:val="center"/>
              <w:rPr>
                <w:sz w:val="20"/>
              </w:rPr>
            </w:pPr>
            <w:r>
              <w:rPr>
                <w:sz w:val="20"/>
              </w:rPr>
              <w:t>9.8</w:t>
            </w:r>
          </w:p>
        </w:tc>
      </w:tr>
      <w:tr>
        <w:trPr>
          <w:trHeight w:val="604" w:hRule="atLeast"/>
        </w:trPr>
        <w:tc>
          <w:tcPr>
            <w:tcW w:w="1604" w:type="dxa"/>
            <w:tcBorders>
              <w:right w:val="single" w:sz="4" w:space="0" w:color="000000"/>
            </w:tcBorders>
          </w:tcPr>
          <w:p>
            <w:pPr>
              <w:pStyle w:val="TableParagraph"/>
              <w:spacing w:before="84"/>
              <w:ind w:left="127" w:right="123"/>
              <w:jc w:val="center"/>
              <w:rPr>
                <w:sz w:val="20"/>
              </w:rPr>
            </w:pPr>
            <w:r>
              <w:rPr>
                <w:sz w:val="20"/>
              </w:rPr>
              <w:t>La Joya</w:t>
            </w:r>
          </w:p>
        </w:tc>
        <w:tc>
          <w:tcPr>
            <w:tcW w:w="1316" w:type="dxa"/>
            <w:tcBorders>
              <w:left w:val="single" w:sz="4" w:space="0" w:color="000000"/>
            </w:tcBorders>
          </w:tcPr>
          <w:p>
            <w:pPr>
              <w:pStyle w:val="TableParagraph"/>
              <w:spacing w:before="84"/>
              <w:ind w:left="371" w:right="260"/>
              <w:jc w:val="center"/>
              <w:rPr>
                <w:sz w:val="20"/>
              </w:rPr>
            </w:pPr>
            <w:r>
              <w:rPr>
                <w:sz w:val="20"/>
              </w:rPr>
              <w:t>bajo</w:t>
            </w:r>
          </w:p>
        </w:tc>
        <w:tc>
          <w:tcPr>
            <w:tcW w:w="1643" w:type="dxa"/>
          </w:tcPr>
          <w:p>
            <w:pPr>
              <w:pStyle w:val="TableParagraph"/>
              <w:spacing w:before="84"/>
              <w:ind w:right="619"/>
              <w:jc w:val="right"/>
              <w:rPr>
                <w:sz w:val="20"/>
              </w:rPr>
            </w:pPr>
            <w:r>
              <w:rPr>
                <w:sz w:val="20"/>
              </w:rPr>
              <w:t>6.2</w:t>
            </w:r>
          </w:p>
        </w:tc>
        <w:tc>
          <w:tcPr>
            <w:tcW w:w="1530" w:type="dxa"/>
          </w:tcPr>
          <w:p>
            <w:pPr>
              <w:pStyle w:val="TableParagraph"/>
              <w:spacing w:before="84"/>
              <w:ind w:right="558"/>
              <w:jc w:val="right"/>
              <w:rPr>
                <w:sz w:val="20"/>
              </w:rPr>
            </w:pPr>
            <w:r>
              <w:rPr>
                <w:w w:val="95"/>
                <w:sz w:val="20"/>
              </w:rPr>
              <w:t>30.5</w:t>
            </w:r>
          </w:p>
        </w:tc>
        <w:tc>
          <w:tcPr>
            <w:tcW w:w="1539" w:type="dxa"/>
          </w:tcPr>
          <w:p>
            <w:pPr>
              <w:pStyle w:val="TableParagraph"/>
              <w:rPr>
                <w:rFonts w:ascii="Times New Roman"/>
                <w:sz w:val="18"/>
              </w:rPr>
            </w:pPr>
          </w:p>
        </w:tc>
        <w:tc>
          <w:tcPr>
            <w:tcW w:w="1566" w:type="dxa"/>
          </w:tcPr>
          <w:p>
            <w:pPr>
              <w:pStyle w:val="TableParagraph"/>
              <w:rPr>
                <w:rFonts w:ascii="Times New Roman"/>
                <w:sz w:val="18"/>
              </w:rPr>
            </w:pPr>
          </w:p>
        </w:tc>
        <w:tc>
          <w:tcPr>
            <w:tcW w:w="1377" w:type="dxa"/>
          </w:tcPr>
          <w:p>
            <w:pPr>
              <w:pStyle w:val="TableParagraph"/>
              <w:spacing w:before="84"/>
              <w:ind w:left="459" w:right="490"/>
              <w:jc w:val="center"/>
              <w:rPr>
                <w:sz w:val="20"/>
              </w:rPr>
            </w:pPr>
            <w:r>
              <w:rPr>
                <w:sz w:val="20"/>
              </w:rPr>
              <w:t>11.5</w:t>
            </w:r>
          </w:p>
        </w:tc>
      </w:tr>
      <w:tr>
        <w:trPr>
          <w:trHeight w:val="604" w:hRule="atLeast"/>
        </w:trPr>
        <w:tc>
          <w:tcPr>
            <w:tcW w:w="1604" w:type="dxa"/>
            <w:tcBorders>
              <w:right w:val="single" w:sz="4" w:space="0" w:color="000000"/>
            </w:tcBorders>
          </w:tcPr>
          <w:p>
            <w:pPr>
              <w:pStyle w:val="TableParagraph"/>
              <w:spacing w:before="84"/>
              <w:ind w:left="125" w:right="124"/>
              <w:jc w:val="center"/>
              <w:rPr>
                <w:sz w:val="20"/>
              </w:rPr>
            </w:pPr>
            <w:r>
              <w:rPr>
                <w:sz w:val="20"/>
              </w:rPr>
              <w:t>San Simón</w:t>
            </w:r>
          </w:p>
        </w:tc>
        <w:tc>
          <w:tcPr>
            <w:tcW w:w="1316" w:type="dxa"/>
            <w:tcBorders>
              <w:left w:val="single" w:sz="4" w:space="0" w:color="000000"/>
            </w:tcBorders>
            <w:shd w:val="clear" w:color="auto" w:fill="CCCCCC"/>
          </w:tcPr>
          <w:p>
            <w:pPr>
              <w:pStyle w:val="TableParagraph"/>
              <w:spacing w:before="84"/>
              <w:ind w:left="371" w:right="260"/>
              <w:jc w:val="center"/>
              <w:rPr>
                <w:sz w:val="20"/>
              </w:rPr>
            </w:pPr>
            <w:r>
              <w:rPr>
                <w:sz w:val="20"/>
              </w:rPr>
              <w:t>Medio</w:t>
            </w:r>
          </w:p>
        </w:tc>
        <w:tc>
          <w:tcPr>
            <w:tcW w:w="1643" w:type="dxa"/>
            <w:shd w:val="clear" w:color="auto" w:fill="CCCCCC"/>
          </w:tcPr>
          <w:p>
            <w:pPr>
              <w:pStyle w:val="TableParagraph"/>
              <w:spacing w:before="84"/>
              <w:ind w:right="619"/>
              <w:jc w:val="right"/>
              <w:rPr>
                <w:sz w:val="20"/>
              </w:rPr>
            </w:pPr>
            <w:r>
              <w:rPr>
                <w:sz w:val="20"/>
              </w:rPr>
              <w:t>8.8</w:t>
            </w:r>
          </w:p>
        </w:tc>
        <w:tc>
          <w:tcPr>
            <w:tcW w:w="1530" w:type="dxa"/>
            <w:shd w:val="clear" w:color="auto" w:fill="CCCCCC"/>
          </w:tcPr>
          <w:p>
            <w:pPr>
              <w:pStyle w:val="TableParagraph"/>
              <w:spacing w:before="84"/>
              <w:ind w:right="558"/>
              <w:jc w:val="right"/>
              <w:rPr>
                <w:sz w:val="20"/>
              </w:rPr>
            </w:pPr>
            <w:r>
              <w:rPr>
                <w:w w:val="95"/>
                <w:sz w:val="20"/>
              </w:rPr>
              <w:t>30.9</w:t>
            </w:r>
          </w:p>
        </w:tc>
        <w:tc>
          <w:tcPr>
            <w:tcW w:w="1539" w:type="dxa"/>
            <w:shd w:val="clear" w:color="auto" w:fill="CCCCCC"/>
          </w:tcPr>
          <w:p>
            <w:pPr>
              <w:pStyle w:val="TableParagraph"/>
              <w:rPr>
                <w:rFonts w:ascii="Times New Roman"/>
                <w:sz w:val="18"/>
              </w:rPr>
            </w:pPr>
          </w:p>
        </w:tc>
        <w:tc>
          <w:tcPr>
            <w:tcW w:w="1566" w:type="dxa"/>
            <w:shd w:val="clear" w:color="auto" w:fill="CCCCCC"/>
          </w:tcPr>
          <w:p>
            <w:pPr>
              <w:pStyle w:val="TableParagraph"/>
              <w:rPr>
                <w:rFonts w:ascii="Times New Roman"/>
                <w:sz w:val="18"/>
              </w:rPr>
            </w:pPr>
          </w:p>
        </w:tc>
        <w:tc>
          <w:tcPr>
            <w:tcW w:w="1377" w:type="dxa"/>
            <w:shd w:val="clear" w:color="auto" w:fill="CCCCCC"/>
          </w:tcPr>
          <w:p>
            <w:pPr>
              <w:pStyle w:val="TableParagraph"/>
              <w:spacing w:before="84"/>
              <w:ind w:left="456" w:right="490"/>
              <w:jc w:val="center"/>
              <w:rPr>
                <w:sz w:val="20"/>
              </w:rPr>
            </w:pPr>
            <w:r>
              <w:rPr>
                <w:sz w:val="20"/>
              </w:rPr>
              <w:t>7.1</w:t>
            </w:r>
          </w:p>
        </w:tc>
      </w:tr>
    </w:tbl>
    <w:p>
      <w:pPr>
        <w:pStyle w:val="BodyText"/>
        <w:spacing w:before="3"/>
        <w:rPr>
          <w:rFonts w:ascii="Corbel"/>
          <w:sz w:val="20"/>
        </w:rPr>
      </w:pPr>
    </w:p>
    <w:p>
      <w:pPr>
        <w:spacing w:before="0"/>
        <w:ind w:left="3517" w:right="2050" w:hanging="1707"/>
        <w:jc w:val="left"/>
        <w:rPr>
          <w:sz w:val="15"/>
        </w:rPr>
      </w:pPr>
      <w:r>
        <w:rPr>
          <w:sz w:val="15"/>
        </w:rPr>
        <w:t>Fuente: Ficha Municipal de Magdalena, Jalisco. INSTITUTO DE INFORMACIÓN ESTADÍSTICA Y GEOGRÁFICA https://iieg.gob.mx/contenido/Municipios/Magdalena.pdf</w:t>
      </w:r>
    </w:p>
    <w:p>
      <w:pPr>
        <w:pStyle w:val="BodyText"/>
        <w:rPr>
          <w:sz w:val="20"/>
        </w:rPr>
      </w:pPr>
    </w:p>
    <w:p>
      <w:pPr>
        <w:pStyle w:val="BodyText"/>
        <w:rPr>
          <w:sz w:val="20"/>
        </w:rPr>
      </w:pPr>
    </w:p>
    <w:p>
      <w:pPr>
        <w:pStyle w:val="BodyText"/>
        <w:rPr>
          <w:sz w:val="20"/>
        </w:rPr>
      </w:pPr>
    </w:p>
    <w:p>
      <w:pPr>
        <w:pStyle w:val="BodyText"/>
        <w:spacing w:before="8"/>
        <w:rPr>
          <w:sz w:val="26"/>
        </w:rPr>
      </w:pPr>
      <w:r>
        <w:rPr/>
        <w:pict>
          <v:line style="position:absolute;mso-position-horizontal-relative:page;mso-position-vertical-relative:paragraph;z-index:-251608064;mso-wrap-distance-left:0;mso-wrap-distance-right:0" from="68.064003pt,18.599638pt" to="212.084003pt,18.599638pt" stroked="true" strokeweight=".599980pt" strokecolor="#000000">
            <v:stroke dashstyle="solid"/>
            <w10:wrap type="topAndBottom"/>
          </v:line>
        </w:pict>
      </w:r>
    </w:p>
    <w:p>
      <w:pPr>
        <w:pStyle w:val="BodyText"/>
        <w:spacing w:before="10"/>
        <w:rPr>
          <w:sz w:val="16"/>
        </w:rPr>
      </w:pPr>
    </w:p>
    <w:p>
      <w:pPr>
        <w:spacing w:line="278" w:lineRule="auto" w:before="67"/>
        <w:ind w:left="901" w:right="0" w:firstLine="0"/>
        <w:jc w:val="left"/>
        <w:rPr>
          <w:sz w:val="15"/>
        </w:rPr>
      </w:pPr>
      <w:r>
        <w:rPr>
          <w:rFonts w:ascii="Calibri" w:hAnsi="Calibri"/>
          <w:position w:val="8"/>
          <w:sz w:val="16"/>
        </w:rPr>
        <w:t>2 </w:t>
      </w:r>
      <w:r>
        <w:rPr>
          <w:sz w:val="15"/>
        </w:rPr>
        <w:t>Fuente: Ficha Municipal de Magdalena, Jalisco. INSTITUTO DE INFORMACIÓN ESTADÍSTICA Y GEOGRÁFICA https://iieg.gob.mx/contenido/Municipios/Magdalena.pdf</w:t>
      </w:r>
    </w:p>
    <w:p>
      <w:pPr>
        <w:spacing w:after="0" w:line="278" w:lineRule="auto"/>
        <w:jc w:val="left"/>
        <w:rPr>
          <w:sz w:val="15"/>
        </w:rPr>
        <w:sectPr>
          <w:pgSz w:w="12240" w:h="15840"/>
          <w:pgMar w:header="178" w:footer="1076"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6" w:lineRule="auto" w:before="101"/>
        <w:ind w:left="901" w:right="1155"/>
        <w:jc w:val="both"/>
      </w:pPr>
      <w:r>
        <w:rPr/>
        <w:t>Respecto a las carencias en la vivienda, en la localidad de San Andrés con los más altos porcentajes en los indicadores de viviendas sin excusado, con piso de tierra y que </w:t>
      </w:r>
      <w:r>
        <w:rPr>
          <w:spacing w:val="-3"/>
        </w:rPr>
        <w:t>no </w:t>
      </w:r>
      <w:r>
        <w:rPr/>
        <w:t>disponen de refrigerador, con un 4.5, 2.5 y 19.2 por ciento, respectivamente. Por su parte, la cabecera municipal tenía las mayores proporciones de viviendas sin agua entubada y sin energía eléctrica, con un 4.0 y 1.2 por ciento,</w:t>
      </w:r>
      <w:r>
        <w:rPr>
          <w:spacing w:val="-24"/>
        </w:rPr>
        <w:t> </w:t>
      </w:r>
      <w:r>
        <w:rPr/>
        <w:t>correspondientemente.</w:t>
      </w:r>
    </w:p>
    <w:p>
      <w:pPr>
        <w:pStyle w:val="BodyText"/>
        <w:rPr>
          <w:sz w:val="26"/>
        </w:rPr>
      </w:pPr>
    </w:p>
    <w:p>
      <w:pPr>
        <w:pStyle w:val="BodyText"/>
        <w:spacing w:before="11"/>
        <w:rPr>
          <w:sz w:val="21"/>
        </w:rPr>
      </w:pPr>
    </w:p>
    <w:p>
      <w:pPr>
        <w:pStyle w:val="BodyText"/>
        <w:spacing w:before="1"/>
        <w:ind w:left="1001" w:right="1262"/>
        <w:jc w:val="center"/>
      </w:pPr>
      <w:r>
        <w:rPr/>
        <w:t>TABLA 8. GRADO DE MARGINACIÓN – INDICADORES SOCIO-DEMOGRÁFICOS</w:t>
      </w:r>
    </w:p>
    <w:p>
      <w:pPr>
        <w:pStyle w:val="BodyText"/>
        <w:rPr>
          <w:sz w:val="20"/>
        </w:rPr>
      </w:pPr>
    </w:p>
    <w:p>
      <w:pPr>
        <w:pStyle w:val="BodyText"/>
        <w:spacing w:before="1"/>
        <w:rPr>
          <w:sz w:val="10"/>
        </w:rPr>
      </w:pPr>
    </w:p>
    <w:tbl>
      <w:tblPr>
        <w:tblW w:w="0" w:type="auto"/>
        <w:jc w:val="left"/>
        <w:tblInd w:w="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55"/>
        <w:gridCol w:w="1280"/>
        <w:gridCol w:w="1560"/>
        <w:gridCol w:w="1456"/>
        <w:gridCol w:w="1633"/>
        <w:gridCol w:w="1447"/>
        <w:gridCol w:w="1466"/>
      </w:tblGrid>
      <w:tr>
        <w:trPr>
          <w:trHeight w:val="2331" w:hRule="atLeast"/>
        </w:trPr>
        <w:tc>
          <w:tcPr>
            <w:tcW w:w="1455" w:type="dxa"/>
            <w:tcBorders>
              <w:bottom w:val="single" w:sz="6" w:space="0" w:color="000000"/>
              <w:right w:val="single" w:sz="4" w:space="0" w:color="000000"/>
            </w:tcBorders>
          </w:tcPr>
          <w:p>
            <w:pPr>
              <w:pStyle w:val="TableParagraph"/>
              <w:spacing w:before="2"/>
              <w:ind w:left="79"/>
              <w:rPr>
                <w:sz w:val="21"/>
              </w:rPr>
            </w:pPr>
            <w:r>
              <w:rPr>
                <w:sz w:val="21"/>
              </w:rPr>
              <w:t>Nombre</w:t>
            </w:r>
          </w:p>
        </w:tc>
        <w:tc>
          <w:tcPr>
            <w:tcW w:w="1280" w:type="dxa"/>
            <w:tcBorders>
              <w:left w:val="single" w:sz="4" w:space="0" w:color="000000"/>
              <w:bottom w:val="single" w:sz="6" w:space="0" w:color="000000"/>
            </w:tcBorders>
          </w:tcPr>
          <w:p>
            <w:pPr>
              <w:pStyle w:val="TableParagraph"/>
              <w:spacing w:before="2"/>
              <w:ind w:left="73"/>
              <w:rPr>
                <w:sz w:val="21"/>
              </w:rPr>
            </w:pPr>
            <w:r>
              <w:rPr>
                <w:sz w:val="21"/>
              </w:rPr>
              <w:t>Grado</w:t>
            </w:r>
          </w:p>
        </w:tc>
        <w:tc>
          <w:tcPr>
            <w:tcW w:w="1560" w:type="dxa"/>
            <w:tcBorders>
              <w:bottom w:val="single" w:sz="6" w:space="0" w:color="000000"/>
            </w:tcBorders>
          </w:tcPr>
          <w:p>
            <w:pPr>
              <w:pStyle w:val="TableParagraph"/>
              <w:spacing w:before="2"/>
              <w:ind w:left="234" w:right="112"/>
              <w:rPr>
                <w:sz w:val="21"/>
              </w:rPr>
            </w:pPr>
            <w:r>
              <w:rPr>
                <w:sz w:val="21"/>
              </w:rPr>
              <w:t>% viviendas particulares habitadas sin excusado</w:t>
            </w:r>
          </w:p>
        </w:tc>
        <w:tc>
          <w:tcPr>
            <w:tcW w:w="1456" w:type="dxa"/>
            <w:tcBorders>
              <w:bottom w:val="single" w:sz="6" w:space="0" w:color="000000"/>
            </w:tcBorders>
          </w:tcPr>
          <w:p>
            <w:pPr>
              <w:pStyle w:val="TableParagraph"/>
              <w:spacing w:before="2"/>
              <w:ind w:left="129" w:right="113"/>
              <w:rPr>
                <w:sz w:val="21"/>
              </w:rPr>
            </w:pPr>
            <w:r>
              <w:rPr>
                <w:sz w:val="21"/>
              </w:rPr>
              <w:t>% viviendas particulares habitadas sin energía eléctrica</w:t>
            </w:r>
          </w:p>
        </w:tc>
        <w:tc>
          <w:tcPr>
            <w:tcW w:w="1633" w:type="dxa"/>
            <w:tcBorders>
              <w:bottom w:val="single" w:sz="6" w:space="0" w:color="000000"/>
            </w:tcBorders>
          </w:tcPr>
          <w:p>
            <w:pPr>
              <w:pStyle w:val="TableParagraph"/>
              <w:spacing w:before="2"/>
              <w:ind w:left="130" w:right="64"/>
              <w:rPr>
                <w:sz w:val="21"/>
              </w:rPr>
            </w:pPr>
            <w:r>
              <w:rPr>
                <w:sz w:val="21"/>
              </w:rPr>
              <w:t>% viviendas particulares habitadas sin disponibilidad de agua entubada</w:t>
            </w:r>
          </w:p>
        </w:tc>
        <w:tc>
          <w:tcPr>
            <w:tcW w:w="1447" w:type="dxa"/>
            <w:tcBorders>
              <w:bottom w:val="single" w:sz="6" w:space="0" w:color="000000"/>
            </w:tcBorders>
          </w:tcPr>
          <w:p>
            <w:pPr>
              <w:pStyle w:val="TableParagraph"/>
              <w:spacing w:before="2"/>
              <w:ind w:left="81" w:right="88"/>
              <w:rPr>
                <w:sz w:val="21"/>
              </w:rPr>
            </w:pPr>
            <w:r>
              <w:rPr>
                <w:sz w:val="21"/>
              </w:rPr>
              <w:t>Promedio de ocupantes por cuarto en </w:t>
            </w:r>
            <w:r>
              <w:rPr>
                <w:spacing w:val="-3"/>
                <w:sz w:val="21"/>
              </w:rPr>
              <w:t>viviendas </w:t>
            </w:r>
            <w:r>
              <w:rPr>
                <w:sz w:val="21"/>
              </w:rPr>
              <w:t>particulares habitadas</w:t>
            </w:r>
          </w:p>
        </w:tc>
        <w:tc>
          <w:tcPr>
            <w:tcW w:w="1466" w:type="dxa"/>
            <w:tcBorders>
              <w:bottom w:val="single" w:sz="6" w:space="0" w:color="000000"/>
            </w:tcBorders>
          </w:tcPr>
          <w:p>
            <w:pPr>
              <w:pStyle w:val="TableParagraph"/>
              <w:spacing w:before="2"/>
              <w:ind w:left="91" w:right="161"/>
              <w:rPr>
                <w:sz w:val="21"/>
              </w:rPr>
            </w:pPr>
            <w:r>
              <w:rPr>
                <w:sz w:val="21"/>
              </w:rPr>
              <w:t>% viviendas particulares habitadas con piso y tierra</w:t>
            </w:r>
          </w:p>
        </w:tc>
      </w:tr>
      <w:tr>
        <w:trPr>
          <w:trHeight w:val="454" w:hRule="atLeast"/>
        </w:trPr>
        <w:tc>
          <w:tcPr>
            <w:tcW w:w="1455" w:type="dxa"/>
            <w:tcBorders>
              <w:top w:val="single" w:sz="6" w:space="0" w:color="000000"/>
              <w:right w:val="single" w:sz="4" w:space="0" w:color="000000"/>
            </w:tcBorders>
          </w:tcPr>
          <w:p>
            <w:pPr>
              <w:pStyle w:val="TableParagraph"/>
              <w:spacing w:before="82"/>
              <w:ind w:left="384"/>
              <w:rPr>
                <w:sz w:val="21"/>
              </w:rPr>
            </w:pPr>
            <w:r>
              <w:rPr>
                <w:sz w:val="21"/>
              </w:rPr>
              <w:t>Jalisco</w:t>
            </w:r>
          </w:p>
        </w:tc>
        <w:tc>
          <w:tcPr>
            <w:tcW w:w="1280" w:type="dxa"/>
            <w:tcBorders>
              <w:top w:val="single" w:sz="6" w:space="0" w:color="000000"/>
              <w:left w:val="single" w:sz="4" w:space="0" w:color="000000"/>
            </w:tcBorders>
            <w:shd w:val="clear" w:color="auto" w:fill="CCCCCC"/>
          </w:tcPr>
          <w:p>
            <w:pPr>
              <w:pStyle w:val="TableParagraph"/>
              <w:spacing w:before="82"/>
              <w:ind w:left="477"/>
              <w:rPr>
                <w:sz w:val="21"/>
              </w:rPr>
            </w:pPr>
            <w:r>
              <w:rPr>
                <w:sz w:val="21"/>
              </w:rPr>
              <w:t>bajo</w:t>
            </w:r>
          </w:p>
        </w:tc>
        <w:tc>
          <w:tcPr>
            <w:tcW w:w="1560" w:type="dxa"/>
            <w:tcBorders>
              <w:top w:val="single" w:sz="6" w:space="0" w:color="000000"/>
            </w:tcBorders>
            <w:shd w:val="clear" w:color="auto" w:fill="CCCCCC"/>
          </w:tcPr>
          <w:p>
            <w:pPr>
              <w:pStyle w:val="TableParagraph"/>
              <w:spacing w:before="82"/>
              <w:ind w:right="529"/>
              <w:jc w:val="right"/>
              <w:rPr>
                <w:sz w:val="21"/>
              </w:rPr>
            </w:pPr>
            <w:r>
              <w:rPr>
                <w:sz w:val="21"/>
              </w:rPr>
              <w:t>1.8</w:t>
            </w:r>
          </w:p>
        </w:tc>
        <w:tc>
          <w:tcPr>
            <w:tcW w:w="1456" w:type="dxa"/>
            <w:tcBorders>
              <w:top w:val="single" w:sz="6" w:space="0" w:color="000000"/>
            </w:tcBorders>
            <w:shd w:val="clear" w:color="auto" w:fill="CCCCCC"/>
          </w:tcPr>
          <w:p>
            <w:pPr>
              <w:pStyle w:val="TableParagraph"/>
              <w:spacing w:before="82"/>
              <w:ind w:right="530"/>
              <w:jc w:val="right"/>
              <w:rPr>
                <w:sz w:val="21"/>
              </w:rPr>
            </w:pPr>
            <w:r>
              <w:rPr>
                <w:sz w:val="21"/>
              </w:rPr>
              <w:t>0.8</w:t>
            </w:r>
          </w:p>
        </w:tc>
        <w:tc>
          <w:tcPr>
            <w:tcW w:w="1633" w:type="dxa"/>
            <w:tcBorders>
              <w:top w:val="single" w:sz="6" w:space="0" w:color="000000"/>
            </w:tcBorders>
            <w:shd w:val="clear" w:color="auto" w:fill="CCCCCC"/>
          </w:tcPr>
          <w:p>
            <w:pPr>
              <w:pStyle w:val="TableParagraph"/>
              <w:spacing w:before="82"/>
              <w:ind w:left="617" w:right="564"/>
              <w:jc w:val="center"/>
              <w:rPr>
                <w:sz w:val="21"/>
              </w:rPr>
            </w:pPr>
            <w:r>
              <w:rPr>
                <w:sz w:val="21"/>
              </w:rPr>
              <w:t>3.9</w:t>
            </w:r>
          </w:p>
        </w:tc>
        <w:tc>
          <w:tcPr>
            <w:tcW w:w="1447" w:type="dxa"/>
            <w:tcBorders>
              <w:top w:val="single" w:sz="6" w:space="0" w:color="000000"/>
            </w:tcBorders>
            <w:shd w:val="clear" w:color="auto" w:fill="CCCCCC"/>
          </w:tcPr>
          <w:p>
            <w:pPr>
              <w:pStyle w:val="TableParagraph"/>
              <w:spacing w:before="82"/>
              <w:ind w:right="569"/>
              <w:jc w:val="right"/>
              <w:rPr>
                <w:sz w:val="21"/>
              </w:rPr>
            </w:pPr>
            <w:r>
              <w:rPr>
                <w:sz w:val="21"/>
              </w:rPr>
              <w:t>4.0</w:t>
            </w:r>
          </w:p>
        </w:tc>
        <w:tc>
          <w:tcPr>
            <w:tcW w:w="1466" w:type="dxa"/>
            <w:tcBorders>
              <w:top w:val="single" w:sz="6" w:space="0" w:color="000000"/>
            </w:tcBorders>
            <w:shd w:val="clear" w:color="auto" w:fill="CCCCCC"/>
          </w:tcPr>
          <w:p>
            <w:pPr>
              <w:pStyle w:val="TableParagraph"/>
              <w:spacing w:before="82"/>
              <w:ind w:left="574" w:right="561"/>
              <w:jc w:val="center"/>
              <w:rPr>
                <w:sz w:val="21"/>
              </w:rPr>
            </w:pPr>
            <w:r>
              <w:rPr>
                <w:sz w:val="21"/>
              </w:rPr>
              <w:t>3.2</w:t>
            </w:r>
          </w:p>
        </w:tc>
      </w:tr>
      <w:tr>
        <w:trPr>
          <w:trHeight w:val="674" w:hRule="atLeast"/>
        </w:trPr>
        <w:tc>
          <w:tcPr>
            <w:tcW w:w="1455" w:type="dxa"/>
            <w:tcBorders>
              <w:right w:val="single" w:sz="4" w:space="0" w:color="000000"/>
            </w:tcBorders>
          </w:tcPr>
          <w:p>
            <w:pPr>
              <w:pStyle w:val="TableParagraph"/>
              <w:spacing w:before="81"/>
              <w:ind w:left="430" w:right="350" w:hanging="63"/>
              <w:rPr>
                <w:sz w:val="21"/>
              </w:rPr>
            </w:pPr>
            <w:r>
              <w:rPr>
                <w:sz w:val="21"/>
              </w:rPr>
              <w:t>Región Valles</w:t>
            </w:r>
          </w:p>
        </w:tc>
        <w:tc>
          <w:tcPr>
            <w:tcW w:w="1280" w:type="dxa"/>
            <w:tcBorders>
              <w:left w:val="single" w:sz="4" w:space="0" w:color="000000"/>
            </w:tcBorders>
          </w:tcPr>
          <w:p>
            <w:pPr>
              <w:pStyle w:val="TableParagraph"/>
              <w:rPr>
                <w:rFonts w:ascii="Times New Roman"/>
                <w:sz w:val="20"/>
              </w:rPr>
            </w:pPr>
          </w:p>
        </w:tc>
        <w:tc>
          <w:tcPr>
            <w:tcW w:w="1560" w:type="dxa"/>
          </w:tcPr>
          <w:p>
            <w:pPr>
              <w:pStyle w:val="TableParagraph"/>
              <w:spacing w:before="81"/>
              <w:ind w:right="529"/>
              <w:jc w:val="right"/>
              <w:rPr>
                <w:sz w:val="21"/>
              </w:rPr>
            </w:pPr>
            <w:r>
              <w:rPr>
                <w:sz w:val="21"/>
              </w:rPr>
              <w:t>2.7</w:t>
            </w:r>
          </w:p>
        </w:tc>
        <w:tc>
          <w:tcPr>
            <w:tcW w:w="1456" w:type="dxa"/>
          </w:tcPr>
          <w:p>
            <w:pPr>
              <w:pStyle w:val="TableParagraph"/>
              <w:spacing w:before="81"/>
              <w:ind w:right="530"/>
              <w:jc w:val="right"/>
              <w:rPr>
                <w:sz w:val="21"/>
              </w:rPr>
            </w:pPr>
            <w:r>
              <w:rPr>
                <w:sz w:val="21"/>
              </w:rPr>
              <w:t>1.3</w:t>
            </w:r>
          </w:p>
        </w:tc>
        <w:tc>
          <w:tcPr>
            <w:tcW w:w="1633" w:type="dxa"/>
          </w:tcPr>
          <w:p>
            <w:pPr>
              <w:pStyle w:val="TableParagraph"/>
              <w:spacing w:before="81"/>
              <w:ind w:left="617" w:right="567"/>
              <w:jc w:val="center"/>
              <w:rPr>
                <w:sz w:val="21"/>
              </w:rPr>
            </w:pPr>
            <w:r>
              <w:rPr>
                <w:sz w:val="21"/>
              </w:rPr>
              <w:t>18.1</w:t>
            </w:r>
          </w:p>
        </w:tc>
        <w:tc>
          <w:tcPr>
            <w:tcW w:w="1447" w:type="dxa"/>
          </w:tcPr>
          <w:p>
            <w:pPr>
              <w:pStyle w:val="TableParagraph"/>
              <w:spacing w:before="81"/>
              <w:ind w:right="569"/>
              <w:jc w:val="right"/>
              <w:rPr>
                <w:sz w:val="21"/>
              </w:rPr>
            </w:pPr>
            <w:r>
              <w:rPr>
                <w:sz w:val="21"/>
              </w:rPr>
              <w:t>4.0</w:t>
            </w:r>
          </w:p>
        </w:tc>
        <w:tc>
          <w:tcPr>
            <w:tcW w:w="1466" w:type="dxa"/>
          </w:tcPr>
          <w:p>
            <w:pPr>
              <w:pStyle w:val="TableParagraph"/>
              <w:spacing w:before="81"/>
              <w:ind w:left="574" w:right="561"/>
              <w:jc w:val="center"/>
              <w:rPr>
                <w:sz w:val="21"/>
              </w:rPr>
            </w:pPr>
            <w:r>
              <w:rPr>
                <w:sz w:val="21"/>
              </w:rPr>
              <w:t>2.7</w:t>
            </w:r>
          </w:p>
        </w:tc>
      </w:tr>
      <w:tr>
        <w:trPr>
          <w:trHeight w:val="461" w:hRule="atLeast"/>
        </w:trPr>
        <w:tc>
          <w:tcPr>
            <w:tcW w:w="1455" w:type="dxa"/>
            <w:tcBorders>
              <w:right w:val="single" w:sz="4" w:space="0" w:color="000000"/>
            </w:tcBorders>
          </w:tcPr>
          <w:p>
            <w:pPr>
              <w:pStyle w:val="TableParagraph"/>
              <w:spacing w:before="84"/>
              <w:ind w:left="117"/>
              <w:rPr>
                <w:sz w:val="21"/>
              </w:rPr>
            </w:pPr>
            <w:r>
              <w:rPr>
                <w:sz w:val="21"/>
              </w:rPr>
              <w:t>Magdalena</w:t>
            </w:r>
          </w:p>
        </w:tc>
        <w:tc>
          <w:tcPr>
            <w:tcW w:w="1280" w:type="dxa"/>
            <w:tcBorders>
              <w:left w:val="single" w:sz="4" w:space="0" w:color="000000"/>
            </w:tcBorders>
            <w:shd w:val="clear" w:color="auto" w:fill="CCCCCC"/>
          </w:tcPr>
          <w:p>
            <w:pPr>
              <w:pStyle w:val="TableParagraph"/>
              <w:spacing w:before="84"/>
              <w:ind w:left="477"/>
              <w:rPr>
                <w:sz w:val="21"/>
              </w:rPr>
            </w:pPr>
            <w:r>
              <w:rPr>
                <w:sz w:val="21"/>
              </w:rPr>
              <w:t>bajo</w:t>
            </w:r>
          </w:p>
        </w:tc>
        <w:tc>
          <w:tcPr>
            <w:tcW w:w="1560" w:type="dxa"/>
            <w:shd w:val="clear" w:color="auto" w:fill="CCCCCC"/>
          </w:tcPr>
          <w:p>
            <w:pPr>
              <w:pStyle w:val="TableParagraph"/>
              <w:spacing w:before="84"/>
              <w:ind w:right="529"/>
              <w:jc w:val="right"/>
              <w:rPr>
                <w:sz w:val="21"/>
              </w:rPr>
            </w:pPr>
            <w:r>
              <w:rPr>
                <w:sz w:val="21"/>
              </w:rPr>
              <w:t>1.0</w:t>
            </w:r>
          </w:p>
        </w:tc>
        <w:tc>
          <w:tcPr>
            <w:tcW w:w="1456" w:type="dxa"/>
            <w:shd w:val="clear" w:color="auto" w:fill="CCCCCC"/>
          </w:tcPr>
          <w:p>
            <w:pPr>
              <w:pStyle w:val="TableParagraph"/>
              <w:spacing w:before="84"/>
              <w:ind w:right="530"/>
              <w:jc w:val="right"/>
              <w:rPr>
                <w:sz w:val="21"/>
              </w:rPr>
            </w:pPr>
            <w:r>
              <w:rPr>
                <w:sz w:val="21"/>
              </w:rPr>
              <w:t>1.2</w:t>
            </w:r>
          </w:p>
        </w:tc>
        <w:tc>
          <w:tcPr>
            <w:tcW w:w="1633" w:type="dxa"/>
            <w:shd w:val="clear" w:color="auto" w:fill="CCCCCC"/>
          </w:tcPr>
          <w:p>
            <w:pPr>
              <w:pStyle w:val="TableParagraph"/>
              <w:spacing w:before="84"/>
              <w:ind w:left="617" w:right="564"/>
              <w:jc w:val="center"/>
              <w:rPr>
                <w:sz w:val="21"/>
              </w:rPr>
            </w:pPr>
            <w:r>
              <w:rPr>
                <w:sz w:val="21"/>
              </w:rPr>
              <w:t>4.0</w:t>
            </w:r>
          </w:p>
        </w:tc>
        <w:tc>
          <w:tcPr>
            <w:tcW w:w="1447" w:type="dxa"/>
            <w:shd w:val="clear" w:color="auto" w:fill="CCCCCC"/>
          </w:tcPr>
          <w:p>
            <w:pPr>
              <w:pStyle w:val="TableParagraph"/>
              <w:spacing w:before="84"/>
              <w:ind w:right="599"/>
              <w:jc w:val="right"/>
              <w:rPr>
                <w:sz w:val="21"/>
              </w:rPr>
            </w:pPr>
            <w:r>
              <w:rPr>
                <w:sz w:val="21"/>
              </w:rPr>
              <w:t>11</w:t>
            </w:r>
          </w:p>
        </w:tc>
        <w:tc>
          <w:tcPr>
            <w:tcW w:w="1466" w:type="dxa"/>
            <w:shd w:val="clear" w:color="auto" w:fill="CCCCCC"/>
          </w:tcPr>
          <w:p>
            <w:pPr>
              <w:pStyle w:val="TableParagraph"/>
              <w:spacing w:before="84"/>
              <w:ind w:left="574" w:right="561"/>
              <w:jc w:val="center"/>
              <w:rPr>
                <w:sz w:val="21"/>
              </w:rPr>
            </w:pPr>
            <w:r>
              <w:rPr>
                <w:sz w:val="21"/>
              </w:rPr>
              <w:t>1.3</w:t>
            </w:r>
          </w:p>
        </w:tc>
      </w:tr>
      <w:tr>
        <w:trPr>
          <w:trHeight w:val="460" w:hRule="atLeast"/>
        </w:trPr>
        <w:tc>
          <w:tcPr>
            <w:tcW w:w="1455" w:type="dxa"/>
            <w:tcBorders>
              <w:right w:val="single" w:sz="4" w:space="0" w:color="000000"/>
            </w:tcBorders>
          </w:tcPr>
          <w:p>
            <w:pPr>
              <w:pStyle w:val="TableParagraph"/>
              <w:spacing w:before="81"/>
              <w:ind w:left="153"/>
              <w:rPr>
                <w:sz w:val="21"/>
              </w:rPr>
            </w:pPr>
            <w:r>
              <w:rPr>
                <w:sz w:val="21"/>
              </w:rPr>
              <w:t>San Andrés</w:t>
            </w:r>
          </w:p>
        </w:tc>
        <w:tc>
          <w:tcPr>
            <w:tcW w:w="1280" w:type="dxa"/>
            <w:tcBorders>
              <w:left w:val="single" w:sz="4" w:space="0" w:color="000000"/>
            </w:tcBorders>
          </w:tcPr>
          <w:p>
            <w:pPr>
              <w:pStyle w:val="TableParagraph"/>
              <w:spacing w:before="81"/>
              <w:ind w:right="233"/>
              <w:jc w:val="right"/>
              <w:rPr>
                <w:sz w:val="21"/>
              </w:rPr>
            </w:pPr>
            <w:r>
              <w:rPr>
                <w:sz w:val="21"/>
              </w:rPr>
              <w:t>medio</w:t>
            </w:r>
          </w:p>
        </w:tc>
        <w:tc>
          <w:tcPr>
            <w:tcW w:w="1560" w:type="dxa"/>
          </w:tcPr>
          <w:p>
            <w:pPr>
              <w:pStyle w:val="TableParagraph"/>
              <w:spacing w:before="81"/>
              <w:ind w:right="529"/>
              <w:jc w:val="right"/>
              <w:rPr>
                <w:sz w:val="21"/>
              </w:rPr>
            </w:pPr>
            <w:r>
              <w:rPr>
                <w:sz w:val="21"/>
              </w:rPr>
              <w:t>4.5</w:t>
            </w:r>
          </w:p>
        </w:tc>
        <w:tc>
          <w:tcPr>
            <w:tcW w:w="1456" w:type="dxa"/>
          </w:tcPr>
          <w:p>
            <w:pPr>
              <w:pStyle w:val="TableParagraph"/>
              <w:spacing w:before="81"/>
              <w:ind w:right="530"/>
              <w:jc w:val="right"/>
              <w:rPr>
                <w:sz w:val="21"/>
              </w:rPr>
            </w:pPr>
            <w:r>
              <w:rPr>
                <w:sz w:val="21"/>
              </w:rPr>
              <w:t>1.0</w:t>
            </w:r>
          </w:p>
        </w:tc>
        <w:tc>
          <w:tcPr>
            <w:tcW w:w="1633" w:type="dxa"/>
          </w:tcPr>
          <w:p>
            <w:pPr>
              <w:pStyle w:val="TableParagraph"/>
              <w:spacing w:before="81"/>
              <w:ind w:left="617" w:right="564"/>
              <w:jc w:val="center"/>
              <w:rPr>
                <w:sz w:val="21"/>
              </w:rPr>
            </w:pPr>
            <w:r>
              <w:rPr>
                <w:sz w:val="21"/>
              </w:rPr>
              <w:t>0.8</w:t>
            </w:r>
          </w:p>
        </w:tc>
        <w:tc>
          <w:tcPr>
            <w:tcW w:w="1447" w:type="dxa"/>
          </w:tcPr>
          <w:p>
            <w:pPr>
              <w:pStyle w:val="TableParagraph"/>
              <w:spacing w:before="81"/>
              <w:ind w:right="569"/>
              <w:jc w:val="right"/>
              <w:rPr>
                <w:sz w:val="21"/>
              </w:rPr>
            </w:pPr>
            <w:r>
              <w:rPr>
                <w:sz w:val="21"/>
              </w:rPr>
              <w:t>1.2</w:t>
            </w:r>
          </w:p>
        </w:tc>
        <w:tc>
          <w:tcPr>
            <w:tcW w:w="1466" w:type="dxa"/>
          </w:tcPr>
          <w:p>
            <w:pPr>
              <w:pStyle w:val="TableParagraph"/>
              <w:spacing w:before="81"/>
              <w:ind w:left="574" w:right="561"/>
              <w:jc w:val="center"/>
              <w:rPr>
                <w:sz w:val="21"/>
              </w:rPr>
            </w:pPr>
            <w:r>
              <w:rPr>
                <w:sz w:val="21"/>
              </w:rPr>
              <w:t>2.5</w:t>
            </w:r>
          </w:p>
        </w:tc>
      </w:tr>
      <w:tr>
        <w:trPr>
          <w:trHeight w:val="739" w:hRule="atLeast"/>
        </w:trPr>
        <w:tc>
          <w:tcPr>
            <w:tcW w:w="1455" w:type="dxa"/>
            <w:tcBorders>
              <w:right w:val="single" w:sz="4" w:space="0" w:color="000000"/>
            </w:tcBorders>
          </w:tcPr>
          <w:p>
            <w:pPr>
              <w:pStyle w:val="TableParagraph"/>
              <w:spacing w:before="81"/>
              <w:ind w:left="187" w:right="168" w:firstLine="418"/>
              <w:rPr>
                <w:sz w:val="21"/>
              </w:rPr>
            </w:pPr>
            <w:r>
              <w:rPr>
                <w:sz w:val="21"/>
              </w:rPr>
              <w:t>La Quemada</w:t>
            </w:r>
          </w:p>
        </w:tc>
        <w:tc>
          <w:tcPr>
            <w:tcW w:w="1280" w:type="dxa"/>
            <w:tcBorders>
              <w:left w:val="single" w:sz="4" w:space="0" w:color="000000"/>
            </w:tcBorders>
            <w:shd w:val="clear" w:color="auto" w:fill="CCCCCC"/>
          </w:tcPr>
          <w:p>
            <w:pPr>
              <w:pStyle w:val="TableParagraph"/>
              <w:spacing w:before="81"/>
              <w:ind w:left="477"/>
              <w:rPr>
                <w:sz w:val="21"/>
              </w:rPr>
            </w:pPr>
            <w:r>
              <w:rPr>
                <w:sz w:val="21"/>
              </w:rPr>
              <w:t>bajo</w:t>
            </w:r>
          </w:p>
        </w:tc>
        <w:tc>
          <w:tcPr>
            <w:tcW w:w="1560" w:type="dxa"/>
            <w:shd w:val="clear" w:color="auto" w:fill="CCCCCC"/>
          </w:tcPr>
          <w:p>
            <w:pPr>
              <w:pStyle w:val="TableParagraph"/>
              <w:spacing w:before="81"/>
              <w:ind w:right="557"/>
              <w:jc w:val="right"/>
              <w:rPr>
                <w:sz w:val="21"/>
              </w:rPr>
            </w:pPr>
            <w:r>
              <w:rPr>
                <w:sz w:val="21"/>
              </w:rPr>
              <w:t>18</w:t>
            </w:r>
          </w:p>
        </w:tc>
        <w:tc>
          <w:tcPr>
            <w:tcW w:w="1456" w:type="dxa"/>
            <w:shd w:val="clear" w:color="auto" w:fill="CCCCCC"/>
          </w:tcPr>
          <w:p>
            <w:pPr>
              <w:pStyle w:val="TableParagraph"/>
              <w:spacing w:before="81"/>
              <w:ind w:right="530"/>
              <w:jc w:val="right"/>
              <w:rPr>
                <w:sz w:val="21"/>
              </w:rPr>
            </w:pPr>
            <w:r>
              <w:rPr>
                <w:sz w:val="21"/>
              </w:rPr>
              <w:t>1.0</w:t>
            </w:r>
          </w:p>
        </w:tc>
        <w:tc>
          <w:tcPr>
            <w:tcW w:w="1633" w:type="dxa"/>
            <w:shd w:val="clear" w:color="auto" w:fill="CCCCCC"/>
          </w:tcPr>
          <w:p>
            <w:pPr>
              <w:pStyle w:val="TableParagraph"/>
              <w:spacing w:before="81"/>
              <w:ind w:left="617" w:right="564"/>
              <w:jc w:val="center"/>
              <w:rPr>
                <w:sz w:val="21"/>
              </w:rPr>
            </w:pPr>
            <w:r>
              <w:rPr>
                <w:sz w:val="21"/>
              </w:rPr>
              <w:t>2.0</w:t>
            </w:r>
          </w:p>
        </w:tc>
        <w:tc>
          <w:tcPr>
            <w:tcW w:w="1447" w:type="dxa"/>
            <w:shd w:val="clear" w:color="auto" w:fill="CCCCCC"/>
          </w:tcPr>
          <w:p>
            <w:pPr>
              <w:pStyle w:val="TableParagraph"/>
              <w:spacing w:before="81"/>
              <w:ind w:right="569"/>
              <w:jc w:val="right"/>
              <w:rPr>
                <w:sz w:val="21"/>
              </w:rPr>
            </w:pPr>
            <w:r>
              <w:rPr>
                <w:sz w:val="21"/>
              </w:rPr>
              <w:t>1.1</w:t>
            </w:r>
          </w:p>
        </w:tc>
        <w:tc>
          <w:tcPr>
            <w:tcW w:w="1466" w:type="dxa"/>
            <w:shd w:val="clear" w:color="auto" w:fill="CCCCCC"/>
          </w:tcPr>
          <w:p>
            <w:pPr>
              <w:pStyle w:val="TableParagraph"/>
              <w:spacing w:before="81"/>
              <w:ind w:left="574" w:right="561"/>
              <w:jc w:val="center"/>
              <w:rPr>
                <w:sz w:val="21"/>
              </w:rPr>
            </w:pPr>
            <w:r>
              <w:rPr>
                <w:sz w:val="21"/>
              </w:rPr>
              <w:t>1.0</w:t>
            </w:r>
          </w:p>
        </w:tc>
      </w:tr>
      <w:tr>
        <w:trPr>
          <w:trHeight w:val="460" w:hRule="atLeast"/>
        </w:trPr>
        <w:tc>
          <w:tcPr>
            <w:tcW w:w="1455" w:type="dxa"/>
            <w:tcBorders>
              <w:right w:val="single" w:sz="4" w:space="0" w:color="000000"/>
            </w:tcBorders>
          </w:tcPr>
          <w:p>
            <w:pPr>
              <w:pStyle w:val="TableParagraph"/>
              <w:spacing w:before="81"/>
              <w:ind w:left="329"/>
              <w:rPr>
                <w:sz w:val="21"/>
              </w:rPr>
            </w:pPr>
            <w:r>
              <w:rPr>
                <w:sz w:val="21"/>
              </w:rPr>
              <w:t>La Joya</w:t>
            </w:r>
          </w:p>
        </w:tc>
        <w:tc>
          <w:tcPr>
            <w:tcW w:w="1280" w:type="dxa"/>
            <w:tcBorders>
              <w:left w:val="single" w:sz="4" w:space="0" w:color="000000"/>
            </w:tcBorders>
          </w:tcPr>
          <w:p>
            <w:pPr>
              <w:pStyle w:val="TableParagraph"/>
              <w:spacing w:before="81"/>
              <w:ind w:left="477"/>
              <w:rPr>
                <w:sz w:val="21"/>
              </w:rPr>
            </w:pPr>
            <w:r>
              <w:rPr>
                <w:sz w:val="21"/>
              </w:rPr>
              <w:t>bajo</w:t>
            </w:r>
          </w:p>
        </w:tc>
        <w:tc>
          <w:tcPr>
            <w:tcW w:w="1560" w:type="dxa"/>
          </w:tcPr>
          <w:p>
            <w:pPr>
              <w:pStyle w:val="TableParagraph"/>
              <w:spacing w:before="81"/>
              <w:ind w:right="529"/>
              <w:jc w:val="right"/>
              <w:rPr>
                <w:sz w:val="21"/>
              </w:rPr>
            </w:pPr>
            <w:r>
              <w:rPr>
                <w:sz w:val="21"/>
              </w:rPr>
              <w:t>3.0</w:t>
            </w:r>
          </w:p>
        </w:tc>
        <w:tc>
          <w:tcPr>
            <w:tcW w:w="1456" w:type="dxa"/>
          </w:tcPr>
          <w:p>
            <w:pPr>
              <w:pStyle w:val="TableParagraph"/>
              <w:spacing w:before="81"/>
              <w:ind w:right="530"/>
              <w:jc w:val="right"/>
              <w:rPr>
                <w:sz w:val="21"/>
              </w:rPr>
            </w:pPr>
            <w:r>
              <w:rPr>
                <w:sz w:val="21"/>
              </w:rPr>
              <w:t>0.0</w:t>
            </w:r>
          </w:p>
        </w:tc>
        <w:tc>
          <w:tcPr>
            <w:tcW w:w="1633" w:type="dxa"/>
          </w:tcPr>
          <w:p>
            <w:pPr>
              <w:pStyle w:val="TableParagraph"/>
              <w:spacing w:before="81"/>
              <w:ind w:left="826"/>
              <w:rPr>
                <w:sz w:val="21"/>
              </w:rPr>
            </w:pPr>
            <w:r>
              <w:rPr>
                <w:sz w:val="21"/>
              </w:rPr>
              <w:t>3.0</w:t>
            </w:r>
          </w:p>
        </w:tc>
        <w:tc>
          <w:tcPr>
            <w:tcW w:w="1447" w:type="dxa"/>
          </w:tcPr>
          <w:p>
            <w:pPr>
              <w:pStyle w:val="TableParagraph"/>
              <w:spacing w:before="81"/>
              <w:ind w:right="599"/>
              <w:jc w:val="right"/>
              <w:rPr>
                <w:sz w:val="21"/>
              </w:rPr>
            </w:pPr>
            <w:r>
              <w:rPr>
                <w:sz w:val="21"/>
              </w:rPr>
              <w:t>12</w:t>
            </w:r>
          </w:p>
        </w:tc>
        <w:tc>
          <w:tcPr>
            <w:tcW w:w="1466" w:type="dxa"/>
          </w:tcPr>
          <w:p>
            <w:pPr>
              <w:pStyle w:val="TableParagraph"/>
              <w:spacing w:before="81"/>
              <w:ind w:left="574" w:right="561"/>
              <w:jc w:val="center"/>
              <w:rPr>
                <w:sz w:val="21"/>
              </w:rPr>
            </w:pPr>
            <w:r>
              <w:rPr>
                <w:sz w:val="21"/>
              </w:rPr>
              <w:t>0.0</w:t>
            </w:r>
          </w:p>
        </w:tc>
      </w:tr>
      <w:tr>
        <w:trPr>
          <w:trHeight w:val="458" w:hRule="atLeast"/>
        </w:trPr>
        <w:tc>
          <w:tcPr>
            <w:tcW w:w="1455" w:type="dxa"/>
            <w:tcBorders>
              <w:right w:val="single" w:sz="4" w:space="0" w:color="000000"/>
            </w:tcBorders>
          </w:tcPr>
          <w:p>
            <w:pPr>
              <w:pStyle w:val="TableParagraph"/>
              <w:spacing w:before="81"/>
              <w:ind w:left="204"/>
              <w:rPr>
                <w:sz w:val="21"/>
              </w:rPr>
            </w:pPr>
            <w:r>
              <w:rPr>
                <w:sz w:val="21"/>
              </w:rPr>
              <w:t>San Simón</w:t>
            </w:r>
          </w:p>
        </w:tc>
        <w:tc>
          <w:tcPr>
            <w:tcW w:w="1280" w:type="dxa"/>
            <w:tcBorders>
              <w:left w:val="single" w:sz="4" w:space="0" w:color="000000"/>
            </w:tcBorders>
            <w:shd w:val="clear" w:color="auto" w:fill="CCCCCC"/>
          </w:tcPr>
          <w:p>
            <w:pPr>
              <w:pStyle w:val="TableParagraph"/>
              <w:spacing w:before="81"/>
              <w:ind w:right="233"/>
              <w:jc w:val="right"/>
              <w:rPr>
                <w:sz w:val="21"/>
              </w:rPr>
            </w:pPr>
            <w:r>
              <w:rPr>
                <w:sz w:val="21"/>
              </w:rPr>
              <w:t>medio</w:t>
            </w:r>
          </w:p>
        </w:tc>
        <w:tc>
          <w:tcPr>
            <w:tcW w:w="1560" w:type="dxa"/>
            <w:shd w:val="clear" w:color="auto" w:fill="CCCCCC"/>
          </w:tcPr>
          <w:p>
            <w:pPr>
              <w:pStyle w:val="TableParagraph"/>
              <w:spacing w:before="81"/>
              <w:ind w:right="529"/>
              <w:jc w:val="right"/>
              <w:rPr>
                <w:sz w:val="21"/>
              </w:rPr>
            </w:pPr>
            <w:r>
              <w:rPr>
                <w:sz w:val="21"/>
              </w:rPr>
              <w:t>4.0</w:t>
            </w:r>
          </w:p>
        </w:tc>
        <w:tc>
          <w:tcPr>
            <w:tcW w:w="1456" w:type="dxa"/>
            <w:shd w:val="clear" w:color="auto" w:fill="CCCCCC"/>
          </w:tcPr>
          <w:p>
            <w:pPr>
              <w:pStyle w:val="TableParagraph"/>
              <w:spacing w:before="81"/>
              <w:ind w:right="530"/>
              <w:jc w:val="right"/>
              <w:rPr>
                <w:sz w:val="21"/>
              </w:rPr>
            </w:pPr>
            <w:r>
              <w:rPr>
                <w:sz w:val="21"/>
              </w:rPr>
              <w:t>0.8</w:t>
            </w:r>
          </w:p>
        </w:tc>
        <w:tc>
          <w:tcPr>
            <w:tcW w:w="1633" w:type="dxa"/>
            <w:shd w:val="clear" w:color="auto" w:fill="CCCCCC"/>
          </w:tcPr>
          <w:p>
            <w:pPr>
              <w:pStyle w:val="TableParagraph"/>
              <w:spacing w:before="81"/>
              <w:ind w:left="617" w:right="564"/>
              <w:jc w:val="center"/>
              <w:rPr>
                <w:sz w:val="21"/>
              </w:rPr>
            </w:pPr>
            <w:r>
              <w:rPr>
                <w:sz w:val="21"/>
              </w:rPr>
              <w:t>2.4</w:t>
            </w:r>
          </w:p>
        </w:tc>
        <w:tc>
          <w:tcPr>
            <w:tcW w:w="1447" w:type="dxa"/>
            <w:shd w:val="clear" w:color="auto" w:fill="CCCCCC"/>
          </w:tcPr>
          <w:p>
            <w:pPr>
              <w:pStyle w:val="TableParagraph"/>
              <w:spacing w:before="81"/>
              <w:ind w:right="569"/>
              <w:jc w:val="right"/>
              <w:rPr>
                <w:sz w:val="21"/>
              </w:rPr>
            </w:pPr>
            <w:r>
              <w:rPr>
                <w:sz w:val="21"/>
              </w:rPr>
              <w:t>1.2</w:t>
            </w:r>
          </w:p>
        </w:tc>
        <w:tc>
          <w:tcPr>
            <w:tcW w:w="1466" w:type="dxa"/>
            <w:shd w:val="clear" w:color="auto" w:fill="CCCCCC"/>
          </w:tcPr>
          <w:p>
            <w:pPr>
              <w:pStyle w:val="TableParagraph"/>
              <w:spacing w:before="81"/>
              <w:ind w:left="574" w:right="561"/>
              <w:jc w:val="center"/>
              <w:rPr>
                <w:sz w:val="21"/>
              </w:rPr>
            </w:pPr>
            <w:r>
              <w:rPr>
                <w:sz w:val="21"/>
              </w:rPr>
              <w:t>16</w:t>
            </w:r>
          </w:p>
        </w:tc>
      </w:tr>
    </w:tbl>
    <w:p>
      <w:pPr>
        <w:pStyle w:val="BodyText"/>
        <w:rPr>
          <w:sz w:val="26"/>
        </w:rPr>
      </w:pPr>
    </w:p>
    <w:p>
      <w:pPr>
        <w:pStyle w:val="BodyText"/>
        <w:spacing w:before="10"/>
        <w:rPr>
          <w:sz w:val="36"/>
        </w:rPr>
      </w:pPr>
    </w:p>
    <w:p>
      <w:pPr>
        <w:spacing w:before="0"/>
        <w:ind w:left="1001" w:right="1253" w:firstLine="0"/>
        <w:jc w:val="center"/>
        <w:rPr>
          <w:sz w:val="15"/>
        </w:rPr>
      </w:pPr>
      <w:r>
        <w:rPr>
          <w:b/>
          <w:sz w:val="15"/>
        </w:rPr>
        <w:t>Fuente</w:t>
      </w:r>
      <w:r>
        <w:rPr>
          <w:sz w:val="15"/>
        </w:rPr>
        <w:t>: Ficha Municipal de Magdalena, Jalisco. INSTITUTO DE INFORMACIÓN ESTADÍSTICA Y GEOGRÁFICA https://iieg.gob.mx/contenido/Municipios/Magdalena.pdf</w:t>
      </w:r>
    </w:p>
    <w:p>
      <w:pPr>
        <w:spacing w:after="0"/>
        <w:jc w:val="center"/>
        <w:rPr>
          <w:sz w:val="15"/>
        </w:rPr>
        <w:sectPr>
          <w:pgSz w:w="12240" w:h="15840"/>
          <w:pgMar w:header="178" w:footer="1076" w:top="1120" w:bottom="1360" w:left="460" w:right="220"/>
        </w:sectPr>
      </w:pPr>
    </w:p>
    <w:p>
      <w:pPr>
        <w:pStyle w:val="BodyText"/>
        <w:rPr>
          <w:sz w:val="20"/>
        </w:rPr>
      </w:pPr>
    </w:p>
    <w:p>
      <w:pPr>
        <w:pStyle w:val="BodyText"/>
        <w:rPr>
          <w:sz w:val="20"/>
        </w:rPr>
      </w:pPr>
    </w:p>
    <w:p>
      <w:pPr>
        <w:pStyle w:val="BodyText"/>
        <w:spacing w:before="1"/>
        <w:rPr>
          <w:sz w:val="17"/>
        </w:rPr>
      </w:pPr>
    </w:p>
    <w:p>
      <w:pPr>
        <w:pStyle w:val="Heading2"/>
        <w:spacing w:before="100"/>
        <w:rPr>
          <w:rFonts w:ascii="Century Gothic" w:hAnsi="Century Gothic"/>
        </w:rPr>
      </w:pPr>
      <w:r>
        <w:rPr>
          <w:rFonts w:ascii="Century Gothic" w:hAnsi="Century Gothic"/>
        </w:rPr>
        <w:t>Servicios Públicos</w:t>
      </w:r>
    </w:p>
    <w:p>
      <w:pPr>
        <w:pStyle w:val="BodyText"/>
        <w:spacing w:before="10"/>
        <w:rPr>
          <w:b/>
          <w:sz w:val="23"/>
        </w:rPr>
      </w:pPr>
    </w:p>
    <w:p>
      <w:pPr>
        <w:pStyle w:val="Heading4"/>
        <w:spacing w:before="1"/>
      </w:pPr>
      <w:r>
        <w:rPr/>
        <w:t>Agua</w:t>
      </w:r>
    </w:p>
    <w:p>
      <w:pPr>
        <w:pStyle w:val="BodyText"/>
        <w:spacing w:before="9"/>
        <w:rPr>
          <w:b/>
          <w:sz w:val="23"/>
        </w:rPr>
      </w:pPr>
    </w:p>
    <w:p>
      <w:pPr>
        <w:pStyle w:val="BodyText"/>
        <w:spacing w:line="276" w:lineRule="auto"/>
        <w:ind w:left="901" w:right="1155"/>
        <w:jc w:val="both"/>
      </w:pPr>
      <w:r>
        <w:rPr/>
        <w:t>Por el año de 1940 Magdalena contaba con un servicio de agua potable muy rudimentario y elemental, suministrado por el Sr. Lucio Arce, en la zona céntrica de Magdalena únicamente, servicio que provenía por bombeo y gravedad con extracción de un pozo su propiedad de su domicilio en las hoy calles de Juárez y M. Diéguez en donde tenía su tanque de distribución, tanque que almacenaba aproximadamente 30 m3 de agua que luego suministraba a la población.</w:t>
      </w:r>
    </w:p>
    <w:p>
      <w:pPr>
        <w:pStyle w:val="BodyText"/>
        <w:spacing w:before="5"/>
        <w:rPr>
          <w:sz w:val="25"/>
        </w:rPr>
      </w:pPr>
    </w:p>
    <w:p>
      <w:pPr>
        <w:pStyle w:val="BodyText"/>
        <w:spacing w:line="276" w:lineRule="auto"/>
        <w:ind w:left="901" w:right="1156"/>
        <w:jc w:val="both"/>
      </w:pPr>
      <w:r>
        <w:rPr/>
        <w:t>El sistema se componía de tuberías de acero y en algunas partes, la red de distribución era de tuberías de barro de aproximadamente una pulgada de diámetro, mismas que se encontraron en excavaciones por la calle J. Mina de éste lugar, aun en un estado de conservación muy aceptable.</w:t>
      </w:r>
    </w:p>
    <w:p>
      <w:pPr>
        <w:pStyle w:val="BodyText"/>
        <w:spacing w:before="3"/>
        <w:rPr>
          <w:sz w:val="25"/>
        </w:rPr>
      </w:pPr>
    </w:p>
    <w:p>
      <w:pPr>
        <w:pStyle w:val="BodyText"/>
        <w:spacing w:line="276" w:lineRule="auto"/>
        <w:ind w:left="901" w:right="1153"/>
        <w:jc w:val="both"/>
      </w:pPr>
      <w:r>
        <w:rPr/>
        <w:t>Unos cuantos años posteriores a éste servicio, se instalaron las primeras líneas de tubería de acero y asbesto, integrándose el Sistema de Agua Potable de Magdalena, con un tanque de captación que se construyó en la que fue la presa entre las calles Juárez, Obregón y M. Diéguez, manantial que por buen número de años fue suficiente para abastecer a la pequeña población que en esos años (1950-1960) era Magdalena. El sistema de bombeo utilizaba como tanque distribuidor, el que se construyó en el Cerro de El Calvario, en la hoy calle 5 de febrero, con capacidad aproximada de 50 m3, dividido en 2 secciones y ejecutado a base de mamposterías y ladrillo, con bóveda de cuña, mismo que en estos días ya no se utilizan.</w:t>
      </w:r>
    </w:p>
    <w:p>
      <w:pPr>
        <w:pStyle w:val="BodyText"/>
        <w:spacing w:before="6"/>
        <w:rPr>
          <w:sz w:val="25"/>
        </w:rPr>
      </w:pPr>
    </w:p>
    <w:p>
      <w:pPr>
        <w:pStyle w:val="BodyText"/>
        <w:spacing w:line="276" w:lineRule="auto"/>
        <w:ind w:left="901" w:right="1153"/>
        <w:jc w:val="both"/>
      </w:pPr>
      <w:r>
        <w:rPr/>
        <w:t>Actualmente, Magdalena, cuenta con un proyecto integral, actualizado, moderno y eficaz en el que cada una de las fuentes de abastecimiento que se tienen hasta el momento, es aprovechado a toda su capacidad, en que cada una de las líneas sea proyectada para servir de acuerdo al área y al número de habitantes para que tenga capacidad, que los tanques de almacenamiento o de alivio, respondan a un requerimiento determinado, producto de las necesidades del bombeo y el uso del  agua en los distintos momentos de su</w:t>
      </w:r>
      <w:r>
        <w:rPr>
          <w:spacing w:val="-10"/>
        </w:rPr>
        <w:t> </w:t>
      </w:r>
      <w:r>
        <w:rPr/>
        <w:t>utilización.</w:t>
      </w:r>
    </w:p>
    <w:p>
      <w:pPr>
        <w:pStyle w:val="BodyText"/>
        <w:spacing w:before="4"/>
        <w:rPr>
          <w:sz w:val="25"/>
        </w:rPr>
      </w:pPr>
    </w:p>
    <w:p>
      <w:pPr>
        <w:pStyle w:val="BodyText"/>
        <w:spacing w:line="276" w:lineRule="auto"/>
        <w:ind w:left="901" w:right="1156"/>
        <w:jc w:val="both"/>
      </w:pPr>
      <w:r>
        <w:rPr/>
        <w:t>En las plantas de bombeo se encuentran instalados cloradores, para eliminar en una buena parte los elementos dañinos que pudiesen acompañar al agua.</w:t>
      </w:r>
    </w:p>
    <w:p>
      <w:pPr>
        <w:pStyle w:val="BodyText"/>
        <w:spacing w:before="2"/>
        <w:rPr>
          <w:sz w:val="25"/>
        </w:rPr>
      </w:pPr>
    </w:p>
    <w:p>
      <w:pPr>
        <w:pStyle w:val="BodyText"/>
        <w:spacing w:line="276" w:lineRule="auto"/>
        <w:ind w:left="901" w:right="1154"/>
        <w:jc w:val="both"/>
      </w:pPr>
      <w:r>
        <w:rPr/>
        <w:t>Además, existen proveedores particulares de agua purificada que expenden a la población el líquido en garrafones de 20 lts; además vendedores que la traen de Guadalajara, Tequila y San Marcos.</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spacing w:before="5"/>
        <w:rPr>
          <w:sz w:val="20"/>
        </w:rPr>
      </w:pPr>
    </w:p>
    <w:p>
      <w:pPr>
        <w:pStyle w:val="BodyText"/>
        <w:spacing w:line="276" w:lineRule="auto" w:before="101"/>
        <w:ind w:left="901" w:right="1153"/>
        <w:jc w:val="both"/>
      </w:pPr>
      <w:r>
        <w:rPr/>
        <w:t>Para garantizar la salud de la población, en forma periódica, se llevan a cabo muestreos de cloración en diferentes puntos de las líneas que integran el sistema </w:t>
      </w:r>
      <w:r>
        <w:rPr>
          <w:spacing w:val="-3"/>
        </w:rPr>
        <w:t>de </w:t>
      </w:r>
      <w:r>
        <w:rPr/>
        <w:t>distribución de agua potable de la cabecera y de cada uno de los asentamientos humanos que conforman el municipio, mismas que integran un expediente para su seguimiento constante por parte de la Secretaría de Salud en Jalisco, algunas de cuyas muestras se analizan para detectar oportunamente cualquier posible</w:t>
      </w:r>
      <w:r>
        <w:rPr>
          <w:spacing w:val="-13"/>
        </w:rPr>
        <w:t> </w:t>
      </w:r>
      <w:r>
        <w:rPr/>
        <w:t>problema.</w:t>
      </w:r>
    </w:p>
    <w:p>
      <w:pPr>
        <w:pStyle w:val="BodyText"/>
        <w:spacing w:before="4"/>
        <w:rPr>
          <w:sz w:val="25"/>
        </w:rPr>
      </w:pPr>
    </w:p>
    <w:p>
      <w:pPr>
        <w:pStyle w:val="BodyText"/>
        <w:spacing w:line="276" w:lineRule="auto" w:before="1"/>
        <w:ind w:left="901" w:right="1153"/>
        <w:jc w:val="both"/>
      </w:pPr>
      <w:r>
        <w:rPr/>
        <w:t>En la actualidad existen 5,275 tomas domiciliarias siendo 297 de tipo comercial y 4,978 de tipo doméstica con una cobertura del 94.7% en promedio con aproximadamente 18 hrs. de servicio por</w:t>
      </w:r>
      <w:r>
        <w:rPr>
          <w:spacing w:val="-8"/>
        </w:rPr>
        <w:t> </w:t>
      </w:r>
      <w:r>
        <w:rPr/>
        <w:t>vivienda.</w:t>
      </w:r>
    </w:p>
    <w:p>
      <w:pPr>
        <w:pStyle w:val="BodyText"/>
        <w:spacing w:before="4"/>
        <w:rPr>
          <w:sz w:val="25"/>
        </w:rPr>
      </w:pPr>
    </w:p>
    <w:p>
      <w:pPr>
        <w:pStyle w:val="BodyText"/>
        <w:spacing w:line="276" w:lineRule="auto"/>
        <w:ind w:left="901" w:right="1155"/>
        <w:jc w:val="both"/>
      </w:pPr>
      <w:r>
        <w:rPr/>
        <w:t>Según datos proporcionados por el Sistema de Agua Potable, Alcantarillado y Saneamiento de Magdalena (SAPASMAG) las líneas de conducción existentes resultan ineficientes, por lo que es necesario cambiarlas a diámetros mayores.</w:t>
      </w:r>
    </w:p>
    <w:p>
      <w:pPr>
        <w:pStyle w:val="BodyText"/>
        <w:spacing w:before="3"/>
        <w:rPr>
          <w:sz w:val="25"/>
        </w:rPr>
      </w:pPr>
    </w:p>
    <w:p>
      <w:pPr>
        <w:pStyle w:val="BodyText"/>
        <w:spacing w:line="276" w:lineRule="auto" w:before="1"/>
        <w:ind w:left="901" w:right="1156"/>
        <w:jc w:val="both"/>
      </w:pPr>
      <w:r>
        <w:rPr/>
        <w:t>Cabe aclarar que, según las normas de distribución de agua, esta se hace por el sistema de tanques elevados y distribución por gravedad, para evitar que las líneas de distribución estén constantemente presentando</w:t>
      </w:r>
      <w:r>
        <w:rPr>
          <w:spacing w:val="-7"/>
        </w:rPr>
        <w:t> </w:t>
      </w:r>
      <w:r>
        <w:rPr/>
        <w:t>fugas.</w:t>
      </w:r>
    </w:p>
    <w:p>
      <w:pPr>
        <w:pStyle w:val="BodyText"/>
        <w:spacing w:before="3"/>
        <w:rPr>
          <w:sz w:val="25"/>
        </w:rPr>
      </w:pPr>
    </w:p>
    <w:p>
      <w:pPr>
        <w:pStyle w:val="BodyText"/>
        <w:spacing w:line="276" w:lineRule="auto"/>
        <w:ind w:left="901" w:right="1153"/>
        <w:jc w:val="both"/>
      </w:pPr>
      <w:r>
        <w:rPr/>
        <w:t>Las aguas pluviales de la población son eliminadas por el flujo superficial sobre las calles principalmente, el municipio no cuenta en la actualidad con un sistema de drenaje pluvial; los problemas ocasionados principalmente se deben a que Magdalena </w:t>
      </w:r>
      <w:r>
        <w:rPr>
          <w:spacing w:val="-6"/>
        </w:rPr>
        <w:t>ha </w:t>
      </w:r>
      <w:r>
        <w:rPr/>
        <w:t>crecido sobre los cerros que la circundan sin haber estudiado a fondo esta problemática, y que ahora se refleja de varias maneras: Una, por la constante descarga de aguas pluviales de las viviendas a la red de drenaje municipal, que al no estar proyectada para abastecer estas circunstancias, aflora en las partes bajas de la población y en ocasiones llega a salir por los muebles sanitarios y cespol de las viviendas, dada la altura y la presión que se genera desde los cerros, por lo que es común durante las tormentas que, en C. México y Manuel M. Diéguez, Iturbide y Pedro Moreno, por Av. Ferrocarril, etc., los drenajes se desbordan y salgan a la</w:t>
      </w:r>
      <w:r>
        <w:rPr>
          <w:spacing w:val="-26"/>
        </w:rPr>
        <w:t> </w:t>
      </w:r>
      <w:r>
        <w:rPr/>
        <w:t>superficie.</w:t>
      </w:r>
    </w:p>
    <w:p>
      <w:pPr>
        <w:pStyle w:val="BodyText"/>
        <w:spacing w:before="4"/>
        <w:rPr>
          <w:sz w:val="25"/>
        </w:rPr>
      </w:pPr>
    </w:p>
    <w:p>
      <w:pPr>
        <w:pStyle w:val="BodyText"/>
        <w:spacing w:line="276" w:lineRule="auto"/>
        <w:ind w:left="901" w:right="1155"/>
        <w:jc w:val="both"/>
      </w:pPr>
      <w:r>
        <w:rPr/>
        <w:t>En materia de infraestructura, se requiere mantenimiento a los canales pluviales, principalmente a los cerca de 3.5 kilómetros de los principales.</w:t>
      </w:r>
    </w:p>
    <w:p>
      <w:pPr>
        <w:pStyle w:val="BodyText"/>
        <w:spacing w:line="276" w:lineRule="auto" w:before="201"/>
        <w:ind w:left="901" w:right="1153"/>
        <w:jc w:val="both"/>
      </w:pPr>
      <w:r>
        <w:rPr/>
        <w:t>Un problema grave se presenta en la capacidad de bombeo de la planta de tratamiento dado que no está diseñada para bombear toda el agua de lluvias que la población vierte a los drenajes sanitarios (SAPASMAG), forzando los equipos para su eventual falla. Además, existen otros problemas importantes en cuanto a manejo integral del agua.</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rPr>
          <w:sz w:val="20"/>
        </w:rPr>
      </w:pPr>
    </w:p>
    <w:p>
      <w:pPr>
        <w:pStyle w:val="BodyText"/>
        <w:spacing w:before="9"/>
        <w:rPr>
          <w:sz w:val="23"/>
        </w:rPr>
      </w:pPr>
    </w:p>
    <w:p>
      <w:pPr>
        <w:pStyle w:val="BodyText"/>
        <w:spacing w:line="276" w:lineRule="auto" w:before="101"/>
        <w:ind w:left="901" w:right="1156"/>
        <w:jc w:val="both"/>
      </w:pPr>
      <w:r>
        <w:rPr/>
        <w:t>El primero, se refiere al desperdicio del vital líquido, el cual representa pérdidas físicas por el mal estado de las redes y las tomas clandestinas. Según los análisis propios del sistema operador de agua municipal, aproximadamente el 60% de agua que se bombea, no se factura, generando pérdidas para el sistema y</w:t>
      </w:r>
      <w:r>
        <w:rPr>
          <w:spacing w:val="-16"/>
        </w:rPr>
        <w:t> </w:t>
      </w:r>
      <w:r>
        <w:rPr/>
        <w:t>desperdicio.</w:t>
      </w:r>
    </w:p>
    <w:p>
      <w:pPr>
        <w:pStyle w:val="BodyText"/>
        <w:spacing w:before="3"/>
        <w:rPr>
          <w:sz w:val="25"/>
        </w:rPr>
      </w:pPr>
    </w:p>
    <w:p>
      <w:pPr>
        <w:pStyle w:val="BodyText"/>
        <w:spacing w:line="276" w:lineRule="auto"/>
        <w:ind w:left="901" w:right="1155"/>
        <w:jc w:val="both"/>
      </w:pPr>
      <w:r>
        <w:rPr/>
        <w:t>En segundo lugar, existe un diagnóstico municipal sobre el exceso de consumo de agua en los edificios públicos, donde los costos de operación ascienden a 1,200,000 anuales, mismo que no se recuperan.</w:t>
      </w:r>
    </w:p>
    <w:p>
      <w:pPr>
        <w:pStyle w:val="BodyText"/>
        <w:spacing w:before="4"/>
        <w:rPr>
          <w:sz w:val="25"/>
        </w:rPr>
      </w:pPr>
    </w:p>
    <w:p>
      <w:pPr>
        <w:pStyle w:val="BodyText"/>
        <w:spacing w:line="276" w:lineRule="auto"/>
        <w:ind w:left="901" w:right="1156"/>
        <w:jc w:val="both"/>
      </w:pPr>
      <w:r>
        <w:rPr/>
        <w:t>Por otra parte, se ha detectado que las viviendas del centro del municipio están presentando una extracción mayor de agua a lo autorizado; lo cual es necesario regular y cobrar lo correspondiente al</w:t>
      </w:r>
      <w:r>
        <w:rPr>
          <w:spacing w:val="-8"/>
        </w:rPr>
        <w:t> </w:t>
      </w:r>
      <w:r>
        <w:rPr/>
        <w:t>aprovechamiento.</w:t>
      </w:r>
    </w:p>
    <w:p>
      <w:pPr>
        <w:pStyle w:val="BodyText"/>
        <w:spacing w:before="4"/>
        <w:rPr>
          <w:sz w:val="25"/>
        </w:rPr>
      </w:pPr>
    </w:p>
    <w:p>
      <w:pPr>
        <w:pStyle w:val="BodyText"/>
        <w:spacing w:line="276" w:lineRule="auto"/>
        <w:ind w:left="901" w:right="1155"/>
        <w:jc w:val="both"/>
      </w:pPr>
      <w:r>
        <w:rPr/>
        <w:t>Finalmente, cabe mencionar que el diagnóstico arrojó dos localidades - Santa María y San Simón - con desabasto y mala calidad del agua. Situación que deberá atenderse para que, en los años venideros, no se convierta en una situación crítica para la población.</w:t>
      </w:r>
    </w:p>
    <w:p>
      <w:pPr>
        <w:pStyle w:val="BodyText"/>
        <w:rPr>
          <w:sz w:val="26"/>
        </w:rPr>
      </w:pPr>
    </w:p>
    <w:p>
      <w:pPr>
        <w:pStyle w:val="BodyText"/>
        <w:rPr>
          <w:sz w:val="26"/>
        </w:rPr>
      </w:pPr>
    </w:p>
    <w:p>
      <w:pPr>
        <w:pStyle w:val="Heading2"/>
        <w:rPr>
          <w:rFonts w:ascii="Century Gothic"/>
        </w:rPr>
      </w:pPr>
      <w:r>
        <w:rPr>
          <w:rFonts w:ascii="Century Gothic"/>
        </w:rPr>
        <w:t>Alcantarillado</w:t>
      </w:r>
    </w:p>
    <w:p>
      <w:pPr>
        <w:pStyle w:val="BodyText"/>
        <w:spacing w:before="8"/>
        <w:rPr>
          <w:b/>
          <w:sz w:val="23"/>
        </w:rPr>
      </w:pPr>
    </w:p>
    <w:p>
      <w:pPr>
        <w:pStyle w:val="BodyText"/>
        <w:spacing w:line="276" w:lineRule="auto"/>
        <w:ind w:left="901" w:right="1156"/>
        <w:jc w:val="both"/>
      </w:pPr>
      <w:r>
        <w:rPr/>
        <w:t>Paralelo a la construcción del primer sistema de agua potable, se construyó el primer sistema de drenaje público a base de “cañerías” las cuales consistían en un canal a base de tres ladrillos de barro cocido cubierto por otro qué servía de bóveda de aproximadamente 30 cm. De ancho por 20 cm. De altura.</w:t>
      </w:r>
    </w:p>
    <w:p>
      <w:pPr>
        <w:pStyle w:val="BodyText"/>
        <w:spacing w:before="5"/>
        <w:rPr>
          <w:sz w:val="25"/>
        </w:rPr>
      </w:pPr>
    </w:p>
    <w:p>
      <w:pPr>
        <w:pStyle w:val="BodyText"/>
        <w:spacing w:line="276" w:lineRule="auto" w:before="1"/>
        <w:ind w:left="901" w:right="1156"/>
        <w:jc w:val="both"/>
      </w:pPr>
      <w:r>
        <w:rPr/>
        <w:t>Para la población era suficiente, corría a lo largo de diferentes calles y desembocaba en lo que con el tiempo se llamó la zanja del agua por la hoy calle Porfirio</w:t>
      </w:r>
      <w:r>
        <w:rPr>
          <w:spacing w:val="-26"/>
        </w:rPr>
        <w:t> </w:t>
      </w:r>
      <w:r>
        <w:rPr/>
        <w:t>Díaz.</w:t>
      </w:r>
    </w:p>
    <w:p>
      <w:pPr>
        <w:pStyle w:val="BodyText"/>
        <w:spacing w:before="1"/>
        <w:rPr>
          <w:sz w:val="25"/>
        </w:rPr>
      </w:pPr>
    </w:p>
    <w:p>
      <w:pPr>
        <w:pStyle w:val="BodyText"/>
        <w:spacing w:line="276" w:lineRule="auto" w:before="1"/>
        <w:ind w:left="901" w:right="1156"/>
        <w:jc w:val="both"/>
      </w:pPr>
      <w:r>
        <w:rPr/>
        <w:t>El 98% de la población de Magdalena en esa época (1940) estaba conectada a esta red, misma que tal vez en algunas calles aun funcione, ya que en 1993 se sustituyó una línea de estas en la calle Juárez por mencionar alguna.</w:t>
      </w:r>
    </w:p>
    <w:p>
      <w:pPr>
        <w:pStyle w:val="BodyText"/>
        <w:spacing w:before="11"/>
        <w:rPr>
          <w:sz w:val="23"/>
        </w:rPr>
      </w:pPr>
    </w:p>
    <w:p>
      <w:pPr>
        <w:pStyle w:val="BodyText"/>
        <w:spacing w:line="276" w:lineRule="auto" w:before="1"/>
        <w:ind w:left="901" w:right="1152"/>
        <w:jc w:val="both"/>
      </w:pPr>
      <w:r>
        <w:rPr/>
        <w:t>El SAPASMAG, creció al igual que la del agua, a base de un proyecto original que, por igual, dio solución correcta a la problemática del municipio, sin embargo, careció de la visión de futuro, originándose problemas y la necesidad a través de los años de dar solución a la incapacidad de conducir las aguas negras que se originaron con el crecimiento y expansión de la mancha urbana de la población.</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6" w:lineRule="auto" w:before="101"/>
        <w:ind w:left="901" w:right="1156"/>
        <w:jc w:val="both"/>
      </w:pPr>
      <w:r>
        <w:rPr/>
        <w:t>Por el año de 1963 se construyó una línea de drenaje que funciono como primer colector a lo largo de las vías del ferrocarril del pacifico entre las calles de Vicente Guerrero y Porfirio Díaz.</w:t>
      </w:r>
    </w:p>
    <w:p>
      <w:pPr>
        <w:pStyle w:val="BodyText"/>
        <w:spacing w:before="4"/>
        <w:rPr>
          <w:sz w:val="25"/>
        </w:rPr>
      </w:pPr>
    </w:p>
    <w:p>
      <w:pPr>
        <w:pStyle w:val="BodyText"/>
        <w:spacing w:line="276" w:lineRule="auto"/>
        <w:ind w:left="901" w:right="1154"/>
        <w:jc w:val="both"/>
      </w:pPr>
      <w:r>
        <w:rPr/>
        <w:t>Años más tarde, el gobierno del estado llevó a cabo la construcción de 2 colectores importantes, uno de los cuales partió de la calle Cementerio hasta la colonia La Cañita, para desembocar en un cárcamo de bombeo ubicado en el Potrero La Primavera, a unos metros de la Carretera a Etzatlán. En tanto que el segundo colector, partió de la calle Benjamín Camacho y siguiendo una línea paralela a las vías de ferrocarril, siguió su curso hasta doblar al sur por el lado oriente de la Carretera Magdalena – Etzatlán, hasta el cárcamo de bombeo.</w:t>
      </w:r>
    </w:p>
    <w:p>
      <w:pPr>
        <w:pStyle w:val="BodyText"/>
        <w:spacing w:before="4"/>
        <w:rPr>
          <w:sz w:val="25"/>
        </w:rPr>
      </w:pPr>
    </w:p>
    <w:p>
      <w:pPr>
        <w:pStyle w:val="BodyText"/>
        <w:spacing w:line="278" w:lineRule="auto"/>
        <w:ind w:left="901" w:right="1155"/>
        <w:jc w:val="both"/>
      </w:pPr>
      <w:r>
        <w:rPr/>
        <w:t>La cobertura mayor de servicio se presenta en la cabecera municipal con el 97.5% y se cuenta con una planta de tratamiento de aguas negras.</w:t>
      </w:r>
    </w:p>
    <w:p>
      <w:pPr>
        <w:pStyle w:val="BodyText"/>
        <w:spacing w:before="11"/>
        <w:rPr>
          <w:sz w:val="24"/>
        </w:rPr>
      </w:pPr>
    </w:p>
    <w:p>
      <w:pPr>
        <w:pStyle w:val="BodyText"/>
        <w:spacing w:line="276" w:lineRule="auto" w:before="1"/>
        <w:ind w:left="901" w:right="1155"/>
        <w:jc w:val="both"/>
      </w:pPr>
      <w:r>
        <w:rPr/>
        <w:t>La principal problemática para el tratamiento de aguas negras se encuentra en las localidades donde habitan alrededor de 5000 personas, cuyas aguas residuales no son tratadas por falta de infraestructura necesaria. Así mismo, la planta de tratamiento que funciona para la cabecera municipal, está llegando al límite de su capacidad, razón por la cual es necesario modernizarla o ampliarla.</w:t>
      </w:r>
    </w:p>
    <w:p>
      <w:pPr>
        <w:pStyle w:val="BodyText"/>
        <w:rPr>
          <w:sz w:val="26"/>
        </w:rPr>
      </w:pPr>
    </w:p>
    <w:p>
      <w:pPr>
        <w:pStyle w:val="BodyText"/>
        <w:spacing w:before="10"/>
        <w:rPr>
          <w:sz w:val="21"/>
        </w:rPr>
      </w:pPr>
    </w:p>
    <w:p>
      <w:pPr>
        <w:pStyle w:val="Heading2"/>
        <w:jc w:val="both"/>
        <w:rPr>
          <w:rFonts w:ascii="Century Gothic" w:hAnsi="Century Gothic"/>
        </w:rPr>
      </w:pPr>
      <w:r>
        <w:rPr>
          <w:rFonts w:ascii="Century Gothic" w:hAnsi="Century Gothic"/>
        </w:rPr>
        <w:t>Alumbrado Público</w:t>
      </w:r>
    </w:p>
    <w:p>
      <w:pPr>
        <w:pStyle w:val="BodyText"/>
        <w:spacing w:before="3"/>
        <w:rPr>
          <w:b/>
          <w:sz w:val="25"/>
        </w:rPr>
      </w:pPr>
    </w:p>
    <w:p>
      <w:pPr>
        <w:pStyle w:val="BodyText"/>
        <w:spacing w:line="276" w:lineRule="auto"/>
        <w:ind w:left="901" w:right="1158"/>
        <w:jc w:val="both"/>
      </w:pPr>
      <w:r>
        <w:rPr/>
        <w:t>El Alumbrado público cubre el 100 % de la cabecera municipal. Las luminarias que se utilizan son fluorescentes. El servicio en la zona central de la cabecera municipal se encuentra en regulares condiciones.</w:t>
      </w:r>
    </w:p>
    <w:p>
      <w:pPr>
        <w:pStyle w:val="BodyText"/>
        <w:spacing w:before="3"/>
        <w:rPr>
          <w:sz w:val="25"/>
        </w:rPr>
      </w:pPr>
    </w:p>
    <w:p>
      <w:pPr>
        <w:pStyle w:val="BodyText"/>
        <w:spacing w:line="276" w:lineRule="auto"/>
        <w:ind w:left="901" w:right="1154"/>
        <w:jc w:val="both"/>
      </w:pPr>
      <w:r>
        <w:rPr/>
        <w:t>El alumbrado público es uno de los servicios que le ocasionan mayor erogación </w:t>
      </w:r>
      <w:r>
        <w:rPr>
          <w:spacing w:val="-3"/>
        </w:rPr>
        <w:t>al </w:t>
      </w:r>
      <w:r>
        <w:rPr/>
        <w:t>municipio por lo que en los últimos años se ha estado participando en programas ahorradores de energía cambiando luminarias incandescentes por luminaria fluorescente, además de que en la administración 2015-2018 toda la luminaria que requería ser sustituida fue remplazada por luminaria ecología es decir por  luminaria solar.</w:t>
      </w:r>
    </w:p>
    <w:p>
      <w:pPr>
        <w:pStyle w:val="BodyText"/>
        <w:spacing w:before="5"/>
        <w:rPr>
          <w:sz w:val="25"/>
        </w:rPr>
      </w:pPr>
    </w:p>
    <w:p>
      <w:pPr>
        <w:pStyle w:val="BodyText"/>
        <w:spacing w:line="276" w:lineRule="auto"/>
        <w:ind w:left="901" w:right="1153"/>
        <w:jc w:val="both"/>
      </w:pPr>
      <w:r>
        <w:rPr/>
        <w:t>El principal problema en este aspecto, es el costo que representa, tanto financiero como en tiempo del personal de servicios municipales, el mantenimiento del servicio, pues es afectado por el vandalismo en algunas zonas del municipio. Esta situación deberá atenderse con campañas de concientización a los jóvenes y sus</w:t>
      </w:r>
      <w:r>
        <w:rPr>
          <w:spacing w:val="-19"/>
        </w:rPr>
        <w:t> </w:t>
      </w:r>
      <w:r>
        <w:rPr/>
        <w:t>familias.</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spacing w:before="1"/>
        <w:rPr>
          <w:sz w:val="17"/>
        </w:rPr>
      </w:pPr>
    </w:p>
    <w:p>
      <w:pPr>
        <w:pStyle w:val="Heading2"/>
        <w:spacing w:before="100"/>
        <w:jc w:val="both"/>
        <w:rPr>
          <w:rFonts w:ascii="Century Gothic" w:hAnsi="Century Gothic"/>
        </w:rPr>
      </w:pPr>
      <w:r>
        <w:rPr>
          <w:rFonts w:ascii="Century Gothic" w:hAnsi="Century Gothic"/>
        </w:rPr>
        <w:t>Recolección de basura</w:t>
      </w:r>
    </w:p>
    <w:p>
      <w:pPr>
        <w:pStyle w:val="BodyText"/>
        <w:spacing w:before="10"/>
        <w:rPr>
          <w:b/>
          <w:sz w:val="23"/>
        </w:rPr>
      </w:pPr>
    </w:p>
    <w:p>
      <w:pPr>
        <w:pStyle w:val="BodyText"/>
        <w:spacing w:line="276" w:lineRule="auto" w:before="1"/>
        <w:ind w:left="901" w:right="1155"/>
        <w:jc w:val="both"/>
      </w:pPr>
      <w:r>
        <w:rPr/>
        <w:t>En los años 50 fueron el final de la recolección de basura en la cabecera municipal mediante el uso de un carretón tirado por la mula propiedad del municipio y que por muchos años estuvo a cargo del Señor Avelino García, quien la depositaba en </w:t>
      </w:r>
      <w:r>
        <w:rPr>
          <w:spacing w:val="-3"/>
        </w:rPr>
        <w:t>un </w:t>
      </w:r>
      <w:r>
        <w:rPr/>
        <w:t>predio cercano a la población, el volumen no pasaba de 1.5 ton; el servicio fue mejorado con la adquisición de un camión de volteo de 5 m3 de capacidad, pasando posteriormente a combinar el uso de los camiones de volteo de obras públicas para apoyar la recolección, con los años se incorporó un contenedor hidráulico para recoger la basura con mayor rapidez, eficacia y</w:t>
      </w:r>
      <w:r>
        <w:rPr>
          <w:spacing w:val="-11"/>
        </w:rPr>
        <w:t> </w:t>
      </w:r>
      <w:r>
        <w:rPr/>
        <w:t>limpieza.</w:t>
      </w:r>
    </w:p>
    <w:p>
      <w:pPr>
        <w:pStyle w:val="BodyText"/>
        <w:spacing w:before="3"/>
        <w:rPr>
          <w:sz w:val="25"/>
        </w:rPr>
      </w:pPr>
    </w:p>
    <w:p>
      <w:pPr>
        <w:pStyle w:val="BodyText"/>
        <w:spacing w:line="276" w:lineRule="auto"/>
        <w:ind w:left="901" w:right="1155"/>
        <w:jc w:val="both"/>
      </w:pPr>
      <w:r>
        <w:rPr/>
        <w:t>Lamentablemente se ha ido perdiendo la costumbre en los pobladores de regar y barrer todas las mañanas la calle y la banqueta del frente de sus casas. Se perdió por igual la vieja indicación municipal del desenzacate y los recolectores de basura dejaron de usar su escoba de popotes y su chiquigüite para recoger la basura que se le caía </w:t>
      </w:r>
      <w:r>
        <w:rPr>
          <w:spacing w:val="-3"/>
        </w:rPr>
        <w:t>al </w:t>
      </w:r>
      <w:r>
        <w:rPr/>
        <w:t>suelo para así poder dejar las áreas muy</w:t>
      </w:r>
      <w:r>
        <w:rPr>
          <w:spacing w:val="-8"/>
        </w:rPr>
        <w:t> </w:t>
      </w:r>
      <w:r>
        <w:rPr/>
        <w:t>aseadas.</w:t>
      </w:r>
    </w:p>
    <w:p>
      <w:pPr>
        <w:pStyle w:val="BodyText"/>
        <w:spacing w:before="3"/>
        <w:rPr>
          <w:sz w:val="25"/>
        </w:rPr>
      </w:pPr>
    </w:p>
    <w:p>
      <w:pPr>
        <w:pStyle w:val="BodyText"/>
        <w:spacing w:line="276" w:lineRule="auto"/>
        <w:ind w:left="901" w:right="1154"/>
        <w:jc w:val="both"/>
      </w:pPr>
      <w:r>
        <w:rPr/>
        <w:t>En la actualidad si consideramos que cada habitante genera 1 Kg. de basura por día, tenemos que en el municipio se generan aproximadamente 18.9 toneladas diarias de residuos, lo que equivale a tres camiones aproximadamente por día.</w:t>
      </w:r>
    </w:p>
    <w:p>
      <w:pPr>
        <w:pStyle w:val="BodyText"/>
        <w:spacing w:before="4"/>
        <w:rPr>
          <w:sz w:val="25"/>
        </w:rPr>
      </w:pPr>
    </w:p>
    <w:p>
      <w:pPr>
        <w:pStyle w:val="BodyText"/>
        <w:spacing w:line="276" w:lineRule="auto"/>
        <w:ind w:left="901" w:right="1156"/>
        <w:jc w:val="both"/>
      </w:pPr>
      <w:r>
        <w:rPr/>
        <w:t>La recolección corre a cargo del Ayuntamiento la cual se hace con dos compactadores. Dichos camiones recogen la basura todos los días en el área del centro y en las orillas de la cabecera municipal. En las delegaciones la recolección </w:t>
      </w:r>
      <w:r>
        <w:rPr>
          <w:spacing w:val="-3"/>
        </w:rPr>
        <w:t>de </w:t>
      </w:r>
      <w:r>
        <w:rPr/>
        <w:t>los residuos se hace cada 3</w:t>
      </w:r>
      <w:r>
        <w:rPr>
          <w:spacing w:val="-6"/>
        </w:rPr>
        <w:t> </w:t>
      </w:r>
      <w:r>
        <w:rPr/>
        <w:t>días.</w:t>
      </w:r>
    </w:p>
    <w:p>
      <w:pPr>
        <w:pStyle w:val="BodyText"/>
        <w:spacing w:before="5"/>
        <w:rPr>
          <w:sz w:val="25"/>
        </w:rPr>
      </w:pPr>
    </w:p>
    <w:p>
      <w:pPr>
        <w:pStyle w:val="BodyText"/>
        <w:spacing w:line="276" w:lineRule="auto"/>
        <w:ind w:left="901" w:right="1154"/>
        <w:jc w:val="both"/>
      </w:pPr>
      <w:r>
        <w:rPr/>
        <w:t>Pese a esto, podemos afirmar que el municipio no cuenta con un sistema para separación de residuos para manejo eficiente de los mismos. Puesto que los habitantes del municipio no separan la basura, y la infraestructura municipal, no cuenta con un mecanismo para recogerla de manera diferenciada y hacer uso eficiente de dicha separación.</w:t>
      </w:r>
    </w:p>
    <w:p>
      <w:pPr>
        <w:pStyle w:val="BodyText"/>
        <w:spacing w:line="276" w:lineRule="auto" w:before="199"/>
        <w:ind w:left="901" w:right="1154"/>
        <w:jc w:val="both"/>
      </w:pPr>
      <w:r>
        <w:rPr/>
        <w:t>Tampoco se tiene un relleno sanitario, actualmente, existe un terreno en el cual se vierten los residuos y algunas personas recolectan material para reciclar con el fin de auto emplearse.</w:t>
      </w:r>
    </w:p>
    <w:p>
      <w:pPr>
        <w:pStyle w:val="BodyText"/>
        <w:spacing w:line="276" w:lineRule="auto" w:before="200"/>
        <w:ind w:left="901" w:right="1156"/>
        <w:jc w:val="both"/>
      </w:pPr>
      <w:r>
        <w:rPr/>
        <w:t>Por otra parte, es necesario impulsar en la población una cultura sobre el manejo de residuos, para que la basura se saque a las horas de la recolección y se mantengan las calles del municipio limpias y sin focos infecciosos.</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spacing w:before="2"/>
        <w:rPr>
          <w:sz w:val="15"/>
        </w:rPr>
      </w:pPr>
    </w:p>
    <w:p>
      <w:pPr>
        <w:pStyle w:val="Heading2"/>
        <w:spacing w:before="100"/>
        <w:rPr>
          <w:rFonts w:ascii="Century Gothic"/>
        </w:rPr>
      </w:pPr>
      <w:r>
        <w:rPr>
          <w:rFonts w:ascii="Century Gothic"/>
        </w:rPr>
        <w:t>Calles</w:t>
      </w:r>
    </w:p>
    <w:p>
      <w:pPr>
        <w:pStyle w:val="BodyText"/>
        <w:spacing w:before="10"/>
        <w:rPr>
          <w:b/>
          <w:sz w:val="23"/>
        </w:rPr>
      </w:pPr>
    </w:p>
    <w:p>
      <w:pPr>
        <w:pStyle w:val="BodyText"/>
        <w:spacing w:line="276" w:lineRule="auto"/>
        <w:ind w:left="901" w:right="1155"/>
        <w:jc w:val="both"/>
      </w:pPr>
      <w:r>
        <w:rPr/>
        <w:t>Dentro del municipio se tienen diferentes tipos de pavimento en las calles como son: asfalto, concreto hidráulico, adoquín, empedrado y terracerías.</w:t>
      </w:r>
    </w:p>
    <w:p>
      <w:pPr>
        <w:pStyle w:val="BodyText"/>
        <w:spacing w:before="4"/>
        <w:rPr>
          <w:sz w:val="25"/>
        </w:rPr>
      </w:pPr>
    </w:p>
    <w:p>
      <w:pPr>
        <w:pStyle w:val="BodyText"/>
        <w:spacing w:line="276" w:lineRule="auto"/>
        <w:ind w:left="901" w:right="1154"/>
        <w:jc w:val="both"/>
      </w:pPr>
      <w:r>
        <w:rPr/>
        <w:t>Sin duda el problema más grave dentro del municipio con relación a las calles es el ancho de estas, por ejemplo, la avenida principal de la cabecera municipal es muy angosta para el número de vehículos y peatones que circulan dentro de ellas, donde detectamos banquetas de menos de 50 cm. y anchos de calles de doble circulación de menos de 6 m. por donde transitan más de mil vehículos por</w:t>
      </w:r>
      <w:r>
        <w:rPr>
          <w:spacing w:val="-20"/>
        </w:rPr>
        <w:t> </w:t>
      </w:r>
      <w:r>
        <w:rPr/>
        <w:t>día.</w:t>
      </w:r>
    </w:p>
    <w:p>
      <w:pPr>
        <w:pStyle w:val="BodyText"/>
        <w:spacing w:before="3"/>
        <w:rPr>
          <w:sz w:val="25"/>
        </w:rPr>
      </w:pPr>
    </w:p>
    <w:p>
      <w:pPr>
        <w:pStyle w:val="BodyText"/>
        <w:spacing w:line="278" w:lineRule="auto"/>
        <w:ind w:left="901" w:right="1155"/>
        <w:jc w:val="both"/>
      </w:pPr>
      <w:r>
        <w:rPr/>
        <w:t>El problema con relación a las banquetas es muy agudo dado que, por las pendientes, anchos, texturas, y alturas hace difícil la movilidad peatonal en el municipio.</w:t>
      </w:r>
    </w:p>
    <w:p>
      <w:pPr>
        <w:pStyle w:val="BodyText"/>
        <w:spacing w:before="11"/>
        <w:rPr>
          <w:sz w:val="24"/>
        </w:rPr>
      </w:pPr>
    </w:p>
    <w:p>
      <w:pPr>
        <w:pStyle w:val="BodyText"/>
        <w:spacing w:line="276" w:lineRule="auto" w:before="1"/>
        <w:ind w:left="901" w:right="1156"/>
        <w:jc w:val="both"/>
      </w:pPr>
      <w:r>
        <w:rPr/>
        <w:t>Por otra parte, se requiere contar con un diagnóstico y mapa de necesidades en cuanto a modernización y mantenimiento de las calles y carreteras del municipio, pues no se ha realizado aún el cálculo de los metros cuadrados que requieren mantenimiento y esto dificulta la proyección de la inversión y el esfuerzo en la</w:t>
      </w:r>
      <w:r>
        <w:rPr>
          <w:spacing w:val="-28"/>
        </w:rPr>
        <w:t> </w:t>
      </w:r>
      <w:r>
        <w:rPr/>
        <w:t>materia.</w:t>
      </w:r>
    </w:p>
    <w:p>
      <w:pPr>
        <w:pStyle w:val="BodyText"/>
        <w:spacing w:before="3"/>
        <w:rPr>
          <w:sz w:val="25"/>
        </w:rPr>
      </w:pPr>
    </w:p>
    <w:p>
      <w:pPr>
        <w:pStyle w:val="BodyText"/>
        <w:spacing w:line="276" w:lineRule="auto"/>
        <w:ind w:left="901" w:right="1155"/>
        <w:jc w:val="both"/>
      </w:pPr>
      <w:r>
        <w:rPr/>
        <w:t>En cuanto a las vías de comunicación, la Carretera La Quemada- San Andrés y el libramiento, de aproximadamente 10 km. son las más transitadas y las que requieren un mantenimiento urgente, pues las condiciones actuales en las que se encuentran, afectan la velocidad promedio y genera daño a los vehículos</w:t>
      </w:r>
    </w:p>
    <w:p>
      <w:pPr>
        <w:pStyle w:val="BodyText"/>
        <w:spacing w:before="7"/>
        <w:rPr>
          <w:sz w:val="25"/>
        </w:rPr>
      </w:pPr>
    </w:p>
    <w:p>
      <w:pPr>
        <w:pStyle w:val="Heading2"/>
        <w:rPr>
          <w:rFonts w:ascii="Century Gothic"/>
        </w:rPr>
      </w:pPr>
      <w:r>
        <w:rPr>
          <w:rFonts w:ascii="Century Gothic"/>
        </w:rPr>
        <w:t>Panteones</w:t>
      </w:r>
    </w:p>
    <w:p>
      <w:pPr>
        <w:pStyle w:val="BodyText"/>
        <w:rPr>
          <w:b/>
          <w:sz w:val="25"/>
        </w:rPr>
      </w:pPr>
    </w:p>
    <w:p>
      <w:pPr>
        <w:pStyle w:val="BodyText"/>
        <w:spacing w:line="276" w:lineRule="auto"/>
        <w:ind w:left="901" w:right="1156"/>
        <w:jc w:val="both"/>
      </w:pPr>
      <w:r>
        <w:rPr/>
        <w:t>El Cementerio Municipal que actualmente está en operación viene funcionando desde principios del siglo pasado, con una superficie aproximada de 3 has, mismo que posteriormente se amplió con 1,120 espacios para tumbas. Las agencias de La Joya, La Quemada y San Andrés y San Simón, cuentan con su propio panteón.</w:t>
      </w:r>
    </w:p>
    <w:p>
      <w:pPr>
        <w:pStyle w:val="BodyText"/>
        <w:spacing w:before="6"/>
        <w:rPr>
          <w:sz w:val="25"/>
        </w:rPr>
      </w:pPr>
    </w:p>
    <w:p>
      <w:pPr>
        <w:pStyle w:val="BodyText"/>
        <w:spacing w:line="276" w:lineRule="auto"/>
        <w:ind w:left="901" w:right="1154"/>
        <w:jc w:val="both"/>
      </w:pPr>
      <w:r>
        <w:rPr/>
        <w:t>En el presente, el Cementerio Municipal se encuentra sin espacio alguno, es decir que se encuentra al límite de su capacidad, por lo que se requiere una expansión a la brevedad ya que casi a diario fallece una persona. Es de suma importancia  </w:t>
      </w:r>
      <w:r>
        <w:rPr>
          <w:spacing w:val="-5"/>
        </w:rPr>
        <w:t>el  </w:t>
      </w:r>
      <w:r>
        <w:rPr/>
        <w:t>gestionar la ampliación; además de que las bardas perimetrales se encuentran en muy malas condiciones ocasionando que el panteón municipal sea la cuna de los drogadictos.</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spacing w:before="10"/>
        <w:rPr>
          <w:sz w:val="20"/>
        </w:rPr>
      </w:pPr>
    </w:p>
    <w:p>
      <w:pPr>
        <w:pStyle w:val="Heading2"/>
        <w:spacing w:before="51"/>
        <w:jc w:val="both"/>
      </w:pPr>
      <w:r>
        <w:rPr/>
        <w:t>Seguridad Pública</w:t>
      </w:r>
    </w:p>
    <w:p>
      <w:pPr>
        <w:pStyle w:val="BodyText"/>
        <w:spacing w:before="6"/>
        <w:rPr>
          <w:rFonts w:ascii="Corbel"/>
          <w:b/>
          <w:sz w:val="25"/>
        </w:rPr>
      </w:pPr>
    </w:p>
    <w:p>
      <w:pPr>
        <w:pStyle w:val="BodyText"/>
        <w:spacing w:line="276" w:lineRule="auto"/>
        <w:ind w:left="901" w:right="1155"/>
        <w:jc w:val="both"/>
      </w:pPr>
      <w:r>
        <w:rPr/>
        <w:t>Dado que el municipio se caracteriza por la tranquilidad de sus habitantes, la labor </w:t>
      </w:r>
      <w:r>
        <w:rPr>
          <w:spacing w:val="-3"/>
        </w:rPr>
        <w:t>del </w:t>
      </w:r>
      <w:r>
        <w:rPr/>
        <w:t>cuerpo de policía ha sido en su mayoría preventiva; vigilando puntos de reunión como el banco, la caja popular y las dependencias municipales, de igual manera brindando apoyo de vigilancia a eventos culturales, deportivos, sociales y</w:t>
      </w:r>
      <w:r>
        <w:rPr>
          <w:spacing w:val="-21"/>
        </w:rPr>
        <w:t> </w:t>
      </w:r>
      <w:r>
        <w:rPr/>
        <w:t>recreativos.</w:t>
      </w:r>
    </w:p>
    <w:p>
      <w:pPr>
        <w:pStyle w:val="BodyText"/>
        <w:spacing w:before="6"/>
        <w:rPr>
          <w:sz w:val="25"/>
        </w:rPr>
      </w:pPr>
    </w:p>
    <w:p>
      <w:pPr>
        <w:pStyle w:val="BodyText"/>
        <w:spacing w:line="276" w:lineRule="auto"/>
        <w:ind w:left="901" w:right="1155"/>
        <w:jc w:val="both"/>
      </w:pPr>
      <w:r>
        <w:rPr/>
        <w:t>La policía municipal además de vigilar la seguridad de la población del municipio presta apoyo a los cuerpos de protección civil en casos de desastres naturales, así como accidentes</w:t>
      </w:r>
      <w:r>
        <w:rPr>
          <w:spacing w:val="-5"/>
        </w:rPr>
        <w:t> </w:t>
      </w:r>
      <w:r>
        <w:rPr/>
        <w:t>vehiculares.</w:t>
      </w:r>
    </w:p>
    <w:p>
      <w:pPr>
        <w:pStyle w:val="BodyText"/>
        <w:spacing w:before="4"/>
        <w:rPr>
          <w:sz w:val="25"/>
        </w:rPr>
      </w:pPr>
    </w:p>
    <w:p>
      <w:pPr>
        <w:pStyle w:val="BodyText"/>
        <w:spacing w:line="276" w:lineRule="auto"/>
        <w:ind w:left="901" w:right="1156"/>
        <w:jc w:val="both"/>
      </w:pPr>
      <w:r>
        <w:rPr/>
        <w:t>La problemática principal a que se enfrenta la policía de Magdalena está íntimamente ligada a problemas de consumo de alcohol y drogas en la población, ya que durante los últimos años según datos proporcionados por dicho departamento; solo se registraron particularidades en faltas administrativas, robos entre otros delitos</w:t>
      </w:r>
      <w:r>
        <w:rPr>
          <w:spacing w:val="-25"/>
        </w:rPr>
        <w:t> </w:t>
      </w:r>
      <w:r>
        <w:rPr/>
        <w:t>menores.</w:t>
      </w:r>
    </w:p>
    <w:p>
      <w:pPr>
        <w:pStyle w:val="BodyText"/>
        <w:spacing w:before="3"/>
        <w:rPr>
          <w:sz w:val="25"/>
        </w:rPr>
      </w:pPr>
    </w:p>
    <w:p>
      <w:pPr>
        <w:pStyle w:val="BodyText"/>
        <w:spacing w:line="276" w:lineRule="auto"/>
        <w:ind w:left="901" w:right="1154"/>
        <w:jc w:val="both"/>
      </w:pPr>
      <w:r>
        <w:rPr/>
        <w:t>Los problemas más frecuentes en el municipio de Magdalena son entre vecinos o familiares, detenciones o sanciones por manejar un vehículo en estado de ebriedad y generalmente a altas velocidades por las calles de la población. Sin embargo, llama la atención los casos cada vez más recurrentes de violencia intrafamiliar en el municipio, así como la drogadicción en jóvenes y menores de edad.</w:t>
      </w:r>
    </w:p>
    <w:p>
      <w:pPr>
        <w:pStyle w:val="BodyText"/>
        <w:spacing w:before="3"/>
        <w:rPr>
          <w:sz w:val="25"/>
        </w:rPr>
      </w:pPr>
    </w:p>
    <w:p>
      <w:pPr>
        <w:pStyle w:val="BodyText"/>
        <w:spacing w:line="276" w:lineRule="auto"/>
        <w:ind w:left="901" w:right="1154"/>
        <w:jc w:val="both"/>
      </w:pPr>
      <w:r>
        <w:rPr/>
        <w:t>Estas problemáticas son urgentes de atender, ya que existe un problema de violencia cada vez más fuerte de hombres hacia las mujeres y falta de información para las mujeres sobre sus derechos y acciones para su bienestar.</w:t>
      </w:r>
    </w:p>
    <w:p>
      <w:pPr>
        <w:pStyle w:val="BodyText"/>
        <w:spacing w:before="4"/>
        <w:rPr>
          <w:sz w:val="25"/>
        </w:rPr>
      </w:pPr>
    </w:p>
    <w:p>
      <w:pPr>
        <w:pStyle w:val="BodyText"/>
        <w:spacing w:line="276" w:lineRule="auto"/>
        <w:ind w:left="901" w:right="1155"/>
        <w:jc w:val="both"/>
      </w:pPr>
      <w:r>
        <w:rPr/>
        <w:t>Por otra parte, la Dirección de Seguridad Pública de Magdalena cuenta con un estado de fuerza aproximado a los 25 elementos policiacos, incluyendo al Director de Policía, además 4 de protección civil; mismos que laboran en periodos de 24 x 24 horas, y recorren las localidades a diario.</w:t>
      </w:r>
    </w:p>
    <w:p>
      <w:pPr>
        <w:pStyle w:val="BodyText"/>
        <w:spacing w:before="5"/>
        <w:rPr>
          <w:sz w:val="25"/>
        </w:rPr>
      </w:pPr>
    </w:p>
    <w:p>
      <w:pPr>
        <w:pStyle w:val="BodyText"/>
        <w:spacing w:line="276" w:lineRule="auto"/>
        <w:ind w:left="901" w:right="1154"/>
        <w:jc w:val="both"/>
      </w:pPr>
      <w:r>
        <w:rPr/>
        <w:t>Se cuenta con 5 vehículos tipo pick-up, de modelo reciente, que opera en dos turnos, cada turno con un comandante operativo, el desempeño de sus actividades las realiza haciendo rondas de vigilancia de día y nocturnas en el municipio como en sus delegaciones, reportándose por lo menos a cada 25 minutos para cualquier novedad. Ampliando la vigilancia a los planteles escolares y puntos que requieran este servicio. En el diagnóstico realizado con las áreas de la administración pública municipal, se detectó que el personal de seguridad pública se encuentra bajo situaciones de estrés y presión, por lo cual es necesario brindarles atención de calidad pensando en la importante labor que realizan para los habitantes de</w:t>
      </w:r>
      <w:r>
        <w:rPr>
          <w:spacing w:val="-10"/>
        </w:rPr>
        <w:t> </w:t>
      </w:r>
      <w:r>
        <w:rPr/>
        <w:t>Magdalena.</w:t>
      </w:r>
    </w:p>
    <w:p>
      <w:pPr>
        <w:spacing w:after="0" w:line="276" w:lineRule="auto"/>
        <w:jc w:val="both"/>
        <w:sectPr>
          <w:pgSz w:w="12240" w:h="15840"/>
          <w:pgMar w:header="178" w:footer="1076" w:top="1120" w:bottom="1360" w:left="460" w:right="220"/>
        </w:sectPr>
      </w:pPr>
    </w:p>
    <w:p>
      <w:pPr>
        <w:pStyle w:val="BodyText"/>
        <w:rPr>
          <w:sz w:val="20"/>
        </w:rPr>
      </w:pPr>
    </w:p>
    <w:p>
      <w:pPr>
        <w:pStyle w:val="BodyText"/>
        <w:rPr>
          <w:sz w:val="20"/>
        </w:rPr>
      </w:pPr>
    </w:p>
    <w:p>
      <w:pPr>
        <w:pStyle w:val="BodyText"/>
        <w:spacing w:before="1"/>
        <w:rPr>
          <w:sz w:val="17"/>
        </w:rPr>
      </w:pPr>
    </w:p>
    <w:p>
      <w:pPr>
        <w:pStyle w:val="Heading2"/>
        <w:spacing w:before="100"/>
        <w:jc w:val="both"/>
        <w:rPr>
          <w:rFonts w:ascii="Century Gothic" w:hAnsi="Century Gothic"/>
        </w:rPr>
      </w:pPr>
      <w:r>
        <w:rPr>
          <w:rFonts w:ascii="Century Gothic" w:hAnsi="Century Gothic"/>
        </w:rPr>
        <w:t>Tránsito y Vialidad</w:t>
      </w:r>
    </w:p>
    <w:p>
      <w:pPr>
        <w:pStyle w:val="BodyText"/>
        <w:spacing w:before="3"/>
        <w:rPr>
          <w:b/>
          <w:sz w:val="25"/>
        </w:rPr>
      </w:pPr>
    </w:p>
    <w:p>
      <w:pPr>
        <w:pStyle w:val="BodyText"/>
        <w:spacing w:line="276" w:lineRule="auto"/>
        <w:ind w:left="901" w:right="1153"/>
        <w:jc w:val="both"/>
      </w:pPr>
      <w:r>
        <w:rPr/>
        <w:t>En este rubro cabe destacar que la principal problemática son los accidentes viales a causa de inadecuada cultura vial en los conductores de motocicletas, los cuales conducen a altas velocidades y sin casco u otros elementos de seguridad que puedan salvar la vida en caso de accidentes. En este sentido, es necesario reforzar una campaña de seguridad vial y acompañarla de medidas coercitivas que fomenten en los motociclistas, especialmente en menores de edad, un manejo</w:t>
      </w:r>
      <w:r>
        <w:rPr>
          <w:spacing w:val="-21"/>
        </w:rPr>
        <w:t> </w:t>
      </w:r>
      <w:r>
        <w:rPr/>
        <w:t>responsable.</w:t>
      </w:r>
    </w:p>
    <w:p>
      <w:pPr>
        <w:pStyle w:val="BodyText"/>
        <w:spacing w:before="4"/>
        <w:rPr>
          <w:sz w:val="25"/>
        </w:rPr>
      </w:pPr>
    </w:p>
    <w:p>
      <w:pPr>
        <w:pStyle w:val="BodyText"/>
        <w:spacing w:line="276" w:lineRule="auto"/>
        <w:ind w:left="901" w:right="1156"/>
        <w:jc w:val="both"/>
      </w:pPr>
      <w:r>
        <w:rPr/>
        <w:t>El departamento depende directamente de la Dirección de Seguridad Pública, opera en 2 turnos con un comandante en turno y personal al mando, está integrada por 2 comandantes y 14 elementos de tránsito, así como una secretaria asignada </w:t>
      </w:r>
      <w:r>
        <w:rPr>
          <w:spacing w:val="-3"/>
        </w:rPr>
        <w:t>al</w:t>
      </w:r>
      <w:r>
        <w:rPr>
          <w:spacing w:val="54"/>
        </w:rPr>
        <w:t> </w:t>
      </w:r>
      <w:r>
        <w:rPr/>
        <w:t>departamento mismo que realiza las actividades administrativas.</w:t>
      </w:r>
    </w:p>
    <w:p>
      <w:pPr>
        <w:pStyle w:val="BodyText"/>
        <w:spacing w:before="4"/>
        <w:rPr>
          <w:sz w:val="25"/>
        </w:rPr>
      </w:pPr>
    </w:p>
    <w:p>
      <w:pPr>
        <w:pStyle w:val="BodyText"/>
        <w:spacing w:line="276" w:lineRule="auto"/>
        <w:ind w:left="901" w:right="1154"/>
        <w:jc w:val="both"/>
      </w:pPr>
      <w:r>
        <w:rPr/>
        <w:t>Las principales funciones que realizan se enfoca a la prevención vial, posteriormente durante el ciclo escolar brindan vigilancia en cada uno de los planteles, acuden por cualquier contingencia o accidente vial, apoyan además con vigilancia en peregrinaciones, desfiles, eventos culturales y eventos especiales.</w:t>
      </w:r>
    </w:p>
    <w:p>
      <w:pPr>
        <w:pStyle w:val="BodyText"/>
        <w:spacing w:before="10"/>
        <w:rPr>
          <w:sz w:val="26"/>
        </w:rPr>
      </w:pPr>
    </w:p>
    <w:p>
      <w:pPr>
        <w:pStyle w:val="ListParagraph"/>
        <w:numPr>
          <w:ilvl w:val="1"/>
          <w:numId w:val="27"/>
        </w:numPr>
        <w:tabs>
          <w:tab w:pos="1274" w:val="left" w:leader="none"/>
        </w:tabs>
        <w:spacing w:line="240" w:lineRule="auto" w:before="0" w:after="0"/>
        <w:ind w:left="1273" w:right="0" w:hanging="373"/>
        <w:jc w:val="left"/>
        <w:rPr>
          <w:rFonts w:ascii="Corbel" w:hAnsi="Corbel"/>
          <w:color w:val="365F91"/>
          <w:sz w:val="26"/>
        </w:rPr>
      </w:pPr>
      <w:bookmarkStart w:name="_bookmark10" w:id="15"/>
      <w:bookmarkEnd w:id="15"/>
      <w:r>
        <w:rPr/>
      </w:r>
      <w:bookmarkStart w:name="_bookmark10" w:id="16"/>
      <w:bookmarkEnd w:id="16"/>
      <w:r>
        <w:rPr>
          <w:rFonts w:ascii="Corbel" w:hAnsi="Corbel"/>
          <w:smallCaps w:val="0"/>
          <w:color w:val="365F91"/>
          <w:sz w:val="26"/>
        </w:rPr>
        <w:t>C</w:t>
      </w:r>
      <w:r>
        <w:rPr>
          <w:rFonts w:ascii="Corbel" w:hAnsi="Corbel"/>
          <w:smallCaps w:val="0"/>
          <w:color w:val="365F91"/>
          <w:sz w:val="26"/>
        </w:rPr>
        <w:t>OMPONENTE</w:t>
      </w:r>
      <w:r>
        <w:rPr>
          <w:rFonts w:ascii="Corbel" w:hAnsi="Corbel"/>
          <w:smallCaps w:val="0"/>
          <w:color w:val="365F91"/>
          <w:spacing w:val="1"/>
          <w:sz w:val="26"/>
        </w:rPr>
        <w:t> </w:t>
      </w:r>
      <w:r>
        <w:rPr>
          <w:rFonts w:ascii="Corbel" w:hAnsi="Corbel"/>
          <w:smallCaps w:val="0"/>
          <w:color w:val="365F91"/>
          <w:sz w:val="26"/>
        </w:rPr>
        <w:t>ESTRATÉGICO</w:t>
      </w:r>
    </w:p>
    <w:p>
      <w:pPr>
        <w:pStyle w:val="BodyText"/>
        <w:spacing w:before="2"/>
        <w:rPr>
          <w:rFonts w:ascii="Corbel"/>
          <w:sz w:val="24"/>
        </w:rPr>
      </w:pPr>
    </w:p>
    <w:p>
      <w:pPr>
        <w:pStyle w:val="Heading2"/>
      </w:pPr>
      <w:r>
        <w:rPr/>
        <w:t>VISIÓN</w:t>
      </w:r>
    </w:p>
    <w:p>
      <w:pPr>
        <w:pStyle w:val="BodyText"/>
        <w:spacing w:before="2"/>
        <w:rPr>
          <w:rFonts w:ascii="Corbel"/>
          <w:b/>
          <w:sz w:val="24"/>
        </w:rPr>
      </w:pPr>
    </w:p>
    <w:p>
      <w:pPr>
        <w:pStyle w:val="BodyText"/>
        <w:spacing w:line="276" w:lineRule="auto"/>
        <w:ind w:left="901" w:right="1155"/>
        <w:jc w:val="both"/>
      </w:pPr>
      <w:r>
        <w:rPr/>
        <w:t>Que el municipio de Magdalena, se conserve siempre con esa tranquilidad y seguridad que lo ha caracterizado a través de generaciones, con acceso a servicios públicos con mucha calidad y eficiencia, tanto en la salud y educación, que promueva programas y estrategias para conducirnos a una mejor calidad de vida, traer industrias y así lograr fuentes de trabajo para evitar que los jóvenes y adultos emigren a otros estados del país u otros países.</w:t>
      </w:r>
    </w:p>
    <w:p>
      <w:pPr>
        <w:pStyle w:val="BodyText"/>
        <w:spacing w:before="4"/>
        <w:rPr>
          <w:sz w:val="25"/>
        </w:rPr>
      </w:pPr>
    </w:p>
    <w:p>
      <w:pPr>
        <w:pStyle w:val="BodyText"/>
        <w:spacing w:line="276" w:lineRule="auto"/>
        <w:ind w:left="901" w:right="1154"/>
        <w:jc w:val="both"/>
      </w:pPr>
      <w:r>
        <w:rPr/>
        <w:t>Promover los valores culturales y de la familia, que siempre estén unidas. Rescatar sus tradiciones, y así conservar las raíces del municipio de Magdalena.</w:t>
      </w:r>
    </w:p>
    <w:p>
      <w:pPr>
        <w:pStyle w:val="BodyText"/>
        <w:spacing w:before="8"/>
        <w:rPr>
          <w:sz w:val="23"/>
        </w:rPr>
      </w:pPr>
    </w:p>
    <w:p>
      <w:pPr>
        <w:pStyle w:val="Heading2"/>
      </w:pPr>
      <w:r>
        <w:rPr/>
        <w:t>OBJETIVOS:</w:t>
      </w:r>
    </w:p>
    <w:p>
      <w:pPr>
        <w:pStyle w:val="BodyText"/>
        <w:spacing w:before="5"/>
        <w:rPr>
          <w:rFonts w:ascii="Corbel"/>
          <w:b/>
          <w:sz w:val="28"/>
        </w:rPr>
      </w:pPr>
    </w:p>
    <w:p>
      <w:pPr>
        <w:pStyle w:val="ListParagraph"/>
        <w:numPr>
          <w:ilvl w:val="2"/>
          <w:numId w:val="27"/>
        </w:numPr>
        <w:tabs>
          <w:tab w:pos="1622" w:val="left" w:leader="none"/>
        </w:tabs>
        <w:spacing w:line="228" w:lineRule="auto" w:before="0" w:after="0"/>
        <w:ind w:left="1621" w:right="1156" w:hanging="360"/>
        <w:jc w:val="left"/>
        <w:rPr>
          <w:rFonts w:ascii="MS Gothic" w:hAnsi="MS Gothic"/>
          <w:sz w:val="22"/>
        </w:rPr>
      </w:pPr>
      <w:r>
        <w:rPr>
          <w:sz w:val="22"/>
        </w:rPr>
        <w:t>Ampliar la calidad de los servicios públicos aprovechando la ubicación trascendental de nuestro</w:t>
      </w:r>
      <w:r>
        <w:rPr>
          <w:spacing w:val="-2"/>
          <w:sz w:val="22"/>
        </w:rPr>
        <w:t> </w:t>
      </w:r>
      <w:r>
        <w:rPr>
          <w:sz w:val="22"/>
        </w:rPr>
        <w:t>municipio.</w:t>
      </w:r>
    </w:p>
    <w:p>
      <w:pPr>
        <w:pStyle w:val="ListParagraph"/>
        <w:numPr>
          <w:ilvl w:val="2"/>
          <w:numId w:val="27"/>
        </w:numPr>
        <w:tabs>
          <w:tab w:pos="1622" w:val="left" w:leader="none"/>
        </w:tabs>
        <w:spacing w:line="240" w:lineRule="auto" w:before="66" w:after="0"/>
        <w:ind w:left="1621" w:right="0" w:hanging="361"/>
        <w:jc w:val="left"/>
        <w:rPr>
          <w:rFonts w:ascii="MS Gothic" w:hAnsi="MS Gothic"/>
          <w:sz w:val="22"/>
        </w:rPr>
      </w:pPr>
      <w:r>
        <w:rPr>
          <w:sz w:val="22"/>
        </w:rPr>
        <w:t>Rescatar y fomentar en los jóvenes los valores culturales y las</w:t>
      </w:r>
      <w:r>
        <w:rPr>
          <w:spacing w:val="-17"/>
          <w:sz w:val="22"/>
        </w:rPr>
        <w:t> </w:t>
      </w:r>
      <w:r>
        <w:rPr>
          <w:sz w:val="22"/>
        </w:rPr>
        <w:t>tradiciones.</w:t>
      </w:r>
    </w:p>
    <w:p>
      <w:pPr>
        <w:pStyle w:val="ListParagraph"/>
        <w:numPr>
          <w:ilvl w:val="2"/>
          <w:numId w:val="27"/>
        </w:numPr>
        <w:tabs>
          <w:tab w:pos="1622" w:val="left" w:leader="none"/>
        </w:tabs>
        <w:spacing w:line="228" w:lineRule="auto" w:before="59" w:after="0"/>
        <w:ind w:left="1621" w:right="1154" w:hanging="360"/>
        <w:jc w:val="left"/>
        <w:rPr>
          <w:rFonts w:ascii="MS Gothic" w:hAnsi="MS Gothic"/>
          <w:sz w:val="22"/>
        </w:rPr>
      </w:pPr>
      <w:r>
        <w:rPr>
          <w:sz w:val="22"/>
        </w:rPr>
        <w:t>Elevar la cobertura y calidad de todos los servicios educativos y de salud, perseverando en erradicar el alcoholismo y la</w:t>
      </w:r>
      <w:r>
        <w:rPr>
          <w:spacing w:val="-9"/>
          <w:sz w:val="22"/>
        </w:rPr>
        <w:t> </w:t>
      </w:r>
      <w:r>
        <w:rPr>
          <w:sz w:val="22"/>
        </w:rPr>
        <w:t>drogadicción.</w:t>
      </w:r>
    </w:p>
    <w:p>
      <w:pPr>
        <w:spacing w:after="0" w:line="228" w:lineRule="auto"/>
        <w:jc w:val="left"/>
        <w:rPr>
          <w:rFonts w:ascii="MS Gothic" w:hAnsi="MS Gothic"/>
          <w:sz w:val="22"/>
        </w:rPr>
        <w:sectPr>
          <w:pgSz w:w="12240" w:h="15840"/>
          <w:pgMar w:header="178" w:footer="1076" w:top="1120" w:bottom="1360" w:left="460" w:right="220"/>
        </w:sectPr>
      </w:pPr>
    </w:p>
    <w:p>
      <w:pPr>
        <w:pStyle w:val="BodyText"/>
        <w:rPr>
          <w:sz w:val="20"/>
        </w:rPr>
      </w:pPr>
    </w:p>
    <w:p>
      <w:pPr>
        <w:pStyle w:val="BodyText"/>
        <w:spacing w:before="1"/>
        <w:rPr>
          <w:sz w:val="18"/>
        </w:rPr>
      </w:pPr>
    </w:p>
    <w:p>
      <w:pPr>
        <w:pStyle w:val="ListParagraph"/>
        <w:numPr>
          <w:ilvl w:val="2"/>
          <w:numId w:val="27"/>
        </w:numPr>
        <w:tabs>
          <w:tab w:pos="1622" w:val="left" w:leader="none"/>
        </w:tabs>
        <w:spacing w:line="240" w:lineRule="auto" w:before="101" w:after="0"/>
        <w:ind w:left="1621" w:right="0" w:hanging="361"/>
        <w:jc w:val="left"/>
        <w:rPr>
          <w:rFonts w:ascii="MS Gothic" w:hAnsi="MS Gothic"/>
          <w:sz w:val="22"/>
        </w:rPr>
      </w:pPr>
      <w:r>
        <w:rPr>
          <w:sz w:val="22"/>
        </w:rPr>
        <w:t>Fortalecer la participación social en el desarrollo</w:t>
      </w:r>
      <w:r>
        <w:rPr>
          <w:spacing w:val="-6"/>
          <w:sz w:val="22"/>
        </w:rPr>
        <w:t> </w:t>
      </w:r>
      <w:r>
        <w:rPr>
          <w:sz w:val="22"/>
        </w:rPr>
        <w:t>municipal.</w:t>
      </w:r>
    </w:p>
    <w:p>
      <w:pPr>
        <w:pStyle w:val="ListParagraph"/>
        <w:numPr>
          <w:ilvl w:val="2"/>
          <w:numId w:val="27"/>
        </w:numPr>
        <w:tabs>
          <w:tab w:pos="1622" w:val="left" w:leader="none"/>
        </w:tabs>
        <w:spacing w:line="240" w:lineRule="auto" w:before="48" w:after="0"/>
        <w:ind w:left="1621" w:right="0" w:hanging="361"/>
        <w:jc w:val="left"/>
        <w:rPr>
          <w:rFonts w:ascii="MS Gothic" w:hAnsi="MS Gothic"/>
          <w:sz w:val="22"/>
        </w:rPr>
      </w:pPr>
      <w:r>
        <w:rPr>
          <w:sz w:val="22"/>
        </w:rPr>
        <w:t>Fortalecer la industria, las artesanías de la región y el</w:t>
      </w:r>
      <w:r>
        <w:rPr>
          <w:spacing w:val="-10"/>
          <w:sz w:val="22"/>
        </w:rPr>
        <w:t> </w:t>
      </w:r>
      <w:r>
        <w:rPr>
          <w:sz w:val="22"/>
        </w:rPr>
        <w:t>campo.</w:t>
      </w:r>
    </w:p>
    <w:p>
      <w:pPr>
        <w:pStyle w:val="ListParagraph"/>
        <w:numPr>
          <w:ilvl w:val="2"/>
          <w:numId w:val="27"/>
        </w:numPr>
        <w:tabs>
          <w:tab w:pos="1622" w:val="left" w:leader="none"/>
        </w:tabs>
        <w:spacing w:line="240" w:lineRule="auto" w:before="51" w:after="0"/>
        <w:ind w:left="1621" w:right="0" w:hanging="361"/>
        <w:jc w:val="left"/>
        <w:rPr>
          <w:rFonts w:ascii="MS Gothic" w:hAnsi="MS Gothic"/>
          <w:sz w:val="22"/>
        </w:rPr>
      </w:pPr>
      <w:r>
        <w:rPr>
          <w:sz w:val="22"/>
        </w:rPr>
        <w:t>Promover más programas para mejorar las viviendas del</w:t>
      </w:r>
      <w:r>
        <w:rPr>
          <w:spacing w:val="-8"/>
          <w:sz w:val="22"/>
        </w:rPr>
        <w:t> </w:t>
      </w:r>
      <w:r>
        <w:rPr>
          <w:sz w:val="22"/>
        </w:rPr>
        <w:t>municipio.</w:t>
      </w:r>
    </w:p>
    <w:p>
      <w:pPr>
        <w:pStyle w:val="ListParagraph"/>
        <w:numPr>
          <w:ilvl w:val="2"/>
          <w:numId w:val="27"/>
        </w:numPr>
        <w:tabs>
          <w:tab w:pos="1622" w:val="left" w:leader="none"/>
        </w:tabs>
        <w:spacing w:line="240" w:lineRule="auto" w:before="48" w:after="0"/>
        <w:ind w:left="1621" w:right="0" w:hanging="361"/>
        <w:jc w:val="left"/>
        <w:rPr>
          <w:rFonts w:ascii="MS Gothic" w:hAnsi="MS Gothic"/>
          <w:sz w:val="22"/>
        </w:rPr>
      </w:pPr>
      <w:r>
        <w:rPr>
          <w:sz w:val="22"/>
        </w:rPr>
        <w:t>Promover becas en los diferentes niveles</w:t>
      </w:r>
      <w:r>
        <w:rPr>
          <w:spacing w:val="-10"/>
          <w:sz w:val="22"/>
        </w:rPr>
        <w:t> </w:t>
      </w:r>
      <w:r>
        <w:rPr>
          <w:sz w:val="22"/>
        </w:rPr>
        <w:t>educativos.</w:t>
      </w:r>
    </w:p>
    <w:p>
      <w:pPr>
        <w:pStyle w:val="BodyText"/>
        <w:rPr>
          <w:sz w:val="26"/>
        </w:rPr>
      </w:pPr>
    </w:p>
    <w:p>
      <w:pPr>
        <w:pStyle w:val="Heading3"/>
        <w:spacing w:before="232"/>
        <w:jc w:val="left"/>
      </w:pPr>
      <w:r>
        <w:rPr/>
        <w:drawing>
          <wp:anchor distT="0" distB="0" distL="0" distR="0" allowOverlap="1" layoutInCell="1" locked="0" behindDoc="0" simplePos="0" relativeHeight="251709440">
            <wp:simplePos x="0" y="0"/>
            <wp:positionH relativeFrom="page">
              <wp:posOffset>4880679</wp:posOffset>
            </wp:positionH>
            <wp:positionV relativeFrom="paragraph">
              <wp:posOffset>159815</wp:posOffset>
            </wp:positionV>
            <wp:extent cx="719050" cy="800770"/>
            <wp:effectExtent l="0" t="0" r="0" b="0"/>
            <wp:wrapNone/>
            <wp:docPr id="21" name="image28.png"/>
            <wp:cNvGraphicFramePr>
              <a:graphicFrameLocks noChangeAspect="1"/>
            </wp:cNvGraphicFramePr>
            <a:graphic>
              <a:graphicData uri="http://schemas.openxmlformats.org/drawingml/2006/picture">
                <pic:pic>
                  <pic:nvPicPr>
                    <pic:cNvPr id="22" name="image28.png"/>
                    <pic:cNvPicPr/>
                  </pic:nvPicPr>
                  <pic:blipFill>
                    <a:blip r:embed="rId38" cstate="print"/>
                    <a:stretch>
                      <a:fillRect/>
                    </a:stretch>
                  </pic:blipFill>
                  <pic:spPr>
                    <a:xfrm>
                      <a:off x="0" y="0"/>
                      <a:ext cx="719050" cy="800770"/>
                    </a:xfrm>
                    <a:prstGeom prst="rect">
                      <a:avLst/>
                    </a:prstGeom>
                  </pic:spPr>
                </pic:pic>
              </a:graphicData>
            </a:graphic>
          </wp:anchor>
        </w:drawing>
      </w:r>
      <w:r>
        <w:rPr>
          <w:color w:val="808080"/>
        </w:rPr>
        <w:t>LÍNEAS ESTRATÉGICAS, PROGRAMAS Y PROYECTOS</w:t>
      </w:r>
    </w:p>
    <w:p>
      <w:pPr>
        <w:pStyle w:val="BodyText"/>
        <w:spacing w:before="4"/>
        <w:rPr>
          <w:sz w:val="31"/>
        </w:rPr>
      </w:pPr>
    </w:p>
    <w:p>
      <w:pPr>
        <w:spacing w:before="0" w:after="22"/>
        <w:ind w:left="901" w:right="0" w:firstLine="0"/>
        <w:jc w:val="left"/>
        <w:rPr>
          <w:rFonts w:ascii="Tw Cen MT Condensed Extra Bold"/>
          <w:sz w:val="66"/>
        </w:rPr>
      </w:pPr>
      <w:r>
        <w:rPr>
          <w:rFonts w:ascii="Tw Cen MT Condensed Extra Bold"/>
          <w:color w:val="F4CA15"/>
          <w:sz w:val="66"/>
        </w:rPr>
        <w:t>Desarrollo Social</w:t>
      </w: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477"/>
      </w:tblGrid>
      <w:tr>
        <w:trPr>
          <w:trHeight w:val="2159" w:hRule="atLeast"/>
        </w:trPr>
        <w:tc>
          <w:tcPr>
            <w:tcW w:w="4577" w:type="dxa"/>
            <w:tcBorders>
              <w:top w:val="nil"/>
              <w:bottom w:val="single" w:sz="2" w:space="0" w:color="CED6E7"/>
            </w:tcBorders>
            <w:shd w:val="clear" w:color="auto" w:fill="FFC000"/>
          </w:tcPr>
          <w:p>
            <w:pPr>
              <w:pStyle w:val="TableParagraph"/>
              <w:spacing w:before="6"/>
              <w:rPr>
                <w:rFonts w:ascii="Tw Cen MT Condensed Extra Bold"/>
                <w:sz w:val="61"/>
              </w:rPr>
            </w:pPr>
          </w:p>
          <w:p>
            <w:pPr>
              <w:pStyle w:val="TableParagraph"/>
              <w:ind w:left="1321"/>
              <w:rPr>
                <w:rFonts w:ascii="Corbel"/>
                <w:sz w:val="48"/>
              </w:rPr>
            </w:pPr>
            <w:r>
              <w:rPr>
                <w:rFonts w:ascii="Corbel"/>
                <w:color w:val="FFFFFF"/>
                <w:sz w:val="48"/>
              </w:rPr>
              <w:t>Problema</w:t>
            </w:r>
          </w:p>
        </w:tc>
        <w:tc>
          <w:tcPr>
            <w:tcW w:w="4477" w:type="dxa"/>
            <w:tcBorders>
              <w:top w:val="nil"/>
              <w:bottom w:val="single" w:sz="2" w:space="0" w:color="CED6E7"/>
            </w:tcBorders>
            <w:shd w:val="clear" w:color="auto" w:fill="F4CA15"/>
          </w:tcPr>
          <w:p>
            <w:pPr>
              <w:pStyle w:val="TableParagraph"/>
              <w:spacing w:before="6"/>
              <w:rPr>
                <w:rFonts w:ascii="Tw Cen MT Condensed Extra Bold"/>
                <w:sz w:val="61"/>
              </w:rPr>
            </w:pPr>
          </w:p>
          <w:p>
            <w:pPr>
              <w:pStyle w:val="TableParagraph"/>
              <w:ind w:left="527"/>
              <w:rPr>
                <w:rFonts w:ascii="Corbel" w:hAnsi="Corbel"/>
                <w:sz w:val="48"/>
              </w:rPr>
            </w:pPr>
            <w:r>
              <w:rPr>
                <w:rFonts w:ascii="Corbel" w:hAnsi="Corbel"/>
                <w:color w:val="FFFFFF"/>
                <w:sz w:val="48"/>
              </w:rPr>
              <w:t>Línea Estratégica</w:t>
            </w:r>
          </w:p>
        </w:tc>
      </w:tr>
      <w:tr>
        <w:trPr>
          <w:trHeight w:val="7123" w:hRule="atLeast"/>
        </w:trPr>
        <w:tc>
          <w:tcPr>
            <w:tcW w:w="4577" w:type="dxa"/>
            <w:tcBorders>
              <w:top w:val="single" w:sz="2" w:space="0" w:color="CED6E7"/>
              <w:bottom w:val="single" w:sz="2" w:space="0" w:color="CED6E7"/>
            </w:tcBorders>
            <w:shd w:val="clear" w:color="auto" w:fill="F1F0CD"/>
          </w:tcPr>
          <w:p>
            <w:pPr>
              <w:pStyle w:val="TableParagraph"/>
              <w:rPr>
                <w:rFonts w:ascii="Tw Cen MT Condensed Extra Bold"/>
                <w:sz w:val="20"/>
              </w:rPr>
            </w:pPr>
          </w:p>
          <w:p>
            <w:pPr>
              <w:pStyle w:val="TableParagraph"/>
              <w:numPr>
                <w:ilvl w:val="0"/>
                <w:numId w:val="30"/>
              </w:numPr>
              <w:tabs>
                <w:tab w:pos="798" w:val="left" w:leader="none"/>
                <w:tab w:pos="799" w:val="left" w:leader="none"/>
              </w:tabs>
              <w:spacing w:line="276" w:lineRule="auto" w:before="160" w:after="0"/>
              <w:ind w:left="798" w:right="82" w:hanging="360"/>
              <w:jc w:val="left"/>
              <w:rPr>
                <w:rFonts w:ascii="Corbel" w:hAnsi="Corbel"/>
                <w:sz w:val="20"/>
              </w:rPr>
            </w:pPr>
            <w:r>
              <w:rPr>
                <w:rFonts w:ascii="Corbel" w:hAnsi="Corbel"/>
                <w:smallCaps w:val="0"/>
                <w:sz w:val="20"/>
              </w:rPr>
              <w:t>La población joven representa más del 60% de la población del municipio y existen</w:t>
            </w:r>
            <w:r>
              <w:rPr>
                <w:rFonts w:ascii="Corbel" w:hAnsi="Corbel"/>
                <w:smallCaps w:val="0"/>
                <w:spacing w:val="-17"/>
                <w:sz w:val="20"/>
              </w:rPr>
              <w:t> </w:t>
            </w:r>
            <w:r>
              <w:rPr>
                <w:rFonts w:ascii="Corbel" w:hAnsi="Corbel"/>
                <w:smallCaps w:val="0"/>
                <w:sz w:val="20"/>
              </w:rPr>
              <w:t>pocas actividades recreativas y de sano esparcimiento para la población joven del municipio.</w:t>
            </w:r>
          </w:p>
          <w:p>
            <w:pPr>
              <w:pStyle w:val="TableParagraph"/>
              <w:rPr>
                <w:rFonts w:ascii="Tw Cen MT Condensed Extra Bold"/>
                <w:sz w:val="20"/>
              </w:rPr>
            </w:pPr>
          </w:p>
          <w:p>
            <w:pPr>
              <w:pStyle w:val="TableParagraph"/>
              <w:spacing w:before="1"/>
              <w:rPr>
                <w:rFonts w:ascii="Tw Cen MT Condensed Extra Bold"/>
                <w:sz w:val="21"/>
              </w:rPr>
            </w:pPr>
          </w:p>
          <w:p>
            <w:pPr>
              <w:pStyle w:val="TableParagraph"/>
              <w:numPr>
                <w:ilvl w:val="0"/>
                <w:numId w:val="30"/>
              </w:numPr>
              <w:tabs>
                <w:tab w:pos="798" w:val="left" w:leader="none"/>
                <w:tab w:pos="799" w:val="left" w:leader="none"/>
              </w:tabs>
              <w:spacing w:line="240" w:lineRule="auto" w:before="0" w:after="0"/>
              <w:ind w:left="798" w:right="0" w:hanging="361"/>
              <w:jc w:val="left"/>
              <w:rPr>
                <w:rFonts w:ascii="Corbel"/>
                <w:sz w:val="20"/>
              </w:rPr>
            </w:pPr>
            <w:r>
              <w:rPr>
                <w:rFonts w:ascii="Corbel"/>
                <w:smallCaps w:val="0"/>
                <w:sz w:val="20"/>
              </w:rPr>
              <w:t>Casos de Violencia intrafamiliar en</w:t>
            </w:r>
            <w:r>
              <w:rPr>
                <w:rFonts w:ascii="Corbel"/>
                <w:smallCaps w:val="0"/>
                <w:spacing w:val="-11"/>
                <w:sz w:val="20"/>
              </w:rPr>
              <w:t> </w:t>
            </w:r>
            <w:r>
              <w:rPr>
                <w:rFonts w:ascii="Corbel"/>
                <w:smallCaps w:val="0"/>
                <w:sz w:val="20"/>
              </w:rPr>
              <w:t>aumento.</w:t>
            </w:r>
          </w:p>
          <w:p>
            <w:pPr>
              <w:pStyle w:val="TableParagraph"/>
              <w:spacing w:before="3"/>
              <w:rPr>
                <w:rFonts w:ascii="Tw Cen MT Condensed Extra Bold"/>
                <w:sz w:val="29"/>
              </w:rPr>
            </w:pPr>
          </w:p>
          <w:p>
            <w:pPr>
              <w:pStyle w:val="TableParagraph"/>
              <w:numPr>
                <w:ilvl w:val="0"/>
                <w:numId w:val="30"/>
              </w:numPr>
              <w:tabs>
                <w:tab w:pos="799" w:val="left" w:leader="none"/>
              </w:tabs>
              <w:spacing w:line="276" w:lineRule="auto" w:before="0" w:after="0"/>
              <w:ind w:left="798" w:right="140" w:hanging="360"/>
              <w:jc w:val="both"/>
              <w:rPr>
                <w:rFonts w:ascii="Corbel" w:hAnsi="Corbel"/>
                <w:sz w:val="20"/>
              </w:rPr>
            </w:pPr>
            <w:r>
              <w:rPr>
                <w:rFonts w:ascii="Corbel" w:hAnsi="Corbel"/>
                <w:sz w:val="20"/>
              </w:rPr>
              <w:t>Drogadicción en jóvenes y menores de edad sin corresponsabilidad de los padres para su atención.</w:t>
            </w:r>
          </w:p>
          <w:p>
            <w:pPr>
              <w:pStyle w:val="TableParagraph"/>
              <w:spacing w:before="10"/>
              <w:rPr>
                <w:rFonts w:ascii="Tw Cen MT Condensed Extra Bold"/>
                <w:sz w:val="25"/>
              </w:rPr>
            </w:pPr>
          </w:p>
          <w:p>
            <w:pPr>
              <w:pStyle w:val="TableParagraph"/>
              <w:numPr>
                <w:ilvl w:val="0"/>
                <w:numId w:val="30"/>
              </w:numPr>
              <w:tabs>
                <w:tab w:pos="798" w:val="left" w:leader="none"/>
                <w:tab w:pos="799" w:val="left" w:leader="none"/>
              </w:tabs>
              <w:spacing w:line="276" w:lineRule="auto" w:before="0" w:after="0"/>
              <w:ind w:left="798" w:right="181" w:hanging="360"/>
              <w:jc w:val="left"/>
              <w:rPr>
                <w:rFonts w:ascii="Corbel" w:hAnsi="Corbel"/>
                <w:sz w:val="20"/>
              </w:rPr>
            </w:pPr>
            <w:r>
              <w:rPr>
                <w:rFonts w:ascii="Corbel" w:hAnsi="Corbel"/>
                <w:sz w:val="20"/>
              </w:rPr>
              <w:t>El </w:t>
            </w:r>
            <w:r>
              <w:rPr>
                <w:rFonts w:ascii="Corbel" w:hAnsi="Corbel"/>
                <w:smallCaps/>
                <w:sz w:val="20"/>
              </w:rPr>
              <w:t>2</w:t>
            </w:r>
            <w:r>
              <w:rPr>
                <w:rFonts w:ascii="Corbel" w:hAnsi="Corbel"/>
                <w:smallCaps w:val="0"/>
                <w:sz w:val="20"/>
              </w:rPr>
              <w:t>3</w:t>
            </w:r>
            <w:r>
              <w:rPr>
                <w:rFonts w:ascii="Corbel" w:hAnsi="Corbel"/>
                <w:smallCaps/>
                <w:sz w:val="20"/>
              </w:rPr>
              <w:t>.1%</w:t>
            </w:r>
            <w:r>
              <w:rPr>
                <w:rFonts w:ascii="Corbel" w:hAnsi="Corbel"/>
                <w:smallCaps w:val="0"/>
                <w:sz w:val="20"/>
              </w:rPr>
              <w:t> de la población presenta rezago educativo, lo cual quiere decir que más de 5 mil personas en edad de estudiar se encuentran fuera del sistema educativo o son adultos mayores que no concluyeron su formación básica.</w:t>
            </w:r>
          </w:p>
          <w:p>
            <w:pPr>
              <w:pStyle w:val="TableParagraph"/>
              <w:rPr>
                <w:rFonts w:ascii="Tw Cen MT Condensed Extra Bold"/>
                <w:sz w:val="20"/>
              </w:rPr>
            </w:pPr>
          </w:p>
          <w:p>
            <w:pPr>
              <w:pStyle w:val="TableParagraph"/>
              <w:spacing w:before="1"/>
              <w:rPr>
                <w:rFonts w:ascii="Tw Cen MT Condensed Extra Bold"/>
                <w:sz w:val="21"/>
              </w:rPr>
            </w:pPr>
          </w:p>
          <w:p>
            <w:pPr>
              <w:pStyle w:val="TableParagraph"/>
              <w:numPr>
                <w:ilvl w:val="0"/>
                <w:numId w:val="30"/>
              </w:numPr>
              <w:tabs>
                <w:tab w:pos="799" w:val="left" w:leader="none"/>
              </w:tabs>
              <w:spacing w:line="276" w:lineRule="auto" w:before="0" w:after="0"/>
              <w:ind w:left="798" w:right="225" w:hanging="360"/>
              <w:jc w:val="both"/>
              <w:rPr>
                <w:rFonts w:ascii="Corbel" w:hAnsi="Corbel"/>
                <w:sz w:val="20"/>
              </w:rPr>
            </w:pPr>
            <w:r>
              <w:rPr>
                <w:rFonts w:ascii="Corbel" w:hAnsi="Corbel"/>
                <w:sz w:val="20"/>
              </w:rPr>
              <w:t>Así mismo, </w:t>
            </w:r>
            <w:r>
              <w:rPr>
                <w:rFonts w:ascii="Corbel" w:hAnsi="Corbel"/>
                <w:smallCaps/>
                <w:sz w:val="20"/>
              </w:rPr>
              <w:t>16</w:t>
            </w:r>
            <w:r>
              <w:rPr>
                <w:rFonts w:ascii="Corbel" w:hAnsi="Corbel"/>
                <w:smallCaps w:val="0"/>
                <w:sz w:val="20"/>
              </w:rPr>
              <w:t> mil personas no cuentan con seguridad</w:t>
            </w:r>
            <w:r>
              <w:rPr>
                <w:rFonts w:ascii="Corbel" w:hAnsi="Corbel"/>
                <w:smallCaps w:val="0"/>
                <w:spacing w:val="-2"/>
                <w:sz w:val="20"/>
              </w:rPr>
              <w:t> </w:t>
            </w:r>
            <w:r>
              <w:rPr>
                <w:rFonts w:ascii="Corbel" w:hAnsi="Corbel"/>
                <w:smallCaps w:val="0"/>
                <w:sz w:val="20"/>
              </w:rPr>
              <w:t>social.</w:t>
            </w:r>
          </w:p>
        </w:tc>
        <w:tc>
          <w:tcPr>
            <w:tcW w:w="4477" w:type="dxa"/>
            <w:tcBorders>
              <w:top w:val="single" w:sz="2" w:space="0" w:color="CED6E7"/>
              <w:bottom w:val="single" w:sz="2" w:space="0" w:color="CED6E7"/>
            </w:tcBorders>
            <w:shd w:val="clear" w:color="auto" w:fill="F0E2BC"/>
          </w:tcPr>
          <w:p>
            <w:pPr>
              <w:pStyle w:val="TableParagraph"/>
              <w:rPr>
                <w:rFonts w:ascii="Tw Cen MT Condensed Extra Bold"/>
                <w:sz w:val="20"/>
              </w:rPr>
            </w:pPr>
          </w:p>
          <w:p>
            <w:pPr>
              <w:pStyle w:val="TableParagraph"/>
              <w:spacing w:before="124"/>
              <w:ind w:left="81" w:right="136"/>
              <w:rPr>
                <w:rFonts w:ascii="Corbel" w:hAnsi="Corbel"/>
                <w:sz w:val="20"/>
              </w:rPr>
            </w:pPr>
            <w:r>
              <w:rPr>
                <w:rFonts w:ascii="Corbel" w:hAnsi="Corbel"/>
                <w:sz w:val="20"/>
              </w:rPr>
              <w:t>Impulsar una comunidad sana, pacífica e incluyente y con familias que tengan bienestar social.</w:t>
            </w:r>
          </w:p>
        </w:tc>
      </w:tr>
    </w:tbl>
    <w:p>
      <w:pPr>
        <w:spacing w:after="0"/>
        <w:rPr>
          <w:rFonts w:ascii="Corbel" w:hAnsi="Corbel"/>
          <w:sz w:val="20"/>
        </w:rPr>
        <w:sectPr>
          <w:pgSz w:w="12240" w:h="15840"/>
          <w:pgMar w:header="178" w:footer="1076" w:top="1120" w:bottom="1360" w:left="460" w:right="220"/>
        </w:sectPr>
      </w:pPr>
    </w:p>
    <w:p>
      <w:pPr>
        <w:pStyle w:val="BodyText"/>
        <w:rPr>
          <w:rFonts w:ascii="Times New Roman"/>
          <w:sz w:val="20"/>
        </w:rPr>
      </w:pPr>
    </w:p>
    <w:p>
      <w:pPr>
        <w:pStyle w:val="BodyText"/>
        <w:spacing w:before="6"/>
        <w:rPr>
          <w:rFonts w:ascii="Times New Roman"/>
          <w:sz w:val="25"/>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477"/>
      </w:tblGrid>
      <w:tr>
        <w:trPr>
          <w:trHeight w:val="5819" w:hRule="atLeast"/>
        </w:trPr>
        <w:tc>
          <w:tcPr>
            <w:tcW w:w="4577" w:type="dxa"/>
            <w:tcBorders>
              <w:top w:val="nil"/>
              <w:bottom w:val="single" w:sz="2" w:space="0" w:color="CED6E7"/>
            </w:tcBorders>
            <w:shd w:val="clear" w:color="auto" w:fill="F1F0CD"/>
          </w:tcPr>
          <w:p>
            <w:pPr>
              <w:pStyle w:val="TableParagraph"/>
              <w:numPr>
                <w:ilvl w:val="0"/>
                <w:numId w:val="31"/>
              </w:numPr>
              <w:tabs>
                <w:tab w:pos="798" w:val="left" w:leader="none"/>
                <w:tab w:pos="799" w:val="left" w:leader="none"/>
              </w:tabs>
              <w:spacing w:line="276" w:lineRule="auto" w:before="80" w:after="0"/>
              <w:ind w:left="798" w:right="356" w:hanging="360"/>
              <w:jc w:val="left"/>
              <w:rPr>
                <w:rFonts w:ascii="Corbel" w:hAnsi="Corbel"/>
                <w:sz w:val="20"/>
              </w:rPr>
            </w:pPr>
            <w:r>
              <w:rPr>
                <w:rFonts w:ascii="Corbel" w:hAnsi="Corbel"/>
                <w:sz w:val="20"/>
              </w:rPr>
              <w:t>Más de 3 mil 600 no tienen garantizado</w:t>
            </w:r>
            <w:r>
              <w:rPr>
                <w:rFonts w:ascii="Corbel" w:hAnsi="Corbel"/>
                <w:spacing w:val="-18"/>
                <w:sz w:val="20"/>
              </w:rPr>
              <w:t> </w:t>
            </w:r>
            <w:r>
              <w:rPr>
                <w:rFonts w:ascii="Corbel" w:hAnsi="Corbel"/>
                <w:sz w:val="20"/>
              </w:rPr>
              <w:t>el alimento.</w:t>
            </w:r>
          </w:p>
          <w:p>
            <w:pPr>
              <w:pStyle w:val="TableParagraph"/>
              <w:rPr>
                <w:rFonts w:ascii="Times New Roman"/>
                <w:sz w:val="20"/>
              </w:rPr>
            </w:pPr>
          </w:p>
          <w:p>
            <w:pPr>
              <w:pStyle w:val="TableParagraph"/>
              <w:spacing w:before="7"/>
              <w:rPr>
                <w:rFonts w:ascii="Times New Roman"/>
                <w:sz w:val="18"/>
              </w:rPr>
            </w:pPr>
          </w:p>
          <w:p>
            <w:pPr>
              <w:pStyle w:val="TableParagraph"/>
              <w:numPr>
                <w:ilvl w:val="0"/>
                <w:numId w:val="31"/>
              </w:numPr>
              <w:tabs>
                <w:tab w:pos="798" w:val="left" w:leader="none"/>
                <w:tab w:pos="799" w:val="left" w:leader="none"/>
              </w:tabs>
              <w:spacing w:line="276" w:lineRule="auto" w:before="1" w:after="0"/>
              <w:ind w:left="798" w:right="190" w:hanging="360"/>
              <w:jc w:val="left"/>
              <w:rPr>
                <w:rFonts w:ascii="Corbel" w:hAnsi="Corbel"/>
                <w:sz w:val="20"/>
              </w:rPr>
            </w:pPr>
            <w:r>
              <w:rPr>
                <w:rFonts w:ascii="Corbel" w:hAnsi="Corbel"/>
                <w:sz w:val="20"/>
              </w:rPr>
              <w:t>Vandalismo a infraestructura pública. Específicamente las luminarias, que para su reparación se destina gran parte de los recursos humanos del área de servicios municipales.</w:t>
            </w:r>
          </w:p>
          <w:p>
            <w:pPr>
              <w:pStyle w:val="TableParagraph"/>
              <w:rPr>
                <w:rFonts w:ascii="Times New Roman"/>
                <w:sz w:val="20"/>
              </w:rPr>
            </w:pPr>
          </w:p>
          <w:p>
            <w:pPr>
              <w:pStyle w:val="TableParagraph"/>
              <w:spacing w:before="7"/>
              <w:rPr>
                <w:rFonts w:ascii="Times New Roman"/>
                <w:sz w:val="18"/>
              </w:rPr>
            </w:pPr>
          </w:p>
          <w:p>
            <w:pPr>
              <w:pStyle w:val="TableParagraph"/>
              <w:numPr>
                <w:ilvl w:val="0"/>
                <w:numId w:val="31"/>
              </w:numPr>
              <w:tabs>
                <w:tab w:pos="798" w:val="left" w:leader="none"/>
                <w:tab w:pos="799" w:val="left" w:leader="none"/>
              </w:tabs>
              <w:spacing w:line="276" w:lineRule="auto" w:before="0" w:after="0"/>
              <w:ind w:left="798" w:right="87" w:hanging="360"/>
              <w:jc w:val="left"/>
              <w:rPr>
                <w:rFonts w:ascii="Corbel" w:hAnsi="Corbel"/>
                <w:sz w:val="20"/>
              </w:rPr>
            </w:pPr>
            <w:r>
              <w:rPr>
                <w:rFonts w:ascii="Corbel" w:hAnsi="Corbel"/>
                <w:sz w:val="20"/>
              </w:rPr>
              <w:t>Accidentes viales a falta de cultura vial en</w:t>
            </w:r>
            <w:r>
              <w:rPr>
                <w:rFonts w:ascii="Corbel" w:hAnsi="Corbel"/>
                <w:spacing w:val="-20"/>
                <w:sz w:val="20"/>
              </w:rPr>
              <w:t> </w:t>
            </w:r>
            <w:r>
              <w:rPr>
                <w:rFonts w:ascii="Corbel" w:hAnsi="Corbel"/>
                <w:sz w:val="20"/>
              </w:rPr>
              <w:t>los conductores de motocicletas, los cuales conducen a altas velocidades y sin casco u otros elementos de seguridad que puedan salvar la vida en caso de accidentes. En este sentido, es necesario reforzar una campaña de seguridad vial y acompañarla de medidas coercitivas que fomenten en los motociclistas, especialmente en menores de edad, un manejo responsable</w:t>
            </w:r>
          </w:p>
        </w:tc>
        <w:tc>
          <w:tcPr>
            <w:tcW w:w="4477" w:type="dxa"/>
            <w:tcBorders>
              <w:top w:val="nil"/>
              <w:bottom w:val="single" w:sz="2" w:space="0" w:color="CED6E7"/>
            </w:tcBorders>
            <w:shd w:val="clear" w:color="auto" w:fill="F0E2BC"/>
          </w:tcPr>
          <w:p>
            <w:pPr>
              <w:pStyle w:val="TableParagraph"/>
              <w:rPr>
                <w:rFonts w:ascii="Times New Roman"/>
                <w:sz w:val="18"/>
              </w:rPr>
            </w:pPr>
          </w:p>
        </w:tc>
      </w:tr>
    </w:tbl>
    <w:p>
      <w:pPr>
        <w:spacing w:after="0"/>
        <w:rPr>
          <w:rFonts w:ascii="Times New Roman"/>
          <w:sz w:val="18"/>
        </w:rPr>
        <w:sectPr>
          <w:pgSz w:w="12240" w:h="15840"/>
          <w:pgMar w:header="178" w:footer="1076" w:top="1120" w:bottom="1360" w:left="460" w:right="220"/>
        </w:sectPr>
      </w:pPr>
    </w:p>
    <w:p>
      <w:pPr>
        <w:pStyle w:val="BodyText"/>
        <w:rPr>
          <w:rFonts w:ascii="Times New Roman"/>
          <w:sz w:val="20"/>
        </w:rPr>
      </w:pPr>
    </w:p>
    <w:p>
      <w:pPr>
        <w:pStyle w:val="BodyText"/>
        <w:spacing w:before="6"/>
        <w:rPr>
          <w:rFonts w:ascii="Times New Roman"/>
          <w:sz w:val="25"/>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577"/>
        <w:gridCol w:w="4477"/>
      </w:tblGrid>
      <w:tr>
        <w:trPr>
          <w:trHeight w:val="2156" w:hRule="atLeast"/>
        </w:trPr>
        <w:tc>
          <w:tcPr>
            <w:tcW w:w="4577" w:type="dxa"/>
            <w:tcBorders>
              <w:top w:val="nil"/>
              <w:bottom w:val="single" w:sz="2" w:space="0" w:color="CED6E7"/>
            </w:tcBorders>
            <w:shd w:val="clear" w:color="auto" w:fill="FFC000"/>
          </w:tcPr>
          <w:p>
            <w:pPr>
              <w:pStyle w:val="TableParagraph"/>
              <w:spacing w:before="10"/>
              <w:rPr>
                <w:rFonts w:ascii="Times New Roman"/>
                <w:sz w:val="57"/>
              </w:rPr>
            </w:pPr>
          </w:p>
          <w:p>
            <w:pPr>
              <w:pStyle w:val="TableParagraph"/>
              <w:ind w:left="1204"/>
              <w:rPr>
                <w:rFonts w:ascii="Corbel"/>
                <w:sz w:val="48"/>
              </w:rPr>
            </w:pPr>
            <w:r>
              <w:rPr>
                <w:rFonts w:ascii="Corbel"/>
                <w:color w:val="FFFFFF"/>
                <w:sz w:val="48"/>
              </w:rPr>
              <w:t>Programas</w:t>
            </w:r>
          </w:p>
        </w:tc>
        <w:tc>
          <w:tcPr>
            <w:tcW w:w="4477" w:type="dxa"/>
            <w:tcBorders>
              <w:top w:val="nil"/>
              <w:bottom w:val="single" w:sz="2" w:space="0" w:color="CED6E7"/>
            </w:tcBorders>
            <w:shd w:val="clear" w:color="auto" w:fill="F4CA15"/>
          </w:tcPr>
          <w:p>
            <w:pPr>
              <w:pStyle w:val="TableParagraph"/>
              <w:spacing w:before="10"/>
              <w:rPr>
                <w:rFonts w:ascii="Times New Roman"/>
                <w:sz w:val="57"/>
              </w:rPr>
            </w:pPr>
          </w:p>
          <w:p>
            <w:pPr>
              <w:pStyle w:val="TableParagraph"/>
              <w:ind w:left="1245"/>
              <w:rPr>
                <w:rFonts w:ascii="Corbel"/>
                <w:sz w:val="48"/>
              </w:rPr>
            </w:pPr>
            <w:r>
              <w:rPr>
                <w:rFonts w:ascii="Corbel"/>
                <w:color w:val="FFFFFF"/>
                <w:sz w:val="48"/>
              </w:rPr>
              <w:t>Proyectos</w:t>
            </w:r>
          </w:p>
        </w:tc>
      </w:tr>
      <w:tr>
        <w:trPr>
          <w:trHeight w:val="6476" w:hRule="atLeast"/>
        </w:trPr>
        <w:tc>
          <w:tcPr>
            <w:tcW w:w="4577" w:type="dxa"/>
            <w:tcBorders>
              <w:top w:val="single" w:sz="2" w:space="0" w:color="CED6E7"/>
              <w:bottom w:val="single" w:sz="2" w:space="0" w:color="CED6E7"/>
            </w:tcBorders>
            <w:shd w:val="clear" w:color="auto" w:fill="F1F0CD"/>
          </w:tcPr>
          <w:p>
            <w:pPr>
              <w:pStyle w:val="TableParagraph"/>
              <w:rPr>
                <w:rFonts w:ascii="Times New Roman"/>
                <w:sz w:val="20"/>
              </w:rPr>
            </w:pPr>
          </w:p>
          <w:p>
            <w:pPr>
              <w:pStyle w:val="TableParagraph"/>
              <w:tabs>
                <w:tab w:pos="798" w:val="left" w:leader="none"/>
              </w:tabs>
              <w:spacing w:line="276" w:lineRule="auto" w:before="149"/>
              <w:ind w:left="798" w:right="710" w:hanging="360"/>
              <w:rPr>
                <w:rFonts w:ascii="Corbel" w:hAnsi="Corbel"/>
                <w:sz w:val="20"/>
              </w:rPr>
            </w:pPr>
            <w:r>
              <w:rPr>
                <w:rFonts w:ascii="Corbel" w:hAnsi="Corbel"/>
                <w:smallCaps/>
                <w:color w:val="252525"/>
                <w:spacing w:val="-1"/>
                <w:w w:val="99"/>
                <w:sz w:val="20"/>
              </w:rPr>
              <w:t>1</w:t>
            </w:r>
            <w:r>
              <w:rPr>
                <w:rFonts w:ascii="Corbel" w:hAnsi="Corbel"/>
                <w:smallCaps/>
                <w:color w:val="252525"/>
                <w:w w:val="99"/>
                <w:sz w:val="20"/>
              </w:rPr>
              <w:t>.</w:t>
            </w:r>
            <w:r>
              <w:rPr>
                <w:rFonts w:ascii="Corbel" w:hAnsi="Corbel"/>
                <w:smallCaps w:val="0"/>
                <w:color w:val="252525"/>
                <w:sz w:val="20"/>
              </w:rPr>
              <w:tab/>
            </w:r>
            <w:r>
              <w:rPr>
                <w:rFonts w:ascii="Corbel" w:hAnsi="Corbel"/>
                <w:smallCaps w:val="0"/>
                <w:spacing w:val="-1"/>
                <w:w w:val="99"/>
                <w:sz w:val="20"/>
              </w:rPr>
              <w:t>I</w:t>
            </w:r>
            <w:r>
              <w:rPr>
                <w:rFonts w:ascii="Corbel" w:hAnsi="Corbel"/>
                <w:smallCaps w:val="0"/>
                <w:w w:val="99"/>
                <w:sz w:val="20"/>
              </w:rPr>
              <w:t>n</w:t>
            </w:r>
            <w:r>
              <w:rPr>
                <w:rFonts w:ascii="Corbel" w:hAnsi="Corbel"/>
                <w:smallCaps w:val="0"/>
                <w:spacing w:val="-1"/>
                <w:w w:val="99"/>
                <w:sz w:val="20"/>
              </w:rPr>
              <w:t>f</w:t>
            </w:r>
            <w:r>
              <w:rPr>
                <w:rFonts w:ascii="Corbel" w:hAnsi="Corbel"/>
                <w:smallCaps w:val="0"/>
                <w:w w:val="99"/>
                <w:sz w:val="20"/>
              </w:rPr>
              <w:t>r</w:t>
            </w:r>
            <w:r>
              <w:rPr>
                <w:rFonts w:ascii="Corbel" w:hAnsi="Corbel"/>
                <w:smallCaps w:val="0"/>
                <w:spacing w:val="1"/>
                <w:w w:val="99"/>
                <w:sz w:val="20"/>
              </w:rPr>
              <w:t>a</w:t>
            </w:r>
            <w:r>
              <w:rPr>
                <w:rFonts w:ascii="Corbel" w:hAnsi="Corbel"/>
                <w:smallCaps w:val="0"/>
                <w:spacing w:val="-1"/>
                <w:w w:val="99"/>
                <w:sz w:val="20"/>
              </w:rPr>
              <w:t>e</w:t>
            </w:r>
            <w:r>
              <w:rPr>
                <w:rFonts w:ascii="Corbel" w:hAnsi="Corbel"/>
                <w:smallCaps w:val="0"/>
                <w:w w:val="99"/>
                <w:sz w:val="20"/>
              </w:rPr>
              <w:t>s</w:t>
            </w:r>
            <w:r>
              <w:rPr>
                <w:rFonts w:ascii="Corbel" w:hAnsi="Corbel"/>
                <w:smallCaps w:val="0"/>
                <w:spacing w:val="-1"/>
                <w:w w:val="99"/>
                <w:sz w:val="20"/>
              </w:rPr>
              <w:t>t</w:t>
            </w:r>
            <w:r>
              <w:rPr>
                <w:rFonts w:ascii="Corbel" w:hAnsi="Corbel"/>
                <w:smallCaps w:val="0"/>
                <w:w w:val="99"/>
                <w:sz w:val="20"/>
              </w:rPr>
              <w:t>ru</w:t>
            </w:r>
            <w:r>
              <w:rPr>
                <w:rFonts w:ascii="Corbel" w:hAnsi="Corbel"/>
                <w:smallCaps w:val="0"/>
                <w:spacing w:val="-1"/>
                <w:w w:val="99"/>
                <w:sz w:val="20"/>
              </w:rPr>
              <w:t>ctu</w:t>
            </w:r>
            <w:r>
              <w:rPr>
                <w:rFonts w:ascii="Corbel" w:hAnsi="Corbel"/>
                <w:smallCaps w:val="0"/>
                <w:w w:val="99"/>
                <w:sz w:val="20"/>
              </w:rPr>
              <w:t>ra</w:t>
            </w:r>
            <w:r>
              <w:rPr>
                <w:rFonts w:ascii="Corbel" w:hAnsi="Corbel"/>
                <w:smallCaps w:val="0"/>
                <w:spacing w:val="2"/>
                <w:sz w:val="20"/>
              </w:rPr>
              <w:t> </w:t>
            </w:r>
            <w:r>
              <w:rPr>
                <w:rFonts w:ascii="Corbel" w:hAnsi="Corbel"/>
                <w:smallCaps w:val="0"/>
                <w:w w:val="99"/>
                <w:sz w:val="20"/>
              </w:rPr>
              <w:t>para</w:t>
            </w:r>
            <w:r>
              <w:rPr>
                <w:rFonts w:ascii="Corbel" w:hAnsi="Corbel"/>
                <w:smallCaps w:val="0"/>
                <w:spacing w:val="2"/>
                <w:sz w:val="20"/>
              </w:rPr>
              <w:t> </w:t>
            </w:r>
            <w:r>
              <w:rPr>
                <w:rFonts w:ascii="Corbel" w:hAnsi="Corbel"/>
                <w:smallCaps w:val="0"/>
                <w:spacing w:val="-1"/>
                <w:w w:val="99"/>
                <w:sz w:val="20"/>
              </w:rPr>
              <w:t>l</w:t>
            </w:r>
            <w:r>
              <w:rPr>
                <w:rFonts w:ascii="Corbel" w:hAnsi="Corbel"/>
                <w:smallCaps w:val="0"/>
                <w:w w:val="99"/>
                <w:sz w:val="20"/>
              </w:rPr>
              <w:t>a</w:t>
            </w:r>
            <w:r>
              <w:rPr>
                <w:rFonts w:ascii="Corbel" w:hAnsi="Corbel"/>
                <w:smallCaps w:val="0"/>
                <w:spacing w:val="2"/>
                <w:sz w:val="20"/>
              </w:rPr>
              <w:t> </w:t>
            </w:r>
            <w:r>
              <w:rPr>
                <w:rFonts w:ascii="Corbel" w:hAnsi="Corbel"/>
                <w:smallCaps w:val="0"/>
                <w:w w:val="99"/>
                <w:sz w:val="20"/>
              </w:rPr>
              <w:t>re</w:t>
            </w:r>
            <w:r>
              <w:rPr>
                <w:rFonts w:ascii="Corbel" w:hAnsi="Corbel"/>
                <w:smallCaps w:val="0"/>
                <w:spacing w:val="-2"/>
                <w:w w:val="99"/>
                <w:sz w:val="20"/>
              </w:rPr>
              <w:t>c</w:t>
            </w:r>
            <w:r>
              <w:rPr>
                <w:rFonts w:ascii="Corbel" w:hAnsi="Corbel"/>
                <w:smallCaps w:val="0"/>
                <w:w w:val="99"/>
                <w:sz w:val="20"/>
              </w:rPr>
              <w:t>re</w:t>
            </w:r>
            <w:r>
              <w:rPr>
                <w:rFonts w:ascii="Corbel" w:hAnsi="Corbel"/>
                <w:smallCaps w:val="0"/>
                <w:spacing w:val="2"/>
                <w:w w:val="99"/>
                <w:sz w:val="20"/>
              </w:rPr>
              <w:t>a</w:t>
            </w:r>
            <w:r>
              <w:rPr>
                <w:rFonts w:ascii="Corbel" w:hAnsi="Corbel"/>
                <w:smallCaps w:val="0"/>
                <w:spacing w:val="-1"/>
                <w:w w:val="99"/>
                <w:sz w:val="20"/>
              </w:rPr>
              <w:t>ció</w:t>
            </w:r>
            <w:r>
              <w:rPr>
                <w:rFonts w:ascii="Corbel" w:hAnsi="Corbel"/>
                <w:smallCaps w:val="0"/>
                <w:w w:val="99"/>
                <w:sz w:val="20"/>
              </w:rPr>
              <w:t>n</w:t>
            </w:r>
            <w:r>
              <w:rPr>
                <w:rFonts w:ascii="Corbel" w:hAnsi="Corbel"/>
                <w:smallCaps w:val="0"/>
                <w:spacing w:val="1"/>
                <w:sz w:val="20"/>
              </w:rPr>
              <w:t> </w:t>
            </w:r>
            <w:r>
              <w:rPr>
                <w:rFonts w:ascii="Corbel" w:hAnsi="Corbel"/>
                <w:smallCaps w:val="0"/>
                <w:w w:val="99"/>
                <w:sz w:val="20"/>
              </w:rPr>
              <w:t>y</w:t>
            </w:r>
            <w:r>
              <w:rPr>
                <w:rFonts w:ascii="Corbel" w:hAnsi="Corbel"/>
                <w:smallCaps w:val="0"/>
                <w:spacing w:val="1"/>
                <w:sz w:val="20"/>
              </w:rPr>
              <w:t> </w:t>
            </w:r>
            <w:r>
              <w:rPr>
                <w:rFonts w:ascii="Corbel" w:hAnsi="Corbel"/>
                <w:smallCaps w:val="0"/>
                <w:spacing w:val="-1"/>
                <w:w w:val="99"/>
                <w:sz w:val="20"/>
              </w:rPr>
              <w:t>el </w:t>
            </w:r>
            <w:r>
              <w:rPr>
                <w:rFonts w:ascii="Corbel" w:hAnsi="Corbel"/>
                <w:smallCaps w:val="0"/>
                <w:spacing w:val="-2"/>
                <w:w w:val="99"/>
                <w:sz w:val="20"/>
              </w:rPr>
              <w:t>d</w:t>
            </w:r>
            <w:r>
              <w:rPr>
                <w:rFonts w:ascii="Corbel" w:hAnsi="Corbel"/>
                <w:smallCaps w:val="0"/>
                <w:spacing w:val="-1"/>
                <w:w w:val="99"/>
                <w:sz w:val="20"/>
              </w:rPr>
              <w:t>e</w:t>
            </w:r>
            <w:r>
              <w:rPr>
                <w:rFonts w:ascii="Corbel" w:hAnsi="Corbel"/>
                <w:smallCaps w:val="0"/>
                <w:spacing w:val="2"/>
                <w:w w:val="99"/>
                <w:sz w:val="20"/>
              </w:rPr>
              <w:t>p</w:t>
            </w:r>
            <w:r>
              <w:rPr>
                <w:rFonts w:ascii="Corbel" w:hAnsi="Corbel"/>
                <w:smallCaps w:val="0"/>
                <w:spacing w:val="-1"/>
                <w:w w:val="99"/>
                <w:sz w:val="20"/>
              </w:rPr>
              <w:t>orte</w:t>
            </w:r>
          </w:p>
        </w:tc>
        <w:tc>
          <w:tcPr>
            <w:tcW w:w="4477" w:type="dxa"/>
            <w:tcBorders>
              <w:top w:val="single" w:sz="2" w:space="0" w:color="CED6E7"/>
              <w:bottom w:val="single" w:sz="2" w:space="0" w:color="CED6E7"/>
            </w:tcBorders>
            <w:shd w:val="clear" w:color="auto" w:fill="F0E2BC"/>
          </w:tcPr>
          <w:p>
            <w:pPr>
              <w:pStyle w:val="TableParagraph"/>
              <w:rPr>
                <w:rFonts w:ascii="Times New Roman"/>
                <w:sz w:val="20"/>
              </w:rPr>
            </w:pPr>
          </w:p>
          <w:p>
            <w:pPr>
              <w:pStyle w:val="TableParagraph"/>
              <w:numPr>
                <w:ilvl w:val="0"/>
                <w:numId w:val="32"/>
              </w:numPr>
              <w:tabs>
                <w:tab w:pos="835" w:val="left" w:leader="none"/>
                <w:tab w:pos="836" w:val="left" w:leader="none"/>
              </w:tabs>
              <w:spacing w:line="268" w:lineRule="auto" w:before="115" w:after="0"/>
              <w:ind w:left="835" w:right="310" w:hanging="394"/>
              <w:jc w:val="left"/>
              <w:rPr>
                <w:rFonts w:ascii="Symbol" w:hAnsi="Symbol"/>
                <w:color w:val="252525"/>
                <w:sz w:val="24"/>
              </w:rPr>
            </w:pPr>
            <w:r>
              <w:rPr>
                <w:rFonts w:ascii="Corbel" w:hAnsi="Corbel"/>
                <w:sz w:val="20"/>
              </w:rPr>
              <w:t>Construcción de parque recreativo en</w:t>
            </w:r>
            <w:r>
              <w:rPr>
                <w:rFonts w:ascii="Corbel" w:hAnsi="Corbel"/>
                <w:spacing w:val="-17"/>
                <w:sz w:val="20"/>
              </w:rPr>
              <w:t> </w:t>
            </w:r>
            <w:r>
              <w:rPr>
                <w:rFonts w:ascii="Corbel" w:hAnsi="Corbel"/>
                <w:sz w:val="20"/>
              </w:rPr>
              <w:t>La Quemada.</w:t>
            </w:r>
          </w:p>
          <w:p>
            <w:pPr>
              <w:pStyle w:val="TableParagraph"/>
              <w:rPr>
                <w:rFonts w:ascii="Times New Roman"/>
                <w:sz w:val="22"/>
              </w:rPr>
            </w:pPr>
          </w:p>
          <w:p>
            <w:pPr>
              <w:pStyle w:val="TableParagraph"/>
              <w:numPr>
                <w:ilvl w:val="0"/>
                <w:numId w:val="32"/>
              </w:numPr>
              <w:tabs>
                <w:tab w:pos="801" w:val="left" w:leader="none"/>
                <w:tab w:pos="802" w:val="left" w:leader="none"/>
              </w:tabs>
              <w:spacing w:line="240" w:lineRule="auto" w:before="0" w:after="0"/>
              <w:ind w:left="801" w:right="159" w:hanging="361"/>
              <w:jc w:val="left"/>
              <w:rPr>
                <w:rFonts w:ascii="Symbol" w:hAnsi="Symbol"/>
                <w:color w:val="252525"/>
                <w:sz w:val="20"/>
              </w:rPr>
            </w:pPr>
            <w:r>
              <w:rPr>
                <w:rFonts w:ascii="Corbel" w:hAnsi="Corbel"/>
                <w:sz w:val="20"/>
              </w:rPr>
              <w:t>Organizar mini olimpiadas en las primarias de todo el</w:t>
            </w:r>
            <w:r>
              <w:rPr>
                <w:rFonts w:ascii="Corbel" w:hAnsi="Corbel"/>
                <w:spacing w:val="-1"/>
                <w:sz w:val="20"/>
              </w:rPr>
              <w:t> </w:t>
            </w:r>
            <w:r>
              <w:rPr>
                <w:rFonts w:ascii="Corbel" w:hAnsi="Corbel"/>
                <w:sz w:val="20"/>
              </w:rPr>
              <w:t>municipio.</w:t>
            </w:r>
          </w:p>
          <w:p>
            <w:pPr>
              <w:pStyle w:val="TableParagraph"/>
              <w:rPr>
                <w:rFonts w:ascii="Times New Roman"/>
                <w:sz w:val="20"/>
              </w:rPr>
            </w:pPr>
          </w:p>
          <w:p>
            <w:pPr>
              <w:pStyle w:val="TableParagraph"/>
              <w:spacing w:before="7"/>
              <w:rPr>
                <w:rFonts w:ascii="Times New Roman"/>
                <w:sz w:val="18"/>
              </w:rPr>
            </w:pPr>
          </w:p>
          <w:p>
            <w:pPr>
              <w:pStyle w:val="TableParagraph"/>
              <w:numPr>
                <w:ilvl w:val="0"/>
                <w:numId w:val="32"/>
              </w:numPr>
              <w:tabs>
                <w:tab w:pos="801" w:val="left" w:leader="none"/>
                <w:tab w:pos="802" w:val="left" w:leader="none"/>
              </w:tabs>
              <w:spacing w:line="240" w:lineRule="auto" w:before="1" w:after="0"/>
              <w:ind w:left="801" w:right="195" w:hanging="361"/>
              <w:jc w:val="left"/>
              <w:rPr>
                <w:rFonts w:ascii="Symbol" w:hAnsi="Symbol"/>
                <w:color w:val="252525"/>
                <w:sz w:val="20"/>
              </w:rPr>
            </w:pPr>
            <w:r>
              <w:rPr>
                <w:rFonts w:ascii="Corbel" w:hAnsi="Corbel"/>
                <w:sz w:val="20"/>
              </w:rPr>
              <w:t>Implementar torneos de diferentes juegos municipales y regionales de escuelas primarias, secundarias y</w:t>
            </w:r>
            <w:r>
              <w:rPr>
                <w:rFonts w:ascii="Corbel" w:hAnsi="Corbel"/>
                <w:spacing w:val="-2"/>
                <w:sz w:val="20"/>
              </w:rPr>
              <w:t> </w:t>
            </w:r>
            <w:r>
              <w:rPr>
                <w:rFonts w:ascii="Corbel" w:hAnsi="Corbel"/>
                <w:sz w:val="20"/>
              </w:rPr>
              <w:t>preparatorias.</w:t>
            </w:r>
          </w:p>
          <w:p>
            <w:pPr>
              <w:pStyle w:val="TableParagraph"/>
              <w:spacing w:before="1"/>
              <w:rPr>
                <w:rFonts w:ascii="Times New Roman"/>
                <w:sz w:val="21"/>
              </w:rPr>
            </w:pPr>
          </w:p>
          <w:p>
            <w:pPr>
              <w:pStyle w:val="TableParagraph"/>
              <w:numPr>
                <w:ilvl w:val="0"/>
                <w:numId w:val="32"/>
              </w:numPr>
              <w:tabs>
                <w:tab w:pos="801" w:val="left" w:leader="none"/>
                <w:tab w:pos="802" w:val="left" w:leader="none"/>
              </w:tabs>
              <w:spacing w:line="240" w:lineRule="auto" w:before="0" w:after="0"/>
              <w:ind w:left="801" w:right="150" w:hanging="361"/>
              <w:jc w:val="left"/>
              <w:rPr>
                <w:rFonts w:ascii="Symbol" w:hAnsi="Symbol"/>
                <w:color w:val="252525"/>
                <w:sz w:val="20"/>
              </w:rPr>
            </w:pPr>
            <w:r>
              <w:rPr>
                <w:rFonts w:ascii="Corbel" w:hAnsi="Corbel"/>
                <w:sz w:val="20"/>
              </w:rPr>
              <w:t>Colocar tableros en canchas de</w:t>
            </w:r>
            <w:r>
              <w:rPr>
                <w:rFonts w:ascii="Corbel" w:hAnsi="Corbel"/>
                <w:spacing w:val="-22"/>
                <w:sz w:val="20"/>
              </w:rPr>
              <w:t> </w:t>
            </w:r>
            <w:r>
              <w:rPr>
                <w:rFonts w:ascii="Corbel" w:hAnsi="Corbel"/>
                <w:sz w:val="20"/>
              </w:rPr>
              <w:t>básquetbol de todo el</w:t>
            </w:r>
            <w:r>
              <w:rPr>
                <w:rFonts w:ascii="Corbel" w:hAnsi="Corbel"/>
                <w:spacing w:val="-1"/>
                <w:sz w:val="20"/>
              </w:rPr>
              <w:t> </w:t>
            </w:r>
            <w:r>
              <w:rPr>
                <w:rFonts w:ascii="Corbel" w:hAnsi="Corbel"/>
                <w:sz w:val="20"/>
              </w:rPr>
              <w:t>municipio.</w:t>
            </w:r>
          </w:p>
          <w:p>
            <w:pPr>
              <w:pStyle w:val="TableParagraph"/>
              <w:rPr>
                <w:rFonts w:ascii="Times New Roman"/>
                <w:sz w:val="20"/>
              </w:rPr>
            </w:pPr>
          </w:p>
          <w:p>
            <w:pPr>
              <w:pStyle w:val="TableParagraph"/>
              <w:spacing w:before="8"/>
              <w:rPr>
                <w:rFonts w:ascii="Times New Roman"/>
                <w:sz w:val="18"/>
              </w:rPr>
            </w:pPr>
          </w:p>
          <w:p>
            <w:pPr>
              <w:pStyle w:val="TableParagraph"/>
              <w:numPr>
                <w:ilvl w:val="0"/>
                <w:numId w:val="32"/>
              </w:numPr>
              <w:tabs>
                <w:tab w:pos="801" w:val="left" w:leader="none"/>
                <w:tab w:pos="802" w:val="left" w:leader="none"/>
              </w:tabs>
              <w:spacing w:line="240" w:lineRule="auto" w:before="0" w:after="0"/>
              <w:ind w:left="801" w:right="339" w:hanging="361"/>
              <w:jc w:val="left"/>
              <w:rPr>
                <w:rFonts w:ascii="Symbol" w:hAnsi="Symbol"/>
                <w:color w:val="252525"/>
                <w:sz w:val="20"/>
              </w:rPr>
            </w:pPr>
            <w:r>
              <w:rPr>
                <w:rFonts w:ascii="Corbel" w:hAnsi="Corbel"/>
                <w:sz w:val="20"/>
              </w:rPr>
              <w:t>Construcción de un parque recreativo</w:t>
            </w:r>
            <w:r>
              <w:rPr>
                <w:rFonts w:ascii="Corbel" w:hAnsi="Corbel"/>
                <w:spacing w:val="-16"/>
                <w:sz w:val="20"/>
              </w:rPr>
              <w:t> </w:t>
            </w:r>
            <w:r>
              <w:rPr>
                <w:rFonts w:ascii="Corbel" w:hAnsi="Corbel"/>
                <w:sz w:val="20"/>
              </w:rPr>
              <w:t>en San Andrés.</w:t>
            </w:r>
          </w:p>
          <w:p>
            <w:pPr>
              <w:pStyle w:val="TableParagraph"/>
              <w:spacing w:before="1"/>
              <w:rPr>
                <w:rFonts w:ascii="Times New Roman"/>
                <w:sz w:val="21"/>
              </w:rPr>
            </w:pPr>
          </w:p>
          <w:p>
            <w:pPr>
              <w:pStyle w:val="TableParagraph"/>
              <w:numPr>
                <w:ilvl w:val="0"/>
                <w:numId w:val="32"/>
              </w:numPr>
              <w:tabs>
                <w:tab w:pos="801" w:val="left" w:leader="none"/>
                <w:tab w:pos="802" w:val="left" w:leader="none"/>
              </w:tabs>
              <w:spacing w:line="240" w:lineRule="auto" w:before="0" w:after="0"/>
              <w:ind w:left="801" w:right="637" w:hanging="361"/>
              <w:jc w:val="left"/>
              <w:rPr>
                <w:rFonts w:ascii="Symbol" w:hAnsi="Symbol"/>
                <w:color w:val="252525"/>
                <w:sz w:val="20"/>
              </w:rPr>
            </w:pPr>
            <w:r>
              <w:rPr>
                <w:rFonts w:ascii="Corbel" w:hAnsi="Corbel"/>
                <w:sz w:val="20"/>
              </w:rPr>
              <w:t>Segunda remodelación del</w:t>
            </w:r>
            <w:r>
              <w:rPr>
                <w:rFonts w:ascii="Corbel" w:hAnsi="Corbel"/>
                <w:spacing w:val="-14"/>
                <w:sz w:val="20"/>
              </w:rPr>
              <w:t> </w:t>
            </w:r>
            <w:r>
              <w:rPr>
                <w:rFonts w:ascii="Corbel" w:hAnsi="Corbel"/>
                <w:sz w:val="20"/>
              </w:rPr>
              <w:t>Auditorio Municipal</w:t>
            </w:r>
          </w:p>
        </w:tc>
      </w:tr>
    </w:tbl>
    <w:p>
      <w:pPr>
        <w:spacing w:after="0" w:line="240" w:lineRule="auto"/>
        <w:jc w:val="left"/>
        <w:rPr>
          <w:rFonts w:ascii="Symbol" w:hAnsi="Symbol"/>
          <w:sz w:val="20"/>
        </w:rPr>
        <w:sectPr>
          <w:pgSz w:w="12240" w:h="15840"/>
          <w:pgMar w:header="178" w:footer="1076" w:top="1120" w:bottom="1340" w:left="460" w:right="220"/>
        </w:sectPr>
      </w:pPr>
    </w:p>
    <w:p>
      <w:pPr>
        <w:pStyle w:val="BodyText"/>
        <w:rPr>
          <w:rFonts w:ascii="Times New Roman"/>
          <w:sz w:val="20"/>
        </w:rPr>
      </w:pPr>
      <w:r>
        <w:rPr/>
        <w:pict>
          <v:line style="position:absolute;mso-position-horizontal-relative:page;mso-position-vertical-relative:page;z-index:-262323200" from="298.369995pt,87.150002pt" to="298.369995pt,303.170002pt" stroked="true" strokeweight=".95999pt" strokecolor="#ffffff">
            <v:stroke dashstyle="solid"/>
            <w10:wrap type="none"/>
          </v:line>
        </w:pict>
      </w:r>
      <w:r>
        <w:rPr/>
        <w:pict>
          <v:line style="position:absolute;mso-position-horizontal-relative:page;mso-position-vertical-relative:page;z-index:-262322176" from="298.369995pt,335.690002pt" to="298.369995pt,604.900002pt" stroked="true" strokeweight=".95999pt" strokecolor="#ffffff">
            <v:stroke dashstyle="solid"/>
            <w10:wrap type="none"/>
          </v:line>
        </w:pict>
      </w:r>
    </w:p>
    <w:p>
      <w:pPr>
        <w:pStyle w:val="BodyText"/>
        <w:spacing w:before="6"/>
        <w:rPr>
          <w:rFonts w:ascii="Times New Roman"/>
          <w:sz w:val="25"/>
        </w:rPr>
      </w:pPr>
    </w:p>
    <w:tbl>
      <w:tblPr>
        <w:tblW w:w="0" w:type="auto"/>
        <w:jc w:val="left"/>
        <w:tblInd w:w="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77"/>
        <w:gridCol w:w="4477"/>
      </w:tblGrid>
      <w:tr>
        <w:trPr>
          <w:trHeight w:val="4402" w:hRule="atLeast"/>
        </w:trPr>
        <w:tc>
          <w:tcPr>
            <w:tcW w:w="4577" w:type="dxa"/>
            <w:tcBorders>
              <w:left w:val="single" w:sz="8" w:space="0" w:color="FFFFFF"/>
            </w:tcBorders>
            <w:shd w:val="clear" w:color="auto" w:fill="F1F0CD"/>
          </w:tcPr>
          <w:p>
            <w:pPr>
              <w:pStyle w:val="TableParagraph"/>
              <w:rPr>
                <w:rFonts w:ascii="Times New Roman"/>
                <w:sz w:val="20"/>
              </w:rPr>
            </w:pPr>
          </w:p>
          <w:p>
            <w:pPr>
              <w:pStyle w:val="TableParagraph"/>
              <w:tabs>
                <w:tab w:pos="798" w:val="left" w:leader="none"/>
              </w:tabs>
              <w:spacing w:before="131"/>
              <w:ind w:left="438"/>
              <w:rPr>
                <w:rFonts w:ascii="Corbel" w:hAnsi="Corbel"/>
                <w:sz w:val="20"/>
              </w:rPr>
            </w:pPr>
            <w:r>
              <w:rPr>
                <w:rFonts w:ascii="Corbel" w:hAnsi="Corbel"/>
                <w:smallCaps/>
                <w:color w:val="252525"/>
                <w:spacing w:val="-1"/>
                <w:w w:val="99"/>
                <w:sz w:val="20"/>
              </w:rPr>
              <w:t>2</w:t>
            </w:r>
            <w:r>
              <w:rPr>
                <w:rFonts w:ascii="Corbel" w:hAnsi="Corbel"/>
                <w:smallCaps/>
                <w:color w:val="252525"/>
                <w:w w:val="99"/>
                <w:sz w:val="20"/>
              </w:rPr>
              <w:t>.</w:t>
            </w:r>
            <w:r>
              <w:rPr>
                <w:rFonts w:ascii="Corbel" w:hAnsi="Corbel"/>
                <w:smallCaps w:val="0"/>
                <w:color w:val="252525"/>
                <w:sz w:val="20"/>
              </w:rPr>
              <w:tab/>
            </w:r>
            <w:r>
              <w:rPr>
                <w:rFonts w:ascii="Corbel" w:hAnsi="Corbel"/>
                <w:smallCaps w:val="0"/>
                <w:spacing w:val="-1"/>
                <w:w w:val="99"/>
                <w:sz w:val="20"/>
              </w:rPr>
              <w:t>P</w:t>
            </w:r>
            <w:r>
              <w:rPr>
                <w:rFonts w:ascii="Corbel" w:hAnsi="Corbel"/>
                <w:smallCaps w:val="0"/>
                <w:w w:val="99"/>
                <w:sz w:val="20"/>
              </w:rPr>
              <w:t>re</w:t>
            </w:r>
            <w:r>
              <w:rPr>
                <w:rFonts w:ascii="Corbel" w:hAnsi="Corbel"/>
                <w:smallCaps w:val="0"/>
                <w:spacing w:val="1"/>
                <w:w w:val="99"/>
                <w:sz w:val="20"/>
              </w:rPr>
              <w:t>v</w:t>
            </w:r>
            <w:r>
              <w:rPr>
                <w:rFonts w:ascii="Corbel" w:hAnsi="Corbel"/>
                <w:smallCaps w:val="0"/>
                <w:spacing w:val="-1"/>
                <w:w w:val="99"/>
                <w:sz w:val="20"/>
              </w:rPr>
              <w:t>e</w:t>
            </w:r>
            <w:r>
              <w:rPr>
                <w:rFonts w:ascii="Corbel" w:hAnsi="Corbel"/>
                <w:smallCaps w:val="0"/>
                <w:w w:val="99"/>
                <w:sz w:val="20"/>
              </w:rPr>
              <w:t>n</w:t>
            </w:r>
            <w:r>
              <w:rPr>
                <w:rFonts w:ascii="Corbel" w:hAnsi="Corbel"/>
                <w:smallCaps w:val="0"/>
                <w:spacing w:val="1"/>
                <w:w w:val="99"/>
                <w:sz w:val="20"/>
              </w:rPr>
              <w:t>c</w:t>
            </w:r>
            <w:r>
              <w:rPr>
                <w:rFonts w:ascii="Corbel" w:hAnsi="Corbel"/>
                <w:smallCaps w:val="0"/>
                <w:spacing w:val="-1"/>
                <w:w w:val="99"/>
                <w:sz w:val="20"/>
              </w:rPr>
              <w:t>ió</w:t>
            </w:r>
            <w:r>
              <w:rPr>
                <w:rFonts w:ascii="Corbel" w:hAnsi="Corbel"/>
                <w:smallCaps w:val="0"/>
                <w:w w:val="99"/>
                <w:sz w:val="20"/>
              </w:rPr>
              <w:t>n</w:t>
            </w:r>
            <w:r>
              <w:rPr>
                <w:rFonts w:ascii="Corbel" w:hAnsi="Corbel"/>
                <w:smallCaps w:val="0"/>
                <w:spacing w:val="1"/>
                <w:sz w:val="20"/>
              </w:rPr>
              <w:t> </w:t>
            </w:r>
            <w:r>
              <w:rPr>
                <w:rFonts w:ascii="Corbel" w:hAnsi="Corbel"/>
                <w:smallCaps w:val="0"/>
                <w:w w:val="99"/>
                <w:sz w:val="20"/>
              </w:rPr>
              <w:t>s</w:t>
            </w:r>
            <w:r>
              <w:rPr>
                <w:rFonts w:ascii="Corbel" w:hAnsi="Corbel"/>
                <w:smallCaps w:val="0"/>
                <w:spacing w:val="-1"/>
                <w:w w:val="99"/>
                <w:sz w:val="20"/>
              </w:rPr>
              <w:t>o</w:t>
            </w:r>
            <w:r>
              <w:rPr>
                <w:rFonts w:ascii="Corbel" w:hAnsi="Corbel"/>
                <w:smallCaps w:val="0"/>
                <w:w w:val="99"/>
                <w:sz w:val="20"/>
              </w:rPr>
              <w:t>c</w:t>
            </w:r>
            <w:r>
              <w:rPr>
                <w:rFonts w:ascii="Corbel" w:hAnsi="Corbel"/>
                <w:smallCaps w:val="0"/>
                <w:spacing w:val="-1"/>
                <w:w w:val="99"/>
                <w:sz w:val="20"/>
              </w:rPr>
              <w:t>i</w:t>
            </w:r>
            <w:r>
              <w:rPr>
                <w:rFonts w:ascii="Corbel" w:hAnsi="Corbel"/>
                <w:smallCaps w:val="0"/>
                <w:w w:val="99"/>
                <w:sz w:val="20"/>
              </w:rPr>
              <w:t>al</w:t>
            </w:r>
            <w:r>
              <w:rPr>
                <w:rFonts w:ascii="Corbel" w:hAnsi="Corbel"/>
                <w:smallCaps w:val="0"/>
                <w:sz w:val="20"/>
              </w:rPr>
              <w:t> </w:t>
            </w:r>
            <w:r>
              <w:rPr>
                <w:rFonts w:ascii="Corbel" w:hAnsi="Corbel"/>
                <w:smallCaps w:val="0"/>
                <w:spacing w:val="1"/>
                <w:w w:val="99"/>
                <w:sz w:val="20"/>
              </w:rPr>
              <w:t>d</w:t>
            </w:r>
            <w:r>
              <w:rPr>
                <w:rFonts w:ascii="Corbel" w:hAnsi="Corbel"/>
                <w:smallCaps w:val="0"/>
                <w:w w:val="99"/>
                <w:sz w:val="20"/>
              </w:rPr>
              <w:t>e</w:t>
            </w:r>
            <w:r>
              <w:rPr>
                <w:rFonts w:ascii="Corbel" w:hAnsi="Corbel"/>
                <w:smallCaps w:val="0"/>
                <w:sz w:val="20"/>
              </w:rPr>
              <w:t> </w:t>
            </w:r>
            <w:r>
              <w:rPr>
                <w:rFonts w:ascii="Corbel" w:hAnsi="Corbel"/>
                <w:smallCaps w:val="0"/>
                <w:spacing w:val="-1"/>
                <w:w w:val="99"/>
                <w:sz w:val="20"/>
              </w:rPr>
              <w:t>l</w:t>
            </w:r>
            <w:r>
              <w:rPr>
                <w:rFonts w:ascii="Corbel" w:hAnsi="Corbel"/>
                <w:smallCaps w:val="0"/>
                <w:w w:val="99"/>
                <w:sz w:val="20"/>
              </w:rPr>
              <w:t>as</w:t>
            </w:r>
            <w:r>
              <w:rPr>
                <w:rFonts w:ascii="Corbel" w:hAnsi="Corbel"/>
                <w:smallCaps w:val="0"/>
                <w:spacing w:val="2"/>
                <w:sz w:val="20"/>
              </w:rPr>
              <w:t> </w:t>
            </w:r>
            <w:r>
              <w:rPr>
                <w:rFonts w:ascii="Corbel" w:hAnsi="Corbel"/>
                <w:smallCaps w:val="0"/>
                <w:spacing w:val="-1"/>
                <w:w w:val="99"/>
                <w:sz w:val="20"/>
              </w:rPr>
              <w:t>vi</w:t>
            </w:r>
            <w:r>
              <w:rPr>
                <w:rFonts w:ascii="Corbel" w:hAnsi="Corbel"/>
                <w:smallCaps w:val="0"/>
                <w:spacing w:val="1"/>
                <w:w w:val="99"/>
                <w:sz w:val="20"/>
              </w:rPr>
              <w:t>o</w:t>
            </w:r>
            <w:r>
              <w:rPr>
                <w:rFonts w:ascii="Corbel" w:hAnsi="Corbel"/>
                <w:smallCaps w:val="0"/>
                <w:spacing w:val="-1"/>
                <w:w w:val="99"/>
                <w:sz w:val="20"/>
              </w:rPr>
              <w:t>l</w:t>
            </w:r>
            <w:r>
              <w:rPr>
                <w:rFonts w:ascii="Corbel" w:hAnsi="Corbel"/>
                <w:smallCaps w:val="0"/>
                <w:spacing w:val="1"/>
                <w:w w:val="99"/>
                <w:sz w:val="20"/>
              </w:rPr>
              <w:t>e</w:t>
            </w:r>
            <w:r>
              <w:rPr>
                <w:rFonts w:ascii="Corbel" w:hAnsi="Corbel"/>
                <w:smallCaps w:val="0"/>
                <w:w w:val="99"/>
                <w:sz w:val="20"/>
              </w:rPr>
              <w:t>n</w:t>
            </w:r>
            <w:r>
              <w:rPr>
                <w:rFonts w:ascii="Corbel" w:hAnsi="Corbel"/>
                <w:smallCaps w:val="0"/>
                <w:spacing w:val="-1"/>
                <w:w w:val="99"/>
                <w:sz w:val="20"/>
              </w:rPr>
              <w:t>ci</w:t>
            </w:r>
            <w:r>
              <w:rPr>
                <w:rFonts w:ascii="Corbel" w:hAnsi="Corbel"/>
                <w:smallCaps w:val="0"/>
                <w:w w:val="99"/>
                <w:sz w:val="20"/>
              </w:rPr>
              <w:t>as</w:t>
            </w:r>
          </w:p>
        </w:tc>
        <w:tc>
          <w:tcPr>
            <w:tcW w:w="4477" w:type="dxa"/>
            <w:tcBorders>
              <w:right w:val="single" w:sz="8" w:space="0" w:color="FFFFFF"/>
            </w:tcBorders>
            <w:shd w:val="clear" w:color="auto" w:fill="F0E2BC"/>
          </w:tcPr>
          <w:p>
            <w:pPr>
              <w:pStyle w:val="TableParagraph"/>
              <w:rPr>
                <w:rFonts w:ascii="Times New Roman"/>
                <w:sz w:val="28"/>
              </w:rPr>
            </w:pPr>
          </w:p>
          <w:p>
            <w:pPr>
              <w:pStyle w:val="TableParagraph"/>
              <w:numPr>
                <w:ilvl w:val="0"/>
                <w:numId w:val="33"/>
              </w:numPr>
              <w:tabs>
                <w:tab w:pos="845" w:val="left" w:leader="none"/>
                <w:tab w:pos="846" w:val="left" w:leader="none"/>
              </w:tabs>
              <w:spacing w:line="240" w:lineRule="auto" w:before="0" w:after="0"/>
              <w:ind w:left="845" w:right="56" w:hanging="394"/>
              <w:jc w:val="left"/>
              <w:rPr>
                <w:rFonts w:ascii="Symbol" w:hAnsi="Symbol"/>
                <w:color w:val="252525"/>
                <w:sz w:val="24"/>
              </w:rPr>
            </w:pPr>
            <w:r>
              <w:rPr>
                <w:rFonts w:ascii="Corbel" w:hAnsi="Corbel"/>
                <w:color w:val="252525"/>
                <w:sz w:val="20"/>
              </w:rPr>
              <w:t>Promoción de actividades culturales para la juventud, tanto en la cabecera municipal como en las</w:t>
            </w:r>
            <w:r>
              <w:rPr>
                <w:rFonts w:ascii="Corbel" w:hAnsi="Corbel"/>
                <w:color w:val="252525"/>
                <w:spacing w:val="3"/>
                <w:sz w:val="20"/>
              </w:rPr>
              <w:t> </w:t>
            </w:r>
            <w:r>
              <w:rPr>
                <w:rFonts w:ascii="Corbel" w:hAnsi="Corbel"/>
                <w:color w:val="252525"/>
                <w:sz w:val="20"/>
              </w:rPr>
              <w:t>delegaciones.</w:t>
            </w:r>
          </w:p>
          <w:p>
            <w:pPr>
              <w:pStyle w:val="TableParagraph"/>
              <w:spacing w:before="7"/>
              <w:rPr>
                <w:rFonts w:ascii="Times New Roman"/>
                <w:sz w:val="21"/>
              </w:rPr>
            </w:pPr>
          </w:p>
          <w:p>
            <w:pPr>
              <w:pStyle w:val="TableParagraph"/>
              <w:numPr>
                <w:ilvl w:val="0"/>
                <w:numId w:val="33"/>
              </w:numPr>
              <w:tabs>
                <w:tab w:pos="811" w:val="left" w:leader="none"/>
                <w:tab w:pos="812" w:val="left" w:leader="none"/>
              </w:tabs>
              <w:spacing w:line="273" w:lineRule="auto" w:before="0" w:after="0"/>
              <w:ind w:left="811" w:right="300" w:hanging="361"/>
              <w:jc w:val="left"/>
              <w:rPr>
                <w:rFonts w:ascii="Symbol" w:hAnsi="Symbol"/>
                <w:color w:val="252525"/>
                <w:sz w:val="20"/>
              </w:rPr>
            </w:pPr>
            <w:r>
              <w:rPr>
                <w:rFonts w:ascii="Corbel" w:hAnsi="Corbel"/>
                <w:color w:val="252525"/>
                <w:sz w:val="20"/>
              </w:rPr>
              <w:t>Talleres de empoderamiento para las mujeres y de reeducación en nuevas masculinidades para hombres</w:t>
            </w:r>
            <w:r>
              <w:rPr>
                <w:rFonts w:ascii="Corbel" w:hAnsi="Corbel"/>
                <w:color w:val="252525"/>
                <w:spacing w:val="-13"/>
                <w:sz w:val="20"/>
              </w:rPr>
              <w:t> </w:t>
            </w:r>
            <w:r>
              <w:rPr>
                <w:rFonts w:ascii="Corbel" w:hAnsi="Corbel"/>
                <w:color w:val="252525"/>
                <w:sz w:val="20"/>
              </w:rPr>
              <w:t>agresores.</w:t>
            </w:r>
          </w:p>
          <w:p>
            <w:pPr>
              <w:pStyle w:val="TableParagraph"/>
              <w:spacing w:before="11"/>
              <w:rPr>
                <w:rFonts w:ascii="Times New Roman"/>
                <w:sz w:val="24"/>
              </w:rPr>
            </w:pPr>
          </w:p>
          <w:p>
            <w:pPr>
              <w:pStyle w:val="TableParagraph"/>
              <w:numPr>
                <w:ilvl w:val="0"/>
                <w:numId w:val="33"/>
              </w:numPr>
              <w:tabs>
                <w:tab w:pos="811" w:val="left" w:leader="none"/>
                <w:tab w:pos="812" w:val="left" w:leader="none"/>
              </w:tabs>
              <w:spacing w:line="276" w:lineRule="auto" w:before="0" w:after="0"/>
              <w:ind w:left="811" w:right="180" w:hanging="361"/>
              <w:jc w:val="left"/>
              <w:rPr>
                <w:rFonts w:ascii="Symbol" w:hAnsi="Symbol"/>
                <w:color w:val="252525"/>
                <w:sz w:val="20"/>
              </w:rPr>
            </w:pPr>
            <w:r>
              <w:rPr>
                <w:rFonts w:ascii="Corbel" w:hAnsi="Corbel"/>
                <w:color w:val="252525"/>
                <w:sz w:val="20"/>
              </w:rPr>
              <w:t>Trabajo Intensivo con los jóvenes del municipio a través de la constitución de grupos artísticos, grafitti artístico,</w:t>
            </w:r>
            <w:r>
              <w:rPr>
                <w:rFonts w:ascii="Corbel" w:hAnsi="Corbel"/>
                <w:color w:val="252525"/>
                <w:spacing w:val="-23"/>
                <w:sz w:val="20"/>
              </w:rPr>
              <w:t> </w:t>
            </w:r>
            <w:r>
              <w:rPr>
                <w:rFonts w:ascii="Corbel" w:hAnsi="Corbel"/>
                <w:color w:val="252525"/>
                <w:sz w:val="20"/>
              </w:rPr>
              <w:t>pintura, danza y</w:t>
            </w:r>
            <w:r>
              <w:rPr>
                <w:rFonts w:ascii="Corbel" w:hAnsi="Corbel"/>
                <w:color w:val="252525"/>
                <w:spacing w:val="2"/>
                <w:sz w:val="20"/>
              </w:rPr>
              <w:t> </w:t>
            </w:r>
            <w:r>
              <w:rPr>
                <w:rFonts w:ascii="Corbel" w:hAnsi="Corbel"/>
                <w:color w:val="252525"/>
                <w:sz w:val="20"/>
              </w:rPr>
              <w:t>deporte.</w:t>
            </w:r>
          </w:p>
        </w:tc>
      </w:tr>
    </w:tbl>
    <w:p>
      <w:pPr>
        <w:pStyle w:val="BodyText"/>
        <w:rPr>
          <w:rFonts w:ascii="Times New Roman"/>
          <w:sz w:val="20"/>
        </w:rPr>
      </w:pPr>
    </w:p>
    <w:p>
      <w:pPr>
        <w:pStyle w:val="BodyText"/>
        <w:spacing w:before="5"/>
        <w:rPr>
          <w:rFonts w:ascii="Times New Roman"/>
          <w:sz w:val="29"/>
        </w:rPr>
      </w:pPr>
    </w:p>
    <w:tbl>
      <w:tblPr>
        <w:tblW w:w="0" w:type="auto"/>
        <w:jc w:val="left"/>
        <w:tblInd w:w="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77"/>
        <w:gridCol w:w="4477"/>
      </w:tblGrid>
      <w:tr>
        <w:trPr>
          <w:trHeight w:val="5465" w:hRule="atLeast"/>
        </w:trPr>
        <w:tc>
          <w:tcPr>
            <w:tcW w:w="4577" w:type="dxa"/>
            <w:tcBorders>
              <w:left w:val="single" w:sz="8" w:space="0" w:color="FFFFFF"/>
            </w:tcBorders>
            <w:shd w:val="clear" w:color="auto" w:fill="F1F0CD"/>
          </w:tcPr>
          <w:p>
            <w:pPr>
              <w:pStyle w:val="TableParagraph"/>
              <w:rPr>
                <w:rFonts w:ascii="Times New Roman"/>
                <w:sz w:val="20"/>
              </w:rPr>
            </w:pPr>
          </w:p>
          <w:p>
            <w:pPr>
              <w:pStyle w:val="TableParagraph"/>
              <w:tabs>
                <w:tab w:pos="798" w:val="left" w:leader="none"/>
              </w:tabs>
              <w:spacing w:before="131"/>
              <w:ind w:left="438"/>
              <w:rPr>
                <w:rFonts w:ascii="Corbel"/>
                <w:sz w:val="20"/>
              </w:rPr>
            </w:pPr>
            <w:r>
              <w:rPr>
                <w:rFonts w:ascii="Corbel"/>
                <w:color w:val="252525"/>
                <w:sz w:val="20"/>
              </w:rPr>
              <w:t>3.</w:t>
              <w:tab/>
            </w:r>
            <w:r>
              <w:rPr>
                <w:rFonts w:ascii="Corbel"/>
                <w:sz w:val="20"/>
              </w:rPr>
              <w:t>Combate a la</w:t>
            </w:r>
            <w:r>
              <w:rPr>
                <w:rFonts w:ascii="Corbel"/>
                <w:spacing w:val="2"/>
                <w:sz w:val="20"/>
              </w:rPr>
              <w:t> </w:t>
            </w:r>
            <w:r>
              <w:rPr>
                <w:rFonts w:ascii="Corbel"/>
                <w:sz w:val="20"/>
              </w:rPr>
              <w:t>pobreza</w:t>
            </w:r>
          </w:p>
        </w:tc>
        <w:tc>
          <w:tcPr>
            <w:tcW w:w="4477" w:type="dxa"/>
            <w:tcBorders>
              <w:right w:val="single" w:sz="8" w:space="0" w:color="FFFFFF"/>
            </w:tcBorders>
            <w:shd w:val="clear" w:color="auto" w:fill="F0E2BC"/>
          </w:tcPr>
          <w:p>
            <w:pPr>
              <w:pStyle w:val="TableParagraph"/>
              <w:spacing w:before="3"/>
              <w:rPr>
                <w:rFonts w:ascii="Times New Roman"/>
                <w:sz w:val="28"/>
              </w:rPr>
            </w:pPr>
          </w:p>
          <w:p>
            <w:pPr>
              <w:pStyle w:val="TableParagraph"/>
              <w:numPr>
                <w:ilvl w:val="0"/>
                <w:numId w:val="34"/>
              </w:numPr>
              <w:tabs>
                <w:tab w:pos="845" w:val="left" w:leader="none"/>
                <w:tab w:pos="846" w:val="left" w:leader="none"/>
              </w:tabs>
              <w:spacing w:line="240" w:lineRule="auto" w:before="0" w:after="0"/>
              <w:ind w:left="845" w:right="62" w:hanging="394"/>
              <w:jc w:val="left"/>
              <w:rPr>
                <w:rFonts w:ascii="Symbol" w:hAnsi="Symbol"/>
                <w:color w:val="252525"/>
                <w:sz w:val="24"/>
              </w:rPr>
            </w:pPr>
            <w:r>
              <w:rPr>
                <w:rFonts w:ascii="Corbel" w:hAnsi="Corbel"/>
                <w:color w:val="252525"/>
                <w:sz w:val="20"/>
              </w:rPr>
              <w:t>Gestionar con el Instituto para la</w:t>
            </w:r>
            <w:r>
              <w:rPr>
                <w:rFonts w:ascii="Corbel" w:hAnsi="Corbel"/>
                <w:color w:val="252525"/>
                <w:spacing w:val="-23"/>
                <w:sz w:val="20"/>
              </w:rPr>
              <w:t> </w:t>
            </w:r>
            <w:r>
              <w:rPr>
                <w:rFonts w:ascii="Corbel" w:hAnsi="Corbel"/>
                <w:color w:val="252525"/>
                <w:sz w:val="20"/>
              </w:rPr>
              <w:t>Educación de Jóvenes y Adultos (INEEJAD) la certifi- cación de educación básica para personas con rezago educativo en el</w:t>
            </w:r>
            <w:r>
              <w:rPr>
                <w:rFonts w:ascii="Corbel" w:hAnsi="Corbel"/>
                <w:color w:val="252525"/>
                <w:spacing w:val="-5"/>
                <w:sz w:val="20"/>
              </w:rPr>
              <w:t> </w:t>
            </w:r>
            <w:r>
              <w:rPr>
                <w:rFonts w:ascii="Corbel" w:hAnsi="Corbel"/>
                <w:color w:val="252525"/>
                <w:sz w:val="20"/>
              </w:rPr>
              <w:t>municipio.</w:t>
            </w:r>
          </w:p>
          <w:p>
            <w:pPr>
              <w:pStyle w:val="TableParagraph"/>
              <w:spacing w:before="5"/>
              <w:rPr>
                <w:rFonts w:ascii="Times New Roman"/>
                <w:sz w:val="21"/>
              </w:rPr>
            </w:pPr>
          </w:p>
          <w:p>
            <w:pPr>
              <w:pStyle w:val="TableParagraph"/>
              <w:numPr>
                <w:ilvl w:val="0"/>
                <w:numId w:val="34"/>
              </w:numPr>
              <w:tabs>
                <w:tab w:pos="811" w:val="left" w:leader="none"/>
                <w:tab w:pos="812" w:val="left" w:leader="none"/>
              </w:tabs>
              <w:spacing w:line="240" w:lineRule="auto" w:before="0" w:after="0"/>
              <w:ind w:left="811" w:right="344" w:hanging="361"/>
              <w:jc w:val="left"/>
              <w:rPr>
                <w:rFonts w:ascii="Symbol" w:hAnsi="Symbol"/>
                <w:color w:val="252525"/>
                <w:sz w:val="20"/>
              </w:rPr>
            </w:pPr>
            <w:r>
              <w:rPr>
                <w:rFonts w:ascii="Corbel" w:hAnsi="Corbel"/>
                <w:color w:val="252525"/>
                <w:sz w:val="20"/>
              </w:rPr>
              <w:t>Llegar a 5 comedores comunitario en las zonas de mayor rezago del</w:t>
            </w:r>
            <w:r>
              <w:rPr>
                <w:rFonts w:ascii="Corbel" w:hAnsi="Corbel"/>
                <w:color w:val="252525"/>
                <w:spacing w:val="-6"/>
                <w:sz w:val="20"/>
              </w:rPr>
              <w:t> </w:t>
            </w:r>
            <w:r>
              <w:rPr>
                <w:rFonts w:ascii="Corbel" w:hAnsi="Corbel"/>
                <w:color w:val="252525"/>
                <w:sz w:val="20"/>
              </w:rPr>
              <w:t>municipio.</w:t>
            </w:r>
          </w:p>
          <w:p>
            <w:pPr>
              <w:pStyle w:val="TableParagraph"/>
              <w:spacing w:before="1"/>
              <w:rPr>
                <w:rFonts w:ascii="Times New Roman"/>
                <w:sz w:val="21"/>
              </w:rPr>
            </w:pPr>
          </w:p>
          <w:p>
            <w:pPr>
              <w:pStyle w:val="TableParagraph"/>
              <w:numPr>
                <w:ilvl w:val="0"/>
                <w:numId w:val="34"/>
              </w:numPr>
              <w:tabs>
                <w:tab w:pos="812" w:val="left" w:leader="none"/>
              </w:tabs>
              <w:spacing w:line="240" w:lineRule="auto" w:before="0" w:after="0"/>
              <w:ind w:left="811" w:right="122" w:hanging="361"/>
              <w:jc w:val="both"/>
              <w:rPr>
                <w:rFonts w:ascii="Symbol" w:hAnsi="Symbol"/>
                <w:color w:val="252525"/>
                <w:sz w:val="20"/>
              </w:rPr>
            </w:pPr>
            <w:r>
              <w:rPr>
                <w:rFonts w:ascii="Corbel" w:hAnsi="Corbel"/>
                <w:color w:val="252525"/>
                <w:sz w:val="20"/>
              </w:rPr>
              <w:t>Rehabilitación de viviendas en acciones</w:t>
            </w:r>
            <w:r>
              <w:rPr>
                <w:rFonts w:ascii="Corbel" w:hAnsi="Corbel"/>
                <w:color w:val="252525"/>
                <w:spacing w:val="-21"/>
                <w:sz w:val="20"/>
              </w:rPr>
              <w:t> </w:t>
            </w:r>
            <w:r>
              <w:rPr>
                <w:rFonts w:ascii="Corbel" w:hAnsi="Corbel"/>
                <w:color w:val="252525"/>
                <w:sz w:val="20"/>
              </w:rPr>
              <w:t>de: Techos</w:t>
            </w:r>
          </w:p>
          <w:p>
            <w:pPr>
              <w:pStyle w:val="TableParagraph"/>
              <w:ind w:left="811" w:right="2978"/>
              <w:jc w:val="both"/>
              <w:rPr>
                <w:rFonts w:ascii="Corbel"/>
                <w:sz w:val="20"/>
              </w:rPr>
            </w:pPr>
            <w:r>
              <w:rPr>
                <w:rFonts w:ascii="Corbel"/>
                <w:color w:val="252525"/>
                <w:w w:val="95"/>
                <w:sz w:val="20"/>
              </w:rPr>
              <w:t>Enjarres </w:t>
            </w:r>
            <w:r>
              <w:rPr>
                <w:rFonts w:ascii="Corbel"/>
                <w:color w:val="252525"/>
                <w:sz w:val="20"/>
              </w:rPr>
              <w:t>Cocinas Pisos</w:t>
            </w:r>
          </w:p>
          <w:p>
            <w:pPr>
              <w:pStyle w:val="TableParagraph"/>
              <w:spacing w:line="244" w:lineRule="exact"/>
              <w:ind w:left="811"/>
              <w:jc w:val="both"/>
              <w:rPr>
                <w:rFonts w:ascii="Corbel"/>
                <w:sz w:val="20"/>
              </w:rPr>
            </w:pPr>
            <w:r>
              <w:rPr>
                <w:rFonts w:ascii="Corbel"/>
                <w:color w:val="252525"/>
                <w:sz w:val="20"/>
              </w:rPr>
              <w:t>Agua potable y drenaje</w:t>
            </w:r>
          </w:p>
        </w:tc>
      </w:tr>
    </w:tbl>
    <w:p>
      <w:pPr>
        <w:spacing w:after="0" w:line="244" w:lineRule="exact"/>
        <w:jc w:val="both"/>
        <w:rPr>
          <w:rFonts w:ascii="Corbel"/>
          <w:sz w:val="20"/>
        </w:rPr>
        <w:sectPr>
          <w:pgSz w:w="12240" w:h="15840"/>
          <w:pgMar w:header="178" w:footer="1076" w:top="1120" w:bottom="1340" w:left="460" w:right="220"/>
        </w:sectPr>
      </w:pPr>
    </w:p>
    <w:p>
      <w:pPr>
        <w:pStyle w:val="BodyText"/>
        <w:rPr>
          <w:rFonts w:ascii="Times New Roman"/>
          <w:sz w:val="20"/>
        </w:rPr>
      </w:pPr>
      <w:r>
        <w:rPr/>
        <w:pict>
          <v:line style="position:absolute;mso-position-horizontal-relative:page;mso-position-vertical-relative:page;z-index:-262321152" from="298.369995pt,87.139999pt" to="298.369995pt,210.979999pt" stroked="true" strokeweight=".95999pt" strokecolor="#ffffff">
            <v:stroke dashstyle="solid"/>
            <w10:wrap type="none"/>
          </v:line>
        </w:pict>
      </w:r>
      <w:r>
        <w:rPr/>
        <w:pict>
          <v:line style="position:absolute;mso-position-horizontal-relative:page;mso-position-vertical-relative:page;z-index:-262320128" from="298.369995pt,231.270004pt" to="298.369995pt,375.530004pt" stroked="true" strokeweight=".95999pt" strokecolor="#ffffff">
            <v:stroke dashstyle="solid"/>
            <w10:wrap type="none"/>
          </v:line>
        </w:pict>
      </w:r>
    </w:p>
    <w:p>
      <w:pPr>
        <w:pStyle w:val="BodyText"/>
        <w:spacing w:before="6"/>
        <w:rPr>
          <w:rFonts w:ascii="Times New Roman"/>
          <w:sz w:val="25"/>
        </w:rPr>
      </w:pPr>
    </w:p>
    <w:tbl>
      <w:tblPr>
        <w:tblW w:w="0" w:type="auto"/>
        <w:jc w:val="left"/>
        <w:tblInd w:w="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77"/>
        <w:gridCol w:w="4477"/>
      </w:tblGrid>
      <w:tr>
        <w:trPr>
          <w:trHeight w:val="2558" w:hRule="atLeast"/>
        </w:trPr>
        <w:tc>
          <w:tcPr>
            <w:tcW w:w="4577" w:type="dxa"/>
            <w:tcBorders>
              <w:left w:val="single" w:sz="8" w:space="0" w:color="FFFFFF"/>
            </w:tcBorders>
            <w:shd w:val="clear" w:color="auto" w:fill="F1F0CD"/>
          </w:tcPr>
          <w:p>
            <w:pPr>
              <w:pStyle w:val="TableParagraph"/>
              <w:rPr>
                <w:rFonts w:ascii="Times New Roman"/>
                <w:sz w:val="20"/>
              </w:rPr>
            </w:pPr>
          </w:p>
          <w:p>
            <w:pPr>
              <w:pStyle w:val="TableParagraph"/>
              <w:tabs>
                <w:tab w:pos="798" w:val="left" w:leader="none"/>
              </w:tabs>
              <w:spacing w:before="131"/>
              <w:ind w:left="438"/>
              <w:rPr>
                <w:rFonts w:ascii="Corbel"/>
                <w:sz w:val="20"/>
              </w:rPr>
            </w:pPr>
            <w:r>
              <w:rPr>
                <w:rFonts w:ascii="Corbel"/>
                <w:color w:val="252525"/>
                <w:sz w:val="20"/>
              </w:rPr>
              <w:t>4.</w:t>
              <w:tab/>
            </w:r>
            <w:r>
              <w:rPr>
                <w:rFonts w:ascii="Corbel"/>
                <w:sz w:val="20"/>
              </w:rPr>
              <w:t>Vivienda</w:t>
            </w:r>
          </w:p>
        </w:tc>
        <w:tc>
          <w:tcPr>
            <w:tcW w:w="4477" w:type="dxa"/>
            <w:tcBorders>
              <w:right w:val="single" w:sz="8" w:space="0" w:color="FFFFFF"/>
            </w:tcBorders>
            <w:shd w:val="clear" w:color="auto" w:fill="F0E2BC"/>
          </w:tcPr>
          <w:p>
            <w:pPr>
              <w:pStyle w:val="TableParagraph"/>
              <w:rPr>
                <w:rFonts w:ascii="Times New Roman"/>
                <w:sz w:val="28"/>
              </w:rPr>
            </w:pPr>
          </w:p>
          <w:p>
            <w:pPr>
              <w:pStyle w:val="TableParagraph"/>
              <w:numPr>
                <w:ilvl w:val="0"/>
                <w:numId w:val="35"/>
              </w:numPr>
              <w:tabs>
                <w:tab w:pos="845" w:val="left" w:leader="none"/>
                <w:tab w:pos="846" w:val="left" w:leader="none"/>
              </w:tabs>
              <w:spacing w:line="240" w:lineRule="auto" w:before="0" w:after="0"/>
              <w:ind w:left="845" w:right="327" w:hanging="394"/>
              <w:jc w:val="left"/>
              <w:rPr>
                <w:rFonts w:ascii="Symbol" w:hAnsi="Symbol"/>
                <w:color w:val="252525"/>
                <w:sz w:val="24"/>
              </w:rPr>
            </w:pPr>
            <w:r>
              <w:rPr>
                <w:rFonts w:ascii="Corbel" w:hAnsi="Corbel"/>
                <w:color w:val="252525"/>
                <w:sz w:val="20"/>
              </w:rPr>
              <w:t>Trabajar en conjunto con la PRODEUR e INSUS para la regularización de fraccionamientos.</w:t>
            </w:r>
          </w:p>
          <w:p>
            <w:pPr>
              <w:pStyle w:val="TableParagraph"/>
              <w:spacing w:before="7"/>
              <w:rPr>
                <w:rFonts w:ascii="Times New Roman"/>
                <w:sz w:val="21"/>
              </w:rPr>
            </w:pPr>
          </w:p>
          <w:p>
            <w:pPr>
              <w:pStyle w:val="TableParagraph"/>
              <w:numPr>
                <w:ilvl w:val="0"/>
                <w:numId w:val="35"/>
              </w:numPr>
              <w:tabs>
                <w:tab w:pos="811" w:val="left" w:leader="none"/>
                <w:tab w:pos="812" w:val="left" w:leader="none"/>
              </w:tabs>
              <w:spacing w:line="240" w:lineRule="auto" w:before="0" w:after="0"/>
              <w:ind w:left="811" w:right="141" w:hanging="361"/>
              <w:jc w:val="left"/>
              <w:rPr>
                <w:rFonts w:ascii="Symbol" w:hAnsi="Symbol"/>
                <w:color w:val="252525"/>
                <w:sz w:val="20"/>
              </w:rPr>
            </w:pPr>
            <w:r>
              <w:rPr>
                <w:rFonts w:ascii="Corbel" w:hAnsi="Corbel"/>
                <w:color w:val="252525"/>
                <w:sz w:val="20"/>
              </w:rPr>
              <w:t>Gestionar con la CONAVI proyectos que impulsen la construcción de vivienda</w:t>
            </w:r>
            <w:r>
              <w:rPr>
                <w:rFonts w:ascii="Corbel" w:hAnsi="Corbel"/>
                <w:color w:val="252525"/>
                <w:spacing w:val="-17"/>
                <w:sz w:val="20"/>
              </w:rPr>
              <w:t> </w:t>
            </w:r>
            <w:r>
              <w:rPr>
                <w:rFonts w:ascii="Corbel" w:hAnsi="Corbel"/>
                <w:color w:val="252525"/>
                <w:sz w:val="20"/>
              </w:rPr>
              <w:t>social nueva en el</w:t>
            </w:r>
            <w:r>
              <w:rPr>
                <w:rFonts w:ascii="Corbel" w:hAnsi="Corbel"/>
                <w:color w:val="252525"/>
                <w:spacing w:val="1"/>
                <w:sz w:val="20"/>
              </w:rPr>
              <w:t> </w:t>
            </w:r>
            <w:r>
              <w:rPr>
                <w:rFonts w:ascii="Corbel" w:hAnsi="Corbel"/>
                <w:color w:val="252525"/>
                <w:sz w:val="20"/>
              </w:rPr>
              <w:t>municipio.</w:t>
            </w:r>
          </w:p>
        </w:tc>
      </w:tr>
    </w:tbl>
    <w:p>
      <w:pPr>
        <w:pStyle w:val="BodyText"/>
        <w:spacing w:before="2"/>
        <w:rPr>
          <w:rFonts w:ascii="Times New Roman"/>
          <w:sz w:val="28"/>
        </w:rPr>
      </w:pPr>
    </w:p>
    <w:tbl>
      <w:tblPr>
        <w:tblW w:w="0" w:type="auto"/>
        <w:jc w:val="left"/>
        <w:tblInd w:w="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77"/>
        <w:gridCol w:w="4477"/>
      </w:tblGrid>
      <w:tr>
        <w:trPr>
          <w:trHeight w:val="2966" w:hRule="atLeast"/>
        </w:trPr>
        <w:tc>
          <w:tcPr>
            <w:tcW w:w="4577" w:type="dxa"/>
            <w:tcBorders>
              <w:left w:val="single" w:sz="8" w:space="0" w:color="FFFFFF"/>
            </w:tcBorders>
            <w:shd w:val="clear" w:color="auto" w:fill="F1F0CD"/>
          </w:tcPr>
          <w:p>
            <w:pPr>
              <w:pStyle w:val="TableParagraph"/>
              <w:rPr>
                <w:rFonts w:ascii="Times New Roman"/>
                <w:sz w:val="20"/>
              </w:rPr>
            </w:pPr>
          </w:p>
          <w:p>
            <w:pPr>
              <w:pStyle w:val="TableParagraph"/>
              <w:tabs>
                <w:tab w:pos="798" w:val="left" w:leader="none"/>
              </w:tabs>
              <w:spacing w:before="132"/>
              <w:ind w:left="438"/>
              <w:rPr>
                <w:rFonts w:ascii="Corbel" w:hAnsi="Corbel"/>
                <w:sz w:val="20"/>
              </w:rPr>
            </w:pPr>
            <w:r>
              <w:rPr>
                <w:rFonts w:ascii="Corbel" w:hAnsi="Corbel"/>
                <w:color w:val="252525"/>
                <w:sz w:val="20"/>
              </w:rPr>
              <w:t>5.</w:t>
              <w:tab/>
            </w:r>
            <w:r>
              <w:rPr>
                <w:rFonts w:ascii="Corbel" w:hAnsi="Corbel"/>
                <w:sz w:val="20"/>
              </w:rPr>
              <w:t>Prevención de Accidentes</w:t>
            </w:r>
          </w:p>
        </w:tc>
        <w:tc>
          <w:tcPr>
            <w:tcW w:w="4477" w:type="dxa"/>
            <w:tcBorders>
              <w:right w:val="single" w:sz="8" w:space="0" w:color="FFFFFF"/>
            </w:tcBorders>
            <w:shd w:val="clear" w:color="auto" w:fill="F0E2BC"/>
          </w:tcPr>
          <w:p>
            <w:pPr>
              <w:pStyle w:val="TableParagraph"/>
              <w:spacing w:before="4"/>
              <w:rPr>
                <w:rFonts w:ascii="Times New Roman"/>
                <w:sz w:val="28"/>
              </w:rPr>
            </w:pPr>
          </w:p>
          <w:p>
            <w:pPr>
              <w:pStyle w:val="TableParagraph"/>
              <w:numPr>
                <w:ilvl w:val="0"/>
                <w:numId w:val="36"/>
              </w:numPr>
              <w:tabs>
                <w:tab w:pos="811" w:val="left" w:leader="none"/>
                <w:tab w:pos="812" w:val="left" w:leader="none"/>
              </w:tabs>
              <w:spacing w:line="240" w:lineRule="auto" w:before="1" w:after="0"/>
              <w:ind w:left="811" w:right="334" w:hanging="361"/>
              <w:jc w:val="left"/>
              <w:rPr>
                <w:rFonts w:ascii="Symbol" w:hAnsi="Symbol"/>
                <w:color w:val="252525"/>
                <w:sz w:val="20"/>
              </w:rPr>
            </w:pPr>
            <w:r>
              <w:rPr>
                <w:rFonts w:ascii="Corbel" w:hAnsi="Corbel"/>
                <w:color w:val="252525"/>
                <w:sz w:val="20"/>
              </w:rPr>
              <w:t>Campaña de educación vial dirigida a jóvenes del municipio sobre medidas de seguridad y prevención de accidentes</w:t>
            </w:r>
            <w:r>
              <w:rPr>
                <w:rFonts w:ascii="Corbel" w:hAnsi="Corbel"/>
                <w:color w:val="252525"/>
                <w:spacing w:val="-15"/>
                <w:sz w:val="20"/>
              </w:rPr>
              <w:t> </w:t>
            </w:r>
            <w:r>
              <w:rPr>
                <w:rFonts w:ascii="Corbel" w:hAnsi="Corbel"/>
                <w:color w:val="252525"/>
                <w:sz w:val="20"/>
              </w:rPr>
              <w:t>en motocicleta.</w:t>
            </w:r>
          </w:p>
          <w:p>
            <w:pPr>
              <w:pStyle w:val="TableParagraph"/>
              <w:spacing w:before="3"/>
              <w:rPr>
                <w:rFonts w:ascii="Times New Roman"/>
                <w:sz w:val="21"/>
              </w:rPr>
            </w:pPr>
          </w:p>
          <w:p>
            <w:pPr>
              <w:pStyle w:val="TableParagraph"/>
              <w:numPr>
                <w:ilvl w:val="0"/>
                <w:numId w:val="36"/>
              </w:numPr>
              <w:tabs>
                <w:tab w:pos="845" w:val="left" w:leader="none"/>
                <w:tab w:pos="846" w:val="left" w:leader="none"/>
              </w:tabs>
              <w:spacing w:line="268" w:lineRule="auto" w:before="0" w:after="0"/>
              <w:ind w:left="845" w:right="328" w:hanging="394"/>
              <w:jc w:val="left"/>
              <w:rPr>
                <w:rFonts w:ascii="Symbol" w:hAnsi="Symbol"/>
                <w:color w:val="252525"/>
                <w:sz w:val="24"/>
              </w:rPr>
            </w:pPr>
            <w:r>
              <w:rPr>
                <w:rFonts w:ascii="Corbel" w:hAnsi="Corbel"/>
                <w:color w:val="252525"/>
                <w:sz w:val="20"/>
              </w:rPr>
              <w:t>Cursos gratuitos de manejo seguro en el municipio.</w:t>
            </w:r>
          </w:p>
        </w:tc>
      </w:tr>
    </w:tbl>
    <w:p>
      <w:pPr>
        <w:spacing w:after="0" w:line="268" w:lineRule="auto"/>
        <w:jc w:val="left"/>
        <w:rPr>
          <w:rFonts w:ascii="Symbol" w:hAnsi="Symbol"/>
          <w:sz w:val="24"/>
        </w:rPr>
        <w:sectPr>
          <w:pgSz w:w="12240" w:h="15840"/>
          <w:pgMar w:header="178" w:footer="1076" w:top="1120" w:bottom="1340" w:left="460" w:right="220"/>
        </w:sectPr>
      </w:pPr>
    </w:p>
    <w:p>
      <w:pPr>
        <w:pStyle w:val="BodyText"/>
        <w:rPr>
          <w:rFonts w:ascii="Times New Roman"/>
          <w:sz w:val="20"/>
        </w:rPr>
      </w:pPr>
    </w:p>
    <w:p>
      <w:pPr>
        <w:spacing w:before="271" w:after="23"/>
        <w:ind w:left="901" w:right="0" w:firstLine="0"/>
        <w:jc w:val="left"/>
        <w:rPr>
          <w:rFonts w:ascii="Tw Cen MT Condensed Extra Bold"/>
          <w:sz w:val="66"/>
        </w:rPr>
      </w:pPr>
      <w:r>
        <w:rPr/>
        <w:pict>
          <v:group style="position:absolute;margin-left:69.503998pt;margin-top:50.400517pt;width:217pt;height:109.1pt;mso-position-horizontal-relative:page;mso-position-vertical-relative:paragraph;z-index:-262319104" coordorigin="1390,1008" coordsize="4340,2182">
            <v:shape style="position:absolute;left:1399;top:1089;width:4321;height:2098" coordorigin="1400,1090" coordsize="4321,2098" path="m5720,1090l5650,1090,1469,1090,1400,1090,1400,3187,5720,3187,5720,1090e" filled="true" fillcolor="#365f91" stroked="false">
              <v:path arrowok="t"/>
              <v:fill type="solid"/>
            </v:shape>
            <v:shape style="position:absolute;left:1390;top:1008;width:4340;height:2182" coordorigin="1390,1008" coordsize="4340,2182" path="m5720,1008l1400,1008,1400,1090,5720,1090,5720,1008m5730,3110l1390,3110,1390,3190,5730,3190,5730,3110e" filled="true" fillcolor="#365f91" stroked="false">
              <v:path arrowok="t"/>
              <v:fill type="solid"/>
            </v:shape>
            <w10:wrap type="none"/>
          </v:group>
        </w:pict>
      </w:r>
      <w:r>
        <w:rPr/>
        <w:drawing>
          <wp:anchor distT="0" distB="0" distL="0" distR="0" allowOverlap="1" layoutInCell="1" locked="0" behindDoc="0" simplePos="0" relativeHeight="251715584">
            <wp:simplePos x="0" y="0"/>
            <wp:positionH relativeFrom="page">
              <wp:posOffset>4831395</wp:posOffset>
            </wp:positionH>
            <wp:positionV relativeFrom="paragraph">
              <wp:posOffset>-140128</wp:posOffset>
            </wp:positionV>
            <wp:extent cx="458101" cy="653088"/>
            <wp:effectExtent l="0" t="0" r="0" b="0"/>
            <wp:wrapNone/>
            <wp:docPr id="23" name="image29.png"/>
            <wp:cNvGraphicFramePr>
              <a:graphicFrameLocks noChangeAspect="1"/>
            </wp:cNvGraphicFramePr>
            <a:graphic>
              <a:graphicData uri="http://schemas.openxmlformats.org/drawingml/2006/picture">
                <pic:pic>
                  <pic:nvPicPr>
                    <pic:cNvPr id="24" name="image29.png"/>
                    <pic:cNvPicPr/>
                  </pic:nvPicPr>
                  <pic:blipFill>
                    <a:blip r:embed="rId39" cstate="print"/>
                    <a:stretch>
                      <a:fillRect/>
                    </a:stretch>
                  </pic:blipFill>
                  <pic:spPr>
                    <a:xfrm>
                      <a:off x="0" y="0"/>
                      <a:ext cx="458101" cy="653088"/>
                    </a:xfrm>
                    <a:prstGeom prst="rect">
                      <a:avLst/>
                    </a:prstGeom>
                  </pic:spPr>
                </pic:pic>
              </a:graphicData>
            </a:graphic>
          </wp:anchor>
        </w:drawing>
      </w:r>
      <w:r>
        <w:rPr>
          <w:rFonts w:ascii="Tw Cen MT Condensed Extra Bold"/>
          <w:color w:val="365F91"/>
          <w:sz w:val="66"/>
        </w:rPr>
        <w:t>Seguridad</w:t>
      </w: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340"/>
        <w:gridCol w:w="4256"/>
      </w:tblGrid>
      <w:tr>
        <w:trPr>
          <w:trHeight w:val="2181" w:hRule="atLeast"/>
        </w:trPr>
        <w:tc>
          <w:tcPr>
            <w:tcW w:w="4340" w:type="dxa"/>
            <w:tcBorders>
              <w:top w:val="nil"/>
              <w:bottom w:val="single" w:sz="24" w:space="0" w:color="FFFFFF"/>
            </w:tcBorders>
            <w:shd w:val="clear" w:color="auto" w:fill="365F91"/>
          </w:tcPr>
          <w:p>
            <w:pPr>
              <w:pStyle w:val="TableParagraph"/>
              <w:spacing w:before="5"/>
              <w:rPr>
                <w:rFonts w:ascii="Tw Cen MT Condensed Extra Bold"/>
                <w:sz w:val="61"/>
              </w:rPr>
            </w:pPr>
          </w:p>
          <w:p>
            <w:pPr>
              <w:pStyle w:val="TableParagraph"/>
              <w:ind w:left="1204"/>
              <w:rPr>
                <w:rFonts w:ascii="Corbel"/>
                <w:sz w:val="48"/>
              </w:rPr>
            </w:pPr>
            <w:r>
              <w:rPr>
                <w:rFonts w:ascii="Corbel"/>
                <w:color w:val="FFFFFF"/>
                <w:sz w:val="48"/>
              </w:rPr>
              <w:t>Problema</w:t>
            </w:r>
          </w:p>
        </w:tc>
        <w:tc>
          <w:tcPr>
            <w:tcW w:w="4256" w:type="dxa"/>
            <w:tcBorders>
              <w:top w:val="nil"/>
              <w:bottom w:val="single" w:sz="24" w:space="0" w:color="FFFFFF"/>
            </w:tcBorders>
            <w:shd w:val="clear" w:color="auto" w:fill="17365D"/>
          </w:tcPr>
          <w:p>
            <w:pPr>
              <w:pStyle w:val="TableParagraph"/>
              <w:spacing w:before="5"/>
              <w:rPr>
                <w:rFonts w:ascii="Tw Cen MT Condensed Extra Bold"/>
                <w:sz w:val="61"/>
              </w:rPr>
            </w:pPr>
          </w:p>
          <w:p>
            <w:pPr>
              <w:pStyle w:val="TableParagraph"/>
              <w:ind w:left="414"/>
              <w:rPr>
                <w:rFonts w:ascii="Corbel" w:hAnsi="Corbel"/>
                <w:sz w:val="48"/>
              </w:rPr>
            </w:pPr>
            <w:r>
              <w:rPr>
                <w:rFonts w:ascii="Corbel" w:hAnsi="Corbel"/>
                <w:color w:val="FFFFFF"/>
                <w:sz w:val="48"/>
              </w:rPr>
              <w:t>Línea Estratégica</w:t>
            </w:r>
          </w:p>
        </w:tc>
      </w:tr>
      <w:tr>
        <w:trPr>
          <w:trHeight w:val="6570" w:hRule="atLeast"/>
        </w:trPr>
        <w:tc>
          <w:tcPr>
            <w:tcW w:w="4340" w:type="dxa"/>
            <w:tcBorders>
              <w:top w:val="single" w:sz="24" w:space="0" w:color="FFFFFF"/>
              <w:bottom w:val="single" w:sz="6" w:space="0" w:color="000000"/>
            </w:tcBorders>
            <w:shd w:val="clear" w:color="auto" w:fill="B8CCE3"/>
          </w:tcPr>
          <w:p>
            <w:pPr>
              <w:pStyle w:val="TableParagraph"/>
              <w:rPr>
                <w:rFonts w:ascii="Tw Cen MT Condensed Extra Bold"/>
                <w:sz w:val="22"/>
              </w:rPr>
            </w:pPr>
          </w:p>
          <w:p>
            <w:pPr>
              <w:pStyle w:val="TableParagraph"/>
              <w:spacing w:before="3"/>
              <w:rPr>
                <w:rFonts w:ascii="Tw Cen MT Condensed Extra Bold"/>
                <w:sz w:val="28"/>
              </w:rPr>
            </w:pPr>
          </w:p>
          <w:p>
            <w:pPr>
              <w:pStyle w:val="TableParagraph"/>
              <w:numPr>
                <w:ilvl w:val="0"/>
                <w:numId w:val="37"/>
              </w:numPr>
              <w:tabs>
                <w:tab w:pos="798" w:val="left" w:leader="none"/>
                <w:tab w:pos="799" w:val="left" w:leader="none"/>
              </w:tabs>
              <w:spacing w:line="276" w:lineRule="auto" w:before="0" w:after="0"/>
              <w:ind w:left="798" w:right="207" w:hanging="360"/>
              <w:jc w:val="left"/>
              <w:rPr>
                <w:rFonts w:ascii="Corbel" w:hAnsi="Corbel"/>
                <w:sz w:val="22"/>
              </w:rPr>
            </w:pPr>
            <w:r>
              <w:rPr>
                <w:rFonts w:ascii="Corbel" w:hAnsi="Corbel"/>
                <w:smallCaps w:val="0"/>
                <w:sz w:val="22"/>
              </w:rPr>
              <w:t>Alteración de la tranquilidad del municipio causada por problemas </w:t>
            </w:r>
            <w:r>
              <w:rPr>
                <w:rFonts w:ascii="Corbel" w:hAnsi="Corbel"/>
                <w:smallCaps w:val="0"/>
                <w:spacing w:val="-7"/>
                <w:sz w:val="22"/>
              </w:rPr>
              <w:t>de </w:t>
            </w:r>
            <w:r>
              <w:rPr>
                <w:rFonts w:ascii="Corbel" w:hAnsi="Corbel"/>
                <w:smallCaps w:val="0"/>
                <w:sz w:val="22"/>
              </w:rPr>
              <w:t>drogadicción en jóvenes y exceso en el consumo de alcohol. Asociados a otros malos hábitos como exceso de velocidad y altos niveles de ruido en las</w:t>
            </w:r>
            <w:r>
              <w:rPr>
                <w:rFonts w:ascii="Corbel" w:hAnsi="Corbel"/>
                <w:smallCaps w:val="0"/>
                <w:spacing w:val="-3"/>
                <w:sz w:val="22"/>
              </w:rPr>
              <w:t> </w:t>
            </w:r>
            <w:r>
              <w:rPr>
                <w:rFonts w:ascii="Corbel" w:hAnsi="Corbel"/>
                <w:smallCaps w:val="0"/>
                <w:sz w:val="22"/>
              </w:rPr>
              <w:t>calles</w:t>
            </w:r>
          </w:p>
          <w:p>
            <w:pPr>
              <w:pStyle w:val="TableParagraph"/>
              <w:rPr>
                <w:rFonts w:ascii="Tw Cen MT Condensed Extra Bold"/>
                <w:sz w:val="22"/>
              </w:rPr>
            </w:pPr>
          </w:p>
          <w:p>
            <w:pPr>
              <w:pStyle w:val="TableParagraph"/>
              <w:spacing w:before="4"/>
              <w:rPr>
                <w:rFonts w:ascii="Tw Cen MT Condensed Extra Bold"/>
                <w:sz w:val="18"/>
              </w:rPr>
            </w:pPr>
          </w:p>
          <w:p>
            <w:pPr>
              <w:pStyle w:val="TableParagraph"/>
              <w:numPr>
                <w:ilvl w:val="0"/>
                <w:numId w:val="37"/>
              </w:numPr>
              <w:tabs>
                <w:tab w:pos="799" w:val="left" w:leader="none"/>
              </w:tabs>
              <w:spacing w:line="276" w:lineRule="auto" w:before="0" w:after="0"/>
              <w:ind w:left="798" w:right="141" w:hanging="360"/>
              <w:jc w:val="left"/>
              <w:rPr>
                <w:rFonts w:ascii="Corbel" w:hAnsi="Corbel"/>
                <w:sz w:val="22"/>
              </w:rPr>
            </w:pPr>
            <w:r>
              <w:rPr>
                <w:rFonts w:ascii="Corbel" w:hAnsi="Corbel"/>
                <w:smallCaps w:val="0"/>
                <w:sz w:val="22"/>
              </w:rPr>
              <w:t>Desinterés de la población y específicamente de padres de familia en la atención de los problemas de vandalismo causados por los</w:t>
            </w:r>
            <w:r>
              <w:rPr>
                <w:rFonts w:ascii="Corbel" w:hAnsi="Corbel"/>
                <w:smallCaps w:val="0"/>
                <w:spacing w:val="-11"/>
                <w:sz w:val="22"/>
              </w:rPr>
              <w:t> </w:t>
            </w:r>
            <w:r>
              <w:rPr>
                <w:rFonts w:ascii="Corbel" w:hAnsi="Corbel"/>
                <w:smallCaps w:val="0"/>
                <w:sz w:val="22"/>
              </w:rPr>
              <w:t>jóvenes.</w:t>
            </w:r>
          </w:p>
          <w:p>
            <w:pPr>
              <w:pStyle w:val="TableParagraph"/>
              <w:rPr>
                <w:rFonts w:ascii="Tw Cen MT Condensed Extra Bold"/>
                <w:sz w:val="22"/>
              </w:rPr>
            </w:pPr>
          </w:p>
          <w:p>
            <w:pPr>
              <w:pStyle w:val="TableParagraph"/>
              <w:spacing w:before="7"/>
              <w:rPr>
                <w:rFonts w:ascii="Tw Cen MT Condensed Extra Bold"/>
                <w:sz w:val="18"/>
              </w:rPr>
            </w:pPr>
          </w:p>
          <w:p>
            <w:pPr>
              <w:pStyle w:val="TableParagraph"/>
              <w:numPr>
                <w:ilvl w:val="0"/>
                <w:numId w:val="37"/>
              </w:numPr>
              <w:tabs>
                <w:tab w:pos="798" w:val="left" w:leader="none"/>
                <w:tab w:pos="799" w:val="left" w:leader="none"/>
              </w:tabs>
              <w:spacing w:line="276" w:lineRule="auto" w:before="0" w:after="0"/>
              <w:ind w:left="798" w:right="319" w:hanging="360"/>
              <w:jc w:val="left"/>
              <w:rPr>
                <w:rFonts w:ascii="Corbel" w:hAnsi="Corbel"/>
                <w:sz w:val="22"/>
              </w:rPr>
            </w:pPr>
            <w:r>
              <w:rPr>
                <w:rFonts w:ascii="Corbel" w:hAnsi="Corbel"/>
                <w:sz w:val="22"/>
              </w:rPr>
              <w:t>Unidad de Protección Civil y Bomberos sin un cuartel digno para sus</w:t>
            </w:r>
            <w:r>
              <w:rPr>
                <w:rFonts w:ascii="Corbel" w:hAnsi="Corbel"/>
                <w:spacing w:val="-2"/>
                <w:sz w:val="22"/>
              </w:rPr>
              <w:t> </w:t>
            </w:r>
            <w:r>
              <w:rPr>
                <w:rFonts w:ascii="Corbel" w:hAnsi="Corbel"/>
                <w:sz w:val="22"/>
              </w:rPr>
              <w:t>operaciones</w:t>
            </w:r>
          </w:p>
        </w:tc>
        <w:tc>
          <w:tcPr>
            <w:tcW w:w="4256" w:type="dxa"/>
            <w:tcBorders>
              <w:top w:val="single" w:sz="24" w:space="0" w:color="FFFFFF"/>
              <w:bottom w:val="single" w:sz="2" w:space="0" w:color="CED6E7"/>
            </w:tcBorders>
            <w:shd w:val="clear" w:color="auto" w:fill="DBE4F0"/>
          </w:tcPr>
          <w:p>
            <w:pPr>
              <w:pStyle w:val="TableParagraph"/>
              <w:rPr>
                <w:rFonts w:ascii="Tw Cen MT Condensed Extra Bold"/>
                <w:sz w:val="22"/>
              </w:rPr>
            </w:pPr>
          </w:p>
          <w:p>
            <w:pPr>
              <w:pStyle w:val="TableParagraph"/>
              <w:spacing w:before="131"/>
              <w:ind w:left="78" w:right="190"/>
              <w:rPr>
                <w:rFonts w:ascii="Corbel"/>
                <w:sz w:val="22"/>
              </w:rPr>
            </w:pPr>
            <w:r>
              <w:rPr>
                <w:rFonts w:ascii="Corbel"/>
                <w:sz w:val="22"/>
              </w:rPr>
              <w:t>Mejora del cuerpo policial para garantizar la seguridad y tranquilidad de los habitantes del municipio</w:t>
            </w:r>
          </w:p>
        </w:tc>
      </w:tr>
    </w:tbl>
    <w:p>
      <w:pPr>
        <w:spacing w:after="0"/>
        <w:rPr>
          <w:rFonts w:ascii="Corbel"/>
          <w:sz w:val="22"/>
        </w:rPr>
        <w:sectPr>
          <w:pgSz w:w="12240" w:h="15840"/>
          <w:pgMar w:header="178" w:footer="1076" w:top="1120" w:bottom="1340" w:left="460" w:right="220"/>
        </w:sectPr>
      </w:pPr>
    </w:p>
    <w:p>
      <w:pPr>
        <w:pStyle w:val="BodyText"/>
        <w:rPr>
          <w:rFonts w:ascii="Times New Roman"/>
          <w:sz w:val="20"/>
        </w:rPr>
      </w:pPr>
      <w:r>
        <w:rPr/>
        <w:pict>
          <v:group style="position:absolute;margin-left:69.503998pt;margin-top:83.059998pt;width:217pt;height:109.1pt;mso-position-horizontal-relative:page;mso-position-vertical-relative:page;z-index:-262317056" coordorigin="1390,1661" coordsize="4340,2182">
            <v:shape style="position:absolute;left:1399;top:1742;width:4321;height:2098" coordorigin="1400,1743" coordsize="4321,2098" path="m5720,1743l5650,1743,1469,1743,1400,1743,1400,3840,5720,3840,5720,1743e" filled="true" fillcolor="#365f91" stroked="false">
              <v:path arrowok="t"/>
              <v:fill type="solid"/>
            </v:shape>
            <v:shape style="position:absolute;left:1390;top:1661;width:4340;height:2182" coordorigin="1390,1661" coordsize="4340,2182" path="m5720,1661l1400,1661,1400,1743,5720,1743,5720,1661m5730,3764l1390,3764,1390,3843,5730,3843,5730,3764e" filled="true" fillcolor="#365f91" stroked="false">
              <v:path arrowok="t"/>
              <v:fill type="solid"/>
            </v:shape>
            <w10:wrap type="none"/>
          </v:group>
        </w:pict>
      </w:r>
    </w:p>
    <w:p>
      <w:pPr>
        <w:pStyle w:val="BodyText"/>
        <w:spacing w:before="6"/>
        <w:rPr>
          <w:rFonts w:ascii="Times New Roman"/>
          <w:sz w:val="25"/>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340"/>
        <w:gridCol w:w="4256"/>
      </w:tblGrid>
      <w:tr>
        <w:trPr>
          <w:trHeight w:val="2181" w:hRule="atLeast"/>
        </w:trPr>
        <w:tc>
          <w:tcPr>
            <w:tcW w:w="4340" w:type="dxa"/>
            <w:tcBorders>
              <w:top w:val="nil"/>
              <w:bottom w:val="single" w:sz="24" w:space="0" w:color="FFFFFF"/>
            </w:tcBorders>
            <w:shd w:val="clear" w:color="auto" w:fill="365F91"/>
          </w:tcPr>
          <w:p>
            <w:pPr>
              <w:pStyle w:val="TableParagraph"/>
              <w:spacing w:before="10"/>
              <w:rPr>
                <w:rFonts w:ascii="Times New Roman"/>
                <w:sz w:val="57"/>
              </w:rPr>
            </w:pPr>
          </w:p>
          <w:p>
            <w:pPr>
              <w:pStyle w:val="TableParagraph"/>
              <w:ind w:left="1084"/>
              <w:rPr>
                <w:rFonts w:ascii="Corbel"/>
                <w:sz w:val="48"/>
              </w:rPr>
            </w:pPr>
            <w:r>
              <w:rPr>
                <w:rFonts w:ascii="Corbel"/>
                <w:color w:val="FFFFFF"/>
                <w:sz w:val="48"/>
              </w:rPr>
              <w:t>Programas</w:t>
            </w:r>
          </w:p>
        </w:tc>
        <w:tc>
          <w:tcPr>
            <w:tcW w:w="4256" w:type="dxa"/>
            <w:tcBorders>
              <w:top w:val="nil"/>
              <w:bottom w:val="single" w:sz="24" w:space="0" w:color="FFFFFF"/>
            </w:tcBorders>
            <w:shd w:val="clear" w:color="auto" w:fill="17365D"/>
          </w:tcPr>
          <w:p>
            <w:pPr>
              <w:pStyle w:val="TableParagraph"/>
              <w:spacing w:before="10"/>
              <w:rPr>
                <w:rFonts w:ascii="Times New Roman"/>
                <w:sz w:val="57"/>
              </w:rPr>
            </w:pPr>
          </w:p>
          <w:p>
            <w:pPr>
              <w:pStyle w:val="TableParagraph"/>
              <w:ind w:left="1132"/>
              <w:rPr>
                <w:rFonts w:ascii="Corbel"/>
                <w:sz w:val="48"/>
              </w:rPr>
            </w:pPr>
            <w:r>
              <w:rPr>
                <w:rFonts w:ascii="Corbel"/>
                <w:color w:val="FFFFFF"/>
                <w:sz w:val="48"/>
              </w:rPr>
              <w:t>Proyectos</w:t>
            </w:r>
          </w:p>
        </w:tc>
      </w:tr>
      <w:tr>
        <w:trPr>
          <w:trHeight w:val="5697" w:hRule="atLeast"/>
        </w:trPr>
        <w:tc>
          <w:tcPr>
            <w:tcW w:w="4340" w:type="dxa"/>
            <w:tcBorders>
              <w:top w:val="single" w:sz="24" w:space="0" w:color="FFFFFF"/>
              <w:bottom w:val="single" w:sz="6" w:space="0" w:color="000000"/>
            </w:tcBorders>
            <w:shd w:val="clear" w:color="auto" w:fill="B8CCE3"/>
          </w:tcPr>
          <w:p>
            <w:pPr>
              <w:pStyle w:val="TableParagraph"/>
              <w:rPr>
                <w:rFonts w:ascii="Times New Roman"/>
                <w:sz w:val="22"/>
              </w:rPr>
            </w:pPr>
          </w:p>
          <w:p>
            <w:pPr>
              <w:pStyle w:val="TableParagraph"/>
              <w:spacing w:before="3"/>
              <w:rPr>
                <w:rFonts w:ascii="Times New Roman"/>
                <w:sz w:val="25"/>
              </w:rPr>
            </w:pPr>
          </w:p>
          <w:p>
            <w:pPr>
              <w:pStyle w:val="TableParagraph"/>
              <w:ind w:left="798"/>
              <w:rPr>
                <w:rFonts w:ascii="Corbel" w:hAnsi="Corbel"/>
                <w:sz w:val="22"/>
              </w:rPr>
            </w:pPr>
            <w:r>
              <w:rPr>
                <w:rFonts w:ascii="Corbel" w:hAnsi="Corbel"/>
                <w:sz w:val="22"/>
              </w:rPr>
              <w:t>Prevención y mejora policial</w:t>
            </w:r>
          </w:p>
        </w:tc>
        <w:tc>
          <w:tcPr>
            <w:tcW w:w="4256" w:type="dxa"/>
            <w:tcBorders>
              <w:top w:val="single" w:sz="24" w:space="0" w:color="FFFFFF"/>
              <w:bottom w:val="single" w:sz="2" w:space="0" w:color="CED6E7"/>
            </w:tcBorders>
            <w:shd w:val="clear" w:color="auto" w:fill="DBE4F0"/>
          </w:tcPr>
          <w:p>
            <w:pPr>
              <w:pStyle w:val="TableParagraph"/>
              <w:spacing w:before="5"/>
              <w:rPr>
                <w:rFonts w:ascii="Times New Roman"/>
                <w:sz w:val="32"/>
              </w:rPr>
            </w:pPr>
          </w:p>
          <w:p>
            <w:pPr>
              <w:pStyle w:val="TableParagraph"/>
              <w:numPr>
                <w:ilvl w:val="0"/>
                <w:numId w:val="38"/>
              </w:numPr>
              <w:tabs>
                <w:tab w:pos="832" w:val="left" w:leader="none"/>
                <w:tab w:pos="833" w:val="left" w:leader="none"/>
              </w:tabs>
              <w:spacing w:line="237" w:lineRule="auto" w:before="0" w:after="0"/>
              <w:ind w:left="832" w:right="434" w:hanging="394"/>
              <w:jc w:val="left"/>
              <w:rPr>
                <w:rFonts w:ascii="Symbol" w:hAnsi="Symbol"/>
                <w:color w:val="252525"/>
                <w:sz w:val="24"/>
              </w:rPr>
            </w:pPr>
            <w:r>
              <w:rPr>
                <w:rFonts w:ascii="Corbel" w:hAnsi="Corbel"/>
                <w:sz w:val="22"/>
              </w:rPr>
              <w:t>Implementación de acciones de prevención del delito en</w:t>
            </w:r>
            <w:r>
              <w:rPr>
                <w:rFonts w:ascii="Corbel" w:hAnsi="Corbel"/>
                <w:spacing w:val="-9"/>
                <w:sz w:val="22"/>
              </w:rPr>
              <w:t> </w:t>
            </w:r>
            <w:r>
              <w:rPr>
                <w:rFonts w:ascii="Corbel" w:hAnsi="Corbel"/>
                <w:sz w:val="22"/>
              </w:rPr>
              <w:t>jóvenes.</w:t>
            </w:r>
          </w:p>
          <w:p>
            <w:pPr>
              <w:pStyle w:val="TableParagraph"/>
              <w:spacing w:before="6"/>
              <w:rPr>
                <w:rFonts w:ascii="Times New Roman"/>
                <w:sz w:val="23"/>
              </w:rPr>
            </w:pPr>
          </w:p>
          <w:p>
            <w:pPr>
              <w:pStyle w:val="TableParagraph"/>
              <w:numPr>
                <w:ilvl w:val="0"/>
                <w:numId w:val="38"/>
              </w:numPr>
              <w:tabs>
                <w:tab w:pos="798" w:val="left" w:leader="none"/>
                <w:tab w:pos="799" w:val="left" w:leader="none"/>
              </w:tabs>
              <w:spacing w:line="240" w:lineRule="auto" w:before="0" w:after="0"/>
              <w:ind w:left="798" w:right="185" w:hanging="360"/>
              <w:jc w:val="left"/>
              <w:rPr>
                <w:rFonts w:ascii="Symbol" w:hAnsi="Symbol"/>
                <w:color w:val="252525"/>
                <w:sz w:val="22"/>
              </w:rPr>
            </w:pPr>
            <w:r>
              <w:rPr>
                <w:rFonts w:ascii="Corbel" w:hAnsi="Corbel"/>
                <w:sz w:val="22"/>
              </w:rPr>
              <w:t>Capacitación a los policías en el nuevo modelo de justicia penal para que se apegue a los derechos humanos, pero también a la eficiencia y</w:t>
            </w:r>
            <w:r>
              <w:rPr>
                <w:rFonts w:ascii="Corbel" w:hAnsi="Corbel"/>
                <w:spacing w:val="-4"/>
                <w:sz w:val="22"/>
              </w:rPr>
              <w:t> </w:t>
            </w:r>
            <w:r>
              <w:rPr>
                <w:rFonts w:ascii="Corbel" w:hAnsi="Corbel"/>
                <w:sz w:val="22"/>
              </w:rPr>
              <w:t>transparencia.</w:t>
            </w:r>
          </w:p>
          <w:p>
            <w:pPr>
              <w:pStyle w:val="TableParagraph"/>
              <w:spacing w:before="4"/>
              <w:rPr>
                <w:rFonts w:ascii="Times New Roman"/>
                <w:sz w:val="23"/>
              </w:rPr>
            </w:pPr>
          </w:p>
          <w:p>
            <w:pPr>
              <w:pStyle w:val="TableParagraph"/>
              <w:numPr>
                <w:ilvl w:val="0"/>
                <w:numId w:val="38"/>
              </w:numPr>
              <w:tabs>
                <w:tab w:pos="798" w:val="left" w:leader="none"/>
                <w:tab w:pos="799" w:val="left" w:leader="none"/>
              </w:tabs>
              <w:spacing w:line="240" w:lineRule="auto" w:before="0" w:after="0"/>
              <w:ind w:left="798" w:right="123" w:hanging="360"/>
              <w:jc w:val="left"/>
              <w:rPr>
                <w:rFonts w:ascii="Symbol" w:hAnsi="Symbol"/>
                <w:color w:val="252525"/>
                <w:sz w:val="22"/>
              </w:rPr>
            </w:pPr>
            <w:r>
              <w:rPr>
                <w:rFonts w:ascii="Corbel" w:hAnsi="Corbel"/>
                <w:sz w:val="22"/>
              </w:rPr>
              <w:t>Institucionalización de los talleres de formación ciudadana en seguridad pública.</w:t>
            </w:r>
          </w:p>
          <w:p>
            <w:pPr>
              <w:pStyle w:val="TableParagraph"/>
              <w:rPr>
                <w:rFonts w:ascii="Times New Roman"/>
                <w:sz w:val="22"/>
              </w:rPr>
            </w:pPr>
          </w:p>
          <w:p>
            <w:pPr>
              <w:pStyle w:val="TableParagraph"/>
              <w:spacing w:before="9"/>
              <w:rPr>
                <w:rFonts w:ascii="Times New Roman"/>
                <w:sz w:val="18"/>
              </w:rPr>
            </w:pPr>
          </w:p>
          <w:p>
            <w:pPr>
              <w:pStyle w:val="TableParagraph"/>
              <w:numPr>
                <w:ilvl w:val="0"/>
                <w:numId w:val="38"/>
              </w:numPr>
              <w:tabs>
                <w:tab w:pos="798" w:val="left" w:leader="none"/>
                <w:tab w:pos="799" w:val="left" w:leader="none"/>
              </w:tabs>
              <w:spacing w:line="240" w:lineRule="auto" w:before="0" w:after="0"/>
              <w:ind w:left="798" w:right="840" w:hanging="360"/>
              <w:jc w:val="left"/>
              <w:rPr>
                <w:rFonts w:ascii="Symbol" w:hAnsi="Symbol"/>
                <w:color w:val="252525"/>
                <w:sz w:val="22"/>
              </w:rPr>
            </w:pPr>
            <w:r>
              <w:rPr>
                <w:rFonts w:ascii="Corbel" w:hAnsi="Corbel"/>
                <w:sz w:val="22"/>
              </w:rPr>
              <w:t>Construcción de Cuartel de Bomberos y Protección</w:t>
            </w:r>
            <w:r>
              <w:rPr>
                <w:rFonts w:ascii="Corbel" w:hAnsi="Corbel"/>
                <w:spacing w:val="-12"/>
                <w:sz w:val="22"/>
              </w:rPr>
              <w:t> </w:t>
            </w:r>
            <w:r>
              <w:rPr>
                <w:rFonts w:ascii="Corbel" w:hAnsi="Corbel"/>
                <w:sz w:val="22"/>
              </w:rPr>
              <w:t>Civil.</w:t>
            </w:r>
          </w:p>
        </w:tc>
      </w:tr>
    </w:tbl>
    <w:p>
      <w:pPr>
        <w:spacing w:after="0" w:line="240" w:lineRule="auto"/>
        <w:jc w:val="left"/>
        <w:rPr>
          <w:rFonts w:ascii="Symbol" w:hAnsi="Symbol"/>
          <w:sz w:val="22"/>
        </w:rPr>
        <w:sectPr>
          <w:pgSz w:w="12240" w:h="15840"/>
          <w:pgMar w:header="178" w:footer="1076" w:top="1120" w:bottom="1340" w:left="460" w:right="220"/>
        </w:sectPr>
      </w:pPr>
    </w:p>
    <w:p>
      <w:pPr>
        <w:pStyle w:val="BodyText"/>
        <w:rPr>
          <w:rFonts w:ascii="Times New Roman"/>
          <w:sz w:val="20"/>
        </w:rPr>
      </w:pPr>
    </w:p>
    <w:p>
      <w:pPr>
        <w:pStyle w:val="Heading1"/>
        <w:numPr>
          <w:ilvl w:val="1"/>
          <w:numId w:val="39"/>
        </w:numPr>
        <w:tabs>
          <w:tab w:pos="1566" w:val="left" w:leader="none"/>
        </w:tabs>
        <w:spacing w:line="240" w:lineRule="auto" w:before="272" w:after="0"/>
        <w:ind w:left="1566" w:right="0" w:hanging="665"/>
        <w:jc w:val="left"/>
        <w:rPr>
          <w:color w:val="3D3D3D"/>
        </w:rPr>
      </w:pPr>
      <w:bookmarkStart w:name="_bookmark11" w:id="17"/>
      <w:bookmarkEnd w:id="17"/>
      <w:r>
        <w:rPr/>
      </w:r>
      <w:bookmarkStart w:name="_bookmark11" w:id="18"/>
      <w:bookmarkEnd w:id="18"/>
      <w:r>
        <w:rPr>
          <w:color w:val="3D3D3D"/>
        </w:rPr>
        <w:t>GO</w:t>
      </w:r>
      <w:r>
        <w:rPr>
          <w:color w:val="3D3D3D"/>
        </w:rPr>
        <w:t>BIERNO Y ESTADO DE</w:t>
      </w:r>
      <w:r>
        <w:rPr>
          <w:color w:val="3D3D3D"/>
          <w:spacing w:val="-4"/>
        </w:rPr>
        <w:t> </w:t>
      </w:r>
      <w:r>
        <w:rPr>
          <w:color w:val="3D3D3D"/>
        </w:rPr>
        <w:t>DERECHO</w:t>
      </w:r>
    </w:p>
    <w:p>
      <w:pPr>
        <w:pStyle w:val="ListParagraph"/>
        <w:numPr>
          <w:ilvl w:val="1"/>
          <w:numId w:val="39"/>
        </w:numPr>
        <w:tabs>
          <w:tab w:pos="1274" w:val="left" w:leader="none"/>
        </w:tabs>
        <w:spacing w:line="240" w:lineRule="auto" w:before="332" w:after="0"/>
        <w:ind w:left="1273" w:right="0" w:hanging="373"/>
        <w:jc w:val="left"/>
        <w:rPr>
          <w:rFonts w:ascii="Corbel"/>
          <w:color w:val="365F91"/>
          <w:sz w:val="26"/>
        </w:rPr>
      </w:pPr>
      <w:bookmarkStart w:name="_bookmark12" w:id="19"/>
      <w:bookmarkEnd w:id="19"/>
      <w:r>
        <w:rPr/>
      </w:r>
      <w:bookmarkStart w:name="_bookmark12" w:id="20"/>
      <w:bookmarkEnd w:id="20"/>
      <w:r>
        <w:rPr>
          <w:rFonts w:ascii="Corbel"/>
          <w:smallCaps w:val="0"/>
          <w:color w:val="365F91"/>
          <w:sz w:val="26"/>
        </w:rPr>
        <w:t>C</w:t>
      </w:r>
      <w:r>
        <w:rPr>
          <w:rFonts w:ascii="Corbel"/>
          <w:smallCaps w:val="0"/>
          <w:color w:val="365F91"/>
          <w:sz w:val="26"/>
        </w:rPr>
        <w:t>OMPONENTE</w:t>
      </w:r>
      <w:r>
        <w:rPr>
          <w:rFonts w:ascii="Corbel"/>
          <w:smallCaps w:val="0"/>
          <w:color w:val="365F91"/>
          <w:spacing w:val="1"/>
          <w:sz w:val="26"/>
        </w:rPr>
        <w:t> </w:t>
      </w:r>
      <w:r>
        <w:rPr>
          <w:rFonts w:ascii="Corbel"/>
          <w:smallCaps w:val="0"/>
          <w:color w:val="365F91"/>
          <w:sz w:val="26"/>
        </w:rPr>
        <w:t>DIAGNOSTICO</w:t>
      </w:r>
    </w:p>
    <w:p>
      <w:pPr>
        <w:pStyle w:val="BodyText"/>
        <w:spacing w:before="11"/>
        <w:rPr>
          <w:rFonts w:ascii="Corbel"/>
          <w:sz w:val="23"/>
        </w:rPr>
      </w:pPr>
    </w:p>
    <w:p>
      <w:pPr>
        <w:pStyle w:val="Heading4"/>
        <w:jc w:val="both"/>
        <w:rPr>
          <w:rFonts w:ascii="Corbel"/>
        </w:rPr>
      </w:pPr>
      <w:r>
        <w:rPr>
          <w:rFonts w:ascii="Corbel"/>
        </w:rPr>
        <w:t>Estructura Municipal</w:t>
      </w:r>
    </w:p>
    <w:p>
      <w:pPr>
        <w:pStyle w:val="BodyText"/>
        <w:spacing w:before="8"/>
        <w:rPr>
          <w:rFonts w:ascii="Corbel"/>
          <w:b/>
        </w:rPr>
      </w:pPr>
    </w:p>
    <w:p>
      <w:pPr>
        <w:pStyle w:val="BodyText"/>
        <w:ind w:left="901" w:right="1152"/>
        <w:jc w:val="both"/>
      </w:pPr>
      <w:r>
        <w:rPr/>
        <w:t>La estructura orgánica-administrativa del municipio de Magdalena, está conformada </w:t>
      </w:r>
      <w:r>
        <w:rPr>
          <w:spacing w:val="-3"/>
        </w:rPr>
        <w:t>al </w:t>
      </w:r>
      <w:r>
        <w:rPr/>
        <w:t>igual que en todos los municipios de nuestro país, con base en la Constitución Política de los Estados Unidos Mexicanos, conforme la letra y el espíritu de su Art. 115, así como de la propia Constitución Política del Estado de Jalisco y en la Ley de Gobierno y Administración Pública Municipal, misma que señala que se integrará básicamente por el Ayuntamiento como la jerarquía</w:t>
      </w:r>
      <w:r>
        <w:rPr>
          <w:spacing w:val="-6"/>
        </w:rPr>
        <w:t> </w:t>
      </w:r>
      <w:r>
        <w:rPr/>
        <w:t>mayor.</w:t>
      </w:r>
    </w:p>
    <w:p>
      <w:pPr>
        <w:pStyle w:val="BodyText"/>
        <w:spacing w:before="11"/>
        <w:rPr>
          <w:sz w:val="21"/>
        </w:rPr>
      </w:pPr>
    </w:p>
    <w:p>
      <w:pPr>
        <w:pStyle w:val="BodyText"/>
        <w:ind w:left="901" w:right="1156"/>
        <w:jc w:val="both"/>
      </w:pPr>
      <w:r>
        <w:rPr/>
        <w:t>El organigrama que se desprende de este H. Ayuntamiento se deriva en el siguiente orden:</w:t>
      </w:r>
    </w:p>
    <w:p>
      <w:pPr>
        <w:pStyle w:val="BodyText"/>
        <w:rPr>
          <w:sz w:val="20"/>
        </w:rPr>
      </w:pPr>
    </w:p>
    <w:p>
      <w:pPr>
        <w:pStyle w:val="BodyText"/>
        <w:rPr>
          <w:sz w:val="20"/>
        </w:rPr>
      </w:pPr>
    </w:p>
    <w:p>
      <w:pPr>
        <w:pStyle w:val="BodyText"/>
        <w:spacing w:before="2"/>
        <w:rPr>
          <w:sz w:val="16"/>
        </w:rPr>
      </w:pPr>
    </w:p>
    <w:tbl>
      <w:tblPr>
        <w:tblW w:w="0" w:type="auto"/>
        <w:jc w:val="left"/>
        <w:tblInd w:w="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57"/>
        <w:gridCol w:w="5157"/>
      </w:tblGrid>
      <w:tr>
        <w:trPr>
          <w:trHeight w:val="368" w:hRule="atLeast"/>
        </w:trPr>
        <w:tc>
          <w:tcPr>
            <w:tcW w:w="5157" w:type="dxa"/>
          </w:tcPr>
          <w:p>
            <w:pPr>
              <w:pStyle w:val="TableParagraph"/>
              <w:numPr>
                <w:ilvl w:val="0"/>
                <w:numId w:val="40"/>
              </w:numPr>
              <w:tabs>
                <w:tab w:pos="907" w:val="left" w:leader="none"/>
                <w:tab w:pos="908" w:val="left" w:leader="none"/>
              </w:tabs>
              <w:spacing w:line="240" w:lineRule="auto" w:before="1" w:after="0"/>
              <w:ind w:left="907" w:right="0" w:hanging="708"/>
              <w:jc w:val="left"/>
              <w:rPr>
                <w:sz w:val="21"/>
              </w:rPr>
            </w:pPr>
            <w:r>
              <w:rPr>
                <w:sz w:val="21"/>
              </w:rPr>
              <w:t>Presidente, Síndico y</w:t>
            </w:r>
            <w:r>
              <w:rPr>
                <w:spacing w:val="-7"/>
                <w:sz w:val="21"/>
              </w:rPr>
              <w:t> </w:t>
            </w:r>
            <w:r>
              <w:rPr>
                <w:sz w:val="21"/>
              </w:rPr>
              <w:t>Regidores.</w:t>
            </w:r>
          </w:p>
        </w:tc>
        <w:tc>
          <w:tcPr>
            <w:tcW w:w="5157" w:type="dxa"/>
          </w:tcPr>
          <w:p>
            <w:pPr>
              <w:pStyle w:val="TableParagraph"/>
              <w:numPr>
                <w:ilvl w:val="0"/>
                <w:numId w:val="41"/>
              </w:numPr>
              <w:tabs>
                <w:tab w:pos="787" w:val="left" w:leader="none"/>
                <w:tab w:pos="788" w:val="left" w:leader="none"/>
              </w:tabs>
              <w:spacing w:line="240" w:lineRule="auto" w:before="1" w:after="0"/>
              <w:ind w:left="787" w:right="0" w:hanging="709"/>
              <w:jc w:val="left"/>
              <w:rPr>
                <w:sz w:val="21"/>
              </w:rPr>
            </w:pPr>
            <w:r>
              <w:rPr>
                <w:sz w:val="21"/>
              </w:rPr>
              <w:t>Dirección de Fomento</w:t>
            </w:r>
            <w:r>
              <w:rPr>
                <w:spacing w:val="-4"/>
                <w:sz w:val="21"/>
              </w:rPr>
              <w:t> </w:t>
            </w:r>
            <w:r>
              <w:rPr>
                <w:sz w:val="21"/>
              </w:rPr>
              <w:t>Deportivo</w:t>
            </w:r>
          </w:p>
        </w:tc>
      </w:tr>
      <w:tr>
        <w:trPr>
          <w:trHeight w:val="734" w:hRule="atLeast"/>
        </w:trPr>
        <w:tc>
          <w:tcPr>
            <w:tcW w:w="5157" w:type="dxa"/>
          </w:tcPr>
          <w:p>
            <w:pPr>
              <w:pStyle w:val="TableParagraph"/>
              <w:numPr>
                <w:ilvl w:val="0"/>
                <w:numId w:val="42"/>
              </w:numPr>
              <w:tabs>
                <w:tab w:pos="907" w:val="left" w:leader="none"/>
                <w:tab w:pos="908" w:val="left" w:leader="none"/>
              </w:tabs>
              <w:spacing w:line="240" w:lineRule="auto" w:before="110" w:after="0"/>
              <w:ind w:left="907" w:right="0" w:hanging="708"/>
              <w:jc w:val="left"/>
              <w:rPr>
                <w:sz w:val="21"/>
              </w:rPr>
            </w:pPr>
            <w:r>
              <w:rPr>
                <w:sz w:val="21"/>
              </w:rPr>
              <w:t>Dirección de Seguridad</w:t>
            </w:r>
            <w:r>
              <w:rPr>
                <w:spacing w:val="-5"/>
                <w:sz w:val="21"/>
              </w:rPr>
              <w:t> </w:t>
            </w:r>
            <w:r>
              <w:rPr>
                <w:sz w:val="21"/>
              </w:rPr>
              <w:t>Pública</w:t>
            </w:r>
          </w:p>
        </w:tc>
        <w:tc>
          <w:tcPr>
            <w:tcW w:w="5157" w:type="dxa"/>
          </w:tcPr>
          <w:p>
            <w:pPr>
              <w:pStyle w:val="TableParagraph"/>
              <w:numPr>
                <w:ilvl w:val="0"/>
                <w:numId w:val="43"/>
              </w:numPr>
              <w:tabs>
                <w:tab w:pos="787" w:val="left" w:leader="none"/>
                <w:tab w:pos="788" w:val="left" w:leader="none"/>
              </w:tabs>
              <w:spacing w:line="230" w:lineRule="auto" w:before="119" w:after="0"/>
              <w:ind w:left="787" w:right="198" w:hanging="708"/>
              <w:jc w:val="left"/>
              <w:rPr>
                <w:sz w:val="21"/>
              </w:rPr>
            </w:pPr>
            <w:r>
              <w:rPr>
                <w:sz w:val="21"/>
              </w:rPr>
              <w:t>Dirección de Comunicación Social y Relaciones</w:t>
            </w:r>
            <w:r>
              <w:rPr>
                <w:spacing w:val="-3"/>
                <w:sz w:val="21"/>
              </w:rPr>
              <w:t> </w:t>
            </w:r>
            <w:r>
              <w:rPr>
                <w:sz w:val="21"/>
              </w:rPr>
              <w:t>Públicas</w:t>
            </w:r>
          </w:p>
        </w:tc>
      </w:tr>
      <w:tr>
        <w:trPr>
          <w:trHeight w:val="737" w:hRule="atLeast"/>
        </w:trPr>
        <w:tc>
          <w:tcPr>
            <w:tcW w:w="5157" w:type="dxa"/>
          </w:tcPr>
          <w:p>
            <w:pPr>
              <w:pStyle w:val="TableParagraph"/>
              <w:numPr>
                <w:ilvl w:val="0"/>
                <w:numId w:val="44"/>
              </w:numPr>
              <w:tabs>
                <w:tab w:pos="907" w:val="left" w:leader="none"/>
                <w:tab w:pos="908" w:val="left" w:leader="none"/>
              </w:tabs>
              <w:spacing w:line="240" w:lineRule="auto" w:before="108" w:after="0"/>
              <w:ind w:left="907" w:right="0" w:hanging="708"/>
              <w:jc w:val="left"/>
              <w:rPr>
                <w:sz w:val="21"/>
              </w:rPr>
            </w:pPr>
            <w:r>
              <w:rPr>
                <w:sz w:val="21"/>
              </w:rPr>
              <w:t>Hacienda</w:t>
            </w:r>
            <w:r>
              <w:rPr>
                <w:spacing w:val="-4"/>
                <w:sz w:val="21"/>
              </w:rPr>
              <w:t> </w:t>
            </w:r>
            <w:r>
              <w:rPr>
                <w:sz w:val="21"/>
              </w:rPr>
              <w:t>Municipal</w:t>
            </w:r>
          </w:p>
        </w:tc>
        <w:tc>
          <w:tcPr>
            <w:tcW w:w="5157" w:type="dxa"/>
          </w:tcPr>
          <w:p>
            <w:pPr>
              <w:pStyle w:val="TableParagraph"/>
              <w:numPr>
                <w:ilvl w:val="0"/>
                <w:numId w:val="45"/>
              </w:numPr>
              <w:tabs>
                <w:tab w:pos="787" w:val="left" w:leader="none"/>
                <w:tab w:pos="788" w:val="left" w:leader="none"/>
                <w:tab w:pos="2003" w:val="left" w:leader="none"/>
                <w:tab w:pos="2519" w:val="left" w:leader="none"/>
                <w:tab w:pos="3641" w:val="left" w:leader="none"/>
                <w:tab w:pos="4013" w:val="left" w:leader="none"/>
              </w:tabs>
              <w:spacing w:line="230" w:lineRule="auto" w:before="116" w:after="0"/>
              <w:ind w:left="787" w:right="199" w:hanging="708"/>
              <w:jc w:val="left"/>
              <w:rPr>
                <w:sz w:val="21"/>
              </w:rPr>
            </w:pPr>
            <w:r>
              <w:rPr>
                <w:sz w:val="21"/>
              </w:rPr>
              <w:t>Dirección</w:t>
              <w:tab/>
              <w:t>de</w:t>
              <w:tab/>
              <w:t>Catastro</w:t>
              <w:tab/>
              <w:t>e</w:t>
              <w:tab/>
            </w:r>
            <w:r>
              <w:rPr>
                <w:spacing w:val="-4"/>
                <w:sz w:val="21"/>
              </w:rPr>
              <w:t>Impuesto </w:t>
            </w:r>
            <w:r>
              <w:rPr>
                <w:sz w:val="21"/>
              </w:rPr>
              <w:t>Predial</w:t>
            </w:r>
          </w:p>
        </w:tc>
      </w:tr>
      <w:tr>
        <w:trPr>
          <w:trHeight w:val="738" w:hRule="atLeast"/>
        </w:trPr>
        <w:tc>
          <w:tcPr>
            <w:tcW w:w="5157" w:type="dxa"/>
          </w:tcPr>
          <w:p>
            <w:pPr>
              <w:pStyle w:val="TableParagraph"/>
              <w:numPr>
                <w:ilvl w:val="0"/>
                <w:numId w:val="46"/>
              </w:numPr>
              <w:tabs>
                <w:tab w:pos="907" w:val="left" w:leader="none"/>
                <w:tab w:pos="908" w:val="left" w:leader="none"/>
              </w:tabs>
              <w:spacing w:line="230" w:lineRule="auto" w:before="121" w:after="0"/>
              <w:ind w:left="907" w:right="83" w:hanging="708"/>
              <w:jc w:val="left"/>
              <w:rPr>
                <w:sz w:val="21"/>
              </w:rPr>
            </w:pPr>
            <w:r>
              <w:rPr>
                <w:sz w:val="21"/>
              </w:rPr>
              <w:t>Dirección de Infraestructura y Obras Públicas</w:t>
            </w:r>
          </w:p>
        </w:tc>
        <w:tc>
          <w:tcPr>
            <w:tcW w:w="5157" w:type="dxa"/>
          </w:tcPr>
          <w:p>
            <w:pPr>
              <w:pStyle w:val="TableParagraph"/>
              <w:numPr>
                <w:ilvl w:val="0"/>
                <w:numId w:val="47"/>
              </w:numPr>
              <w:tabs>
                <w:tab w:pos="787" w:val="left" w:leader="none"/>
                <w:tab w:pos="788" w:val="left" w:leader="none"/>
              </w:tabs>
              <w:spacing w:line="240" w:lineRule="auto" w:before="113" w:after="0"/>
              <w:ind w:left="787" w:right="0" w:hanging="709"/>
              <w:jc w:val="left"/>
              <w:rPr>
                <w:sz w:val="21"/>
              </w:rPr>
            </w:pPr>
            <w:r>
              <w:rPr>
                <w:sz w:val="21"/>
              </w:rPr>
              <w:t>Oficial Mayor</w:t>
            </w:r>
            <w:r>
              <w:rPr>
                <w:spacing w:val="-3"/>
                <w:sz w:val="21"/>
              </w:rPr>
              <w:t> </w:t>
            </w:r>
            <w:r>
              <w:rPr>
                <w:sz w:val="21"/>
              </w:rPr>
              <w:t>Administrativa</w:t>
            </w:r>
          </w:p>
        </w:tc>
      </w:tr>
      <w:tr>
        <w:trPr>
          <w:trHeight w:val="475" w:hRule="atLeast"/>
        </w:trPr>
        <w:tc>
          <w:tcPr>
            <w:tcW w:w="5157" w:type="dxa"/>
          </w:tcPr>
          <w:p>
            <w:pPr>
              <w:pStyle w:val="TableParagraph"/>
              <w:numPr>
                <w:ilvl w:val="0"/>
                <w:numId w:val="48"/>
              </w:numPr>
              <w:tabs>
                <w:tab w:pos="907" w:val="left" w:leader="none"/>
                <w:tab w:pos="908" w:val="left" w:leader="none"/>
              </w:tabs>
              <w:spacing w:line="240" w:lineRule="auto" w:before="109" w:after="0"/>
              <w:ind w:left="907" w:right="0" w:hanging="708"/>
              <w:jc w:val="left"/>
              <w:rPr>
                <w:sz w:val="21"/>
              </w:rPr>
            </w:pPr>
            <w:r>
              <w:rPr>
                <w:sz w:val="21"/>
              </w:rPr>
              <w:t>Secretaría</w:t>
            </w:r>
            <w:r>
              <w:rPr>
                <w:spacing w:val="-2"/>
                <w:sz w:val="21"/>
              </w:rPr>
              <w:t> </w:t>
            </w:r>
            <w:r>
              <w:rPr>
                <w:sz w:val="21"/>
              </w:rPr>
              <w:t>General</w:t>
            </w:r>
          </w:p>
        </w:tc>
        <w:tc>
          <w:tcPr>
            <w:tcW w:w="5157" w:type="dxa"/>
          </w:tcPr>
          <w:p>
            <w:pPr>
              <w:pStyle w:val="TableParagraph"/>
              <w:numPr>
                <w:ilvl w:val="0"/>
                <w:numId w:val="49"/>
              </w:numPr>
              <w:tabs>
                <w:tab w:pos="787" w:val="left" w:leader="none"/>
                <w:tab w:pos="788" w:val="left" w:leader="none"/>
              </w:tabs>
              <w:spacing w:line="240" w:lineRule="auto" w:before="109" w:after="0"/>
              <w:ind w:left="787" w:right="0" w:hanging="709"/>
              <w:jc w:val="left"/>
              <w:rPr>
                <w:sz w:val="21"/>
              </w:rPr>
            </w:pPr>
            <w:r>
              <w:rPr>
                <w:sz w:val="21"/>
              </w:rPr>
              <w:t>Juzgado</w:t>
            </w:r>
            <w:r>
              <w:rPr>
                <w:spacing w:val="-1"/>
                <w:sz w:val="21"/>
              </w:rPr>
              <w:t> </w:t>
            </w:r>
            <w:r>
              <w:rPr>
                <w:sz w:val="21"/>
              </w:rPr>
              <w:t>Municipal</w:t>
            </w:r>
          </w:p>
        </w:tc>
      </w:tr>
      <w:tr>
        <w:trPr>
          <w:trHeight w:val="476" w:hRule="atLeast"/>
        </w:trPr>
        <w:tc>
          <w:tcPr>
            <w:tcW w:w="5157" w:type="dxa"/>
          </w:tcPr>
          <w:p>
            <w:pPr>
              <w:pStyle w:val="TableParagraph"/>
              <w:numPr>
                <w:ilvl w:val="0"/>
                <w:numId w:val="50"/>
              </w:numPr>
              <w:tabs>
                <w:tab w:pos="907" w:val="left" w:leader="none"/>
                <w:tab w:pos="908" w:val="left" w:leader="none"/>
              </w:tabs>
              <w:spacing w:line="240" w:lineRule="auto" w:before="109" w:after="0"/>
              <w:ind w:left="907" w:right="0" w:hanging="708"/>
              <w:jc w:val="left"/>
              <w:rPr>
                <w:sz w:val="21"/>
              </w:rPr>
            </w:pPr>
            <w:r>
              <w:rPr>
                <w:sz w:val="21"/>
              </w:rPr>
              <w:t>Dirección de Desarrollo</w:t>
            </w:r>
            <w:r>
              <w:rPr>
                <w:spacing w:val="-5"/>
                <w:sz w:val="21"/>
              </w:rPr>
              <w:t> </w:t>
            </w:r>
            <w:r>
              <w:rPr>
                <w:sz w:val="21"/>
              </w:rPr>
              <w:t>Urbano</w:t>
            </w:r>
          </w:p>
        </w:tc>
        <w:tc>
          <w:tcPr>
            <w:tcW w:w="5157" w:type="dxa"/>
          </w:tcPr>
          <w:p>
            <w:pPr>
              <w:pStyle w:val="TableParagraph"/>
              <w:numPr>
                <w:ilvl w:val="0"/>
                <w:numId w:val="51"/>
              </w:numPr>
              <w:tabs>
                <w:tab w:pos="787" w:val="left" w:leader="none"/>
                <w:tab w:pos="788" w:val="left" w:leader="none"/>
              </w:tabs>
              <w:spacing w:line="240" w:lineRule="auto" w:before="109" w:after="0"/>
              <w:ind w:left="787" w:right="0" w:hanging="709"/>
              <w:jc w:val="left"/>
              <w:rPr>
                <w:sz w:val="21"/>
              </w:rPr>
            </w:pPr>
            <w:r>
              <w:rPr>
                <w:sz w:val="21"/>
              </w:rPr>
              <w:t>Servicios</w:t>
            </w:r>
            <w:r>
              <w:rPr>
                <w:spacing w:val="-2"/>
                <w:sz w:val="21"/>
              </w:rPr>
              <w:t> </w:t>
            </w:r>
            <w:r>
              <w:rPr>
                <w:sz w:val="21"/>
              </w:rPr>
              <w:t>Médicos</w:t>
            </w:r>
          </w:p>
        </w:tc>
      </w:tr>
      <w:tr>
        <w:trPr>
          <w:trHeight w:val="477" w:hRule="atLeast"/>
        </w:trPr>
        <w:tc>
          <w:tcPr>
            <w:tcW w:w="5157" w:type="dxa"/>
          </w:tcPr>
          <w:p>
            <w:pPr>
              <w:pStyle w:val="TableParagraph"/>
              <w:numPr>
                <w:ilvl w:val="0"/>
                <w:numId w:val="52"/>
              </w:numPr>
              <w:tabs>
                <w:tab w:pos="907" w:val="left" w:leader="none"/>
                <w:tab w:pos="908" w:val="left" w:leader="none"/>
              </w:tabs>
              <w:spacing w:line="240" w:lineRule="auto" w:before="110" w:after="0"/>
              <w:ind w:left="907" w:right="0" w:hanging="708"/>
              <w:jc w:val="left"/>
              <w:rPr>
                <w:sz w:val="21"/>
              </w:rPr>
            </w:pPr>
            <w:r>
              <w:rPr>
                <w:sz w:val="21"/>
              </w:rPr>
              <w:t>Dirección de Servicios</w:t>
            </w:r>
            <w:r>
              <w:rPr>
                <w:spacing w:val="-2"/>
                <w:sz w:val="21"/>
              </w:rPr>
              <w:t> </w:t>
            </w:r>
            <w:r>
              <w:rPr>
                <w:sz w:val="21"/>
              </w:rPr>
              <w:t>Públicos</w:t>
            </w:r>
          </w:p>
        </w:tc>
        <w:tc>
          <w:tcPr>
            <w:tcW w:w="5157" w:type="dxa"/>
          </w:tcPr>
          <w:p>
            <w:pPr>
              <w:pStyle w:val="TableParagraph"/>
              <w:numPr>
                <w:ilvl w:val="0"/>
                <w:numId w:val="53"/>
              </w:numPr>
              <w:tabs>
                <w:tab w:pos="787" w:val="left" w:leader="none"/>
                <w:tab w:pos="788" w:val="left" w:leader="none"/>
              </w:tabs>
              <w:spacing w:line="240" w:lineRule="auto" w:before="110" w:after="0"/>
              <w:ind w:left="787" w:right="0" w:hanging="709"/>
              <w:jc w:val="left"/>
              <w:rPr>
                <w:sz w:val="21"/>
              </w:rPr>
            </w:pPr>
            <w:r>
              <w:rPr>
                <w:sz w:val="21"/>
              </w:rPr>
              <w:t>Contraloría</w:t>
            </w:r>
            <w:r>
              <w:rPr>
                <w:spacing w:val="-2"/>
                <w:sz w:val="21"/>
              </w:rPr>
              <w:t> </w:t>
            </w:r>
            <w:r>
              <w:rPr>
                <w:sz w:val="21"/>
              </w:rPr>
              <w:t>Municipal</w:t>
            </w:r>
          </w:p>
        </w:tc>
      </w:tr>
      <w:tr>
        <w:trPr>
          <w:trHeight w:val="737" w:hRule="atLeast"/>
        </w:trPr>
        <w:tc>
          <w:tcPr>
            <w:tcW w:w="5157" w:type="dxa"/>
          </w:tcPr>
          <w:p>
            <w:pPr>
              <w:pStyle w:val="TableParagraph"/>
              <w:numPr>
                <w:ilvl w:val="0"/>
                <w:numId w:val="54"/>
              </w:numPr>
              <w:tabs>
                <w:tab w:pos="907" w:val="left" w:leader="none"/>
                <w:tab w:pos="908" w:val="left" w:leader="none"/>
                <w:tab w:pos="2115" w:val="left" w:leader="none"/>
                <w:tab w:pos="2624" w:val="left" w:leader="none"/>
                <w:tab w:pos="3855" w:val="left" w:leader="none"/>
              </w:tabs>
              <w:spacing w:line="230" w:lineRule="auto" w:before="119" w:after="0"/>
              <w:ind w:left="907" w:right="77" w:hanging="708"/>
              <w:jc w:val="left"/>
              <w:rPr>
                <w:sz w:val="21"/>
              </w:rPr>
            </w:pPr>
            <w:r>
              <w:rPr>
                <w:sz w:val="21"/>
              </w:rPr>
              <w:t>Dirección</w:t>
              <w:tab/>
              <w:t>de</w:t>
              <w:tab/>
              <w:t>Desarrollo</w:t>
              <w:tab/>
            </w:r>
            <w:r>
              <w:rPr>
                <w:spacing w:val="-4"/>
                <w:sz w:val="21"/>
              </w:rPr>
              <w:t>Económico, </w:t>
            </w:r>
            <w:r>
              <w:rPr>
                <w:sz w:val="21"/>
              </w:rPr>
              <w:t>Rural y</w:t>
            </w:r>
            <w:r>
              <w:rPr>
                <w:spacing w:val="-3"/>
                <w:sz w:val="21"/>
              </w:rPr>
              <w:t> </w:t>
            </w:r>
            <w:r>
              <w:rPr>
                <w:sz w:val="21"/>
              </w:rPr>
              <w:t>Ecológico</w:t>
            </w:r>
          </w:p>
        </w:tc>
        <w:tc>
          <w:tcPr>
            <w:tcW w:w="5157" w:type="dxa"/>
          </w:tcPr>
          <w:p>
            <w:pPr>
              <w:pStyle w:val="TableParagraph"/>
              <w:numPr>
                <w:ilvl w:val="0"/>
                <w:numId w:val="55"/>
              </w:numPr>
              <w:tabs>
                <w:tab w:pos="787" w:val="left" w:leader="none"/>
                <w:tab w:pos="788" w:val="left" w:leader="none"/>
              </w:tabs>
              <w:spacing w:line="240" w:lineRule="auto" w:before="110" w:after="0"/>
              <w:ind w:left="787" w:right="0" w:hanging="709"/>
              <w:jc w:val="left"/>
              <w:rPr>
                <w:sz w:val="21"/>
              </w:rPr>
            </w:pPr>
            <w:r>
              <w:rPr>
                <w:sz w:val="21"/>
              </w:rPr>
              <w:t>Dirección de Cultura y</w:t>
            </w:r>
            <w:r>
              <w:rPr>
                <w:spacing w:val="-6"/>
                <w:sz w:val="21"/>
              </w:rPr>
              <w:t> </w:t>
            </w:r>
            <w:r>
              <w:rPr>
                <w:sz w:val="21"/>
              </w:rPr>
              <w:t>Turismo</w:t>
            </w:r>
          </w:p>
        </w:tc>
      </w:tr>
      <w:tr>
        <w:trPr>
          <w:trHeight w:val="629" w:hRule="atLeast"/>
        </w:trPr>
        <w:tc>
          <w:tcPr>
            <w:tcW w:w="5157" w:type="dxa"/>
          </w:tcPr>
          <w:p>
            <w:pPr>
              <w:pStyle w:val="TableParagraph"/>
              <w:numPr>
                <w:ilvl w:val="0"/>
                <w:numId w:val="56"/>
              </w:numPr>
              <w:tabs>
                <w:tab w:pos="907" w:val="left" w:leader="none"/>
                <w:tab w:pos="908" w:val="left" w:leader="none"/>
              </w:tabs>
              <w:spacing w:line="240" w:lineRule="auto" w:before="111" w:after="0"/>
              <w:ind w:left="907" w:right="0" w:hanging="708"/>
              <w:jc w:val="left"/>
              <w:rPr>
                <w:sz w:val="21"/>
              </w:rPr>
            </w:pPr>
            <w:r>
              <w:rPr>
                <w:sz w:val="21"/>
              </w:rPr>
              <w:t>Oficialía del Registro</w:t>
            </w:r>
            <w:r>
              <w:rPr>
                <w:spacing w:val="1"/>
                <w:sz w:val="21"/>
              </w:rPr>
              <w:t> </w:t>
            </w:r>
            <w:r>
              <w:rPr>
                <w:sz w:val="21"/>
              </w:rPr>
              <w:t>civil</w:t>
            </w:r>
          </w:p>
        </w:tc>
        <w:tc>
          <w:tcPr>
            <w:tcW w:w="5157" w:type="dxa"/>
          </w:tcPr>
          <w:p>
            <w:pPr>
              <w:pStyle w:val="TableParagraph"/>
              <w:numPr>
                <w:ilvl w:val="0"/>
                <w:numId w:val="57"/>
              </w:numPr>
              <w:tabs>
                <w:tab w:pos="787" w:val="left" w:leader="none"/>
                <w:tab w:pos="788" w:val="left" w:leader="none"/>
              </w:tabs>
              <w:spacing w:line="260" w:lineRule="exact" w:before="115" w:after="0"/>
              <w:ind w:left="787" w:right="199" w:hanging="708"/>
              <w:jc w:val="left"/>
              <w:rPr>
                <w:sz w:val="21"/>
              </w:rPr>
            </w:pPr>
            <w:r>
              <w:rPr>
                <w:sz w:val="21"/>
              </w:rPr>
              <w:t>Dirección de Transparencia y Rendición de</w:t>
            </w:r>
            <w:r>
              <w:rPr>
                <w:spacing w:val="-1"/>
                <w:sz w:val="21"/>
              </w:rPr>
              <w:t> </w:t>
            </w:r>
            <w:r>
              <w:rPr>
                <w:sz w:val="21"/>
              </w:rPr>
              <w:t>Cuentas</w:t>
            </w:r>
          </w:p>
        </w:tc>
      </w:tr>
    </w:tbl>
    <w:p>
      <w:pPr>
        <w:spacing w:after="0" w:line="260" w:lineRule="exact"/>
        <w:jc w:val="left"/>
        <w:rPr>
          <w:sz w:val="21"/>
        </w:rPr>
        <w:sectPr>
          <w:pgSz w:w="12240" w:h="15840"/>
          <w:pgMar w:header="178" w:footer="1076" w:top="1120" w:bottom="1340" w:left="460" w:right="220"/>
        </w:sectPr>
      </w:pPr>
    </w:p>
    <w:p>
      <w:pPr>
        <w:pStyle w:val="BodyText"/>
        <w:rPr>
          <w:sz w:val="20"/>
        </w:rPr>
      </w:pPr>
    </w:p>
    <w:p>
      <w:pPr>
        <w:pStyle w:val="BodyText"/>
        <w:spacing w:before="5"/>
        <w:rPr>
          <w:sz w:val="16"/>
        </w:rPr>
      </w:pPr>
    </w:p>
    <w:p>
      <w:pPr>
        <w:pStyle w:val="BodyText"/>
        <w:spacing w:before="55" w:after="3"/>
        <w:ind w:left="1001" w:right="1261"/>
        <w:jc w:val="center"/>
        <w:rPr>
          <w:rFonts w:ascii="Corbel"/>
        </w:rPr>
      </w:pPr>
      <w:r>
        <w:rPr>
          <w:rFonts w:ascii="Corbel"/>
        </w:rPr>
        <w:t>FIGURA 6. ORGANIGRAMA MUNICIPAL</w:t>
      </w:r>
    </w:p>
    <w:p>
      <w:pPr>
        <w:pStyle w:val="BodyText"/>
        <w:ind w:left="900"/>
        <w:rPr>
          <w:rFonts w:ascii="Corbel"/>
          <w:sz w:val="20"/>
        </w:rPr>
      </w:pPr>
      <w:r>
        <w:rPr>
          <w:rFonts w:ascii="Corbel"/>
          <w:sz w:val="20"/>
        </w:rPr>
        <w:drawing>
          <wp:inline distT="0" distB="0" distL="0" distR="0">
            <wp:extent cx="6397097" cy="7900416"/>
            <wp:effectExtent l="0" t="0" r="0" b="0"/>
            <wp:docPr id="25" name="image30.jpeg"/>
            <wp:cNvGraphicFramePr>
              <a:graphicFrameLocks noChangeAspect="1"/>
            </wp:cNvGraphicFramePr>
            <a:graphic>
              <a:graphicData uri="http://schemas.openxmlformats.org/drawingml/2006/picture">
                <pic:pic>
                  <pic:nvPicPr>
                    <pic:cNvPr id="26" name="image30.jpeg"/>
                    <pic:cNvPicPr/>
                  </pic:nvPicPr>
                  <pic:blipFill>
                    <a:blip r:embed="rId40" cstate="print"/>
                    <a:stretch>
                      <a:fillRect/>
                    </a:stretch>
                  </pic:blipFill>
                  <pic:spPr>
                    <a:xfrm>
                      <a:off x="0" y="0"/>
                      <a:ext cx="6397097" cy="7900416"/>
                    </a:xfrm>
                    <a:prstGeom prst="rect">
                      <a:avLst/>
                    </a:prstGeom>
                  </pic:spPr>
                </pic:pic>
              </a:graphicData>
            </a:graphic>
          </wp:inline>
        </w:drawing>
      </w:r>
      <w:r>
        <w:rPr>
          <w:rFonts w:ascii="Corbel"/>
          <w:sz w:val="20"/>
        </w:rPr>
      </w:r>
    </w:p>
    <w:p>
      <w:pPr>
        <w:spacing w:after="0"/>
        <w:rPr>
          <w:rFonts w:ascii="Corbel"/>
          <w:sz w:val="20"/>
        </w:rPr>
        <w:sectPr>
          <w:pgSz w:w="12240" w:h="15840"/>
          <w:pgMar w:header="178" w:footer="1076" w:top="1120" w:bottom="1360" w:left="460" w:right="220"/>
        </w:sectPr>
      </w:pPr>
    </w:p>
    <w:p>
      <w:pPr>
        <w:pStyle w:val="BodyText"/>
        <w:rPr>
          <w:rFonts w:ascii="Corbel"/>
          <w:sz w:val="20"/>
        </w:rPr>
      </w:pPr>
    </w:p>
    <w:p>
      <w:pPr>
        <w:pStyle w:val="BodyText"/>
        <w:rPr>
          <w:rFonts w:ascii="Corbel"/>
          <w:sz w:val="20"/>
        </w:rPr>
      </w:pPr>
    </w:p>
    <w:p>
      <w:pPr>
        <w:pStyle w:val="BodyText"/>
        <w:spacing w:before="6"/>
        <w:rPr>
          <w:rFonts w:ascii="Corbel"/>
          <w:sz w:val="18"/>
        </w:rPr>
      </w:pPr>
    </w:p>
    <w:p>
      <w:pPr>
        <w:pStyle w:val="BodyText"/>
        <w:spacing w:line="276" w:lineRule="auto" w:before="101"/>
        <w:ind w:left="901" w:right="1155"/>
        <w:jc w:val="both"/>
      </w:pPr>
      <w:r>
        <w:rPr/>
        <w:t>En cada una de las localidades, fuera de la cabecera municipal, el Ayuntamiento nombra, por diferentes métodos, a los Agentes Municipales, quienes representan en ese lugar, al H. Ayuntamiento y tienen sus derechos y obligaciones, establecidas por La Ley de Gobierno y Administración Pública Municipal.</w:t>
      </w:r>
    </w:p>
    <w:p>
      <w:pPr>
        <w:pStyle w:val="BodyText"/>
        <w:spacing w:before="6"/>
        <w:rPr>
          <w:sz w:val="25"/>
        </w:rPr>
      </w:pPr>
    </w:p>
    <w:p>
      <w:pPr>
        <w:pStyle w:val="BodyText"/>
        <w:spacing w:line="276" w:lineRule="auto"/>
        <w:ind w:left="901" w:right="1155"/>
        <w:jc w:val="both"/>
      </w:pPr>
      <w:r>
        <w:rPr/>
        <w:t>Para impulsar la participación de la sociedad en la toma de decisiones y como resultado de los cambios en la legislación se ha integrado el COPPLADEMUN, organismo al cual la Ley de Planeación y Participación Ciudadana para el Estado de Jalisco y sus Municipios (artículo 52) le confiere las siguientes</w:t>
      </w:r>
      <w:r>
        <w:rPr>
          <w:spacing w:val="-7"/>
        </w:rPr>
        <w:t> </w:t>
      </w:r>
      <w:r>
        <w:rPr/>
        <w:t>funciones:</w:t>
      </w:r>
    </w:p>
    <w:p>
      <w:pPr>
        <w:pStyle w:val="BodyText"/>
        <w:spacing w:before="3"/>
        <w:rPr>
          <w:sz w:val="25"/>
        </w:rPr>
      </w:pPr>
    </w:p>
    <w:p>
      <w:pPr>
        <w:pStyle w:val="ListParagraph"/>
        <w:numPr>
          <w:ilvl w:val="2"/>
          <w:numId w:val="39"/>
        </w:numPr>
        <w:tabs>
          <w:tab w:pos="1622" w:val="left" w:leader="none"/>
        </w:tabs>
        <w:spacing w:line="276" w:lineRule="auto" w:before="1" w:after="0"/>
        <w:ind w:left="1621" w:right="1156" w:hanging="360"/>
        <w:jc w:val="both"/>
        <w:rPr>
          <w:sz w:val="22"/>
        </w:rPr>
      </w:pPr>
      <w:r>
        <w:rPr>
          <w:sz w:val="22"/>
        </w:rPr>
        <w:t>Ser el espacio de alineación de los esfuerzos que, en materia de planeación participativa, se realicen en el ámbito</w:t>
      </w:r>
      <w:r>
        <w:rPr>
          <w:spacing w:val="-7"/>
          <w:sz w:val="22"/>
        </w:rPr>
        <w:t> </w:t>
      </w:r>
      <w:r>
        <w:rPr>
          <w:sz w:val="22"/>
        </w:rPr>
        <w:t>municipal;</w:t>
      </w:r>
    </w:p>
    <w:p>
      <w:pPr>
        <w:pStyle w:val="ListParagraph"/>
        <w:numPr>
          <w:ilvl w:val="2"/>
          <w:numId w:val="39"/>
        </w:numPr>
        <w:tabs>
          <w:tab w:pos="1622" w:val="left" w:leader="none"/>
        </w:tabs>
        <w:spacing w:line="276" w:lineRule="auto" w:before="0" w:after="0"/>
        <w:ind w:left="1621" w:right="1157" w:hanging="360"/>
        <w:jc w:val="both"/>
        <w:rPr>
          <w:sz w:val="22"/>
        </w:rPr>
      </w:pPr>
      <w:r>
        <w:rPr>
          <w:sz w:val="22"/>
        </w:rPr>
        <w:t>Colaborar en las actividades del proceso de planeación participativa para el desarrollo municipal con la participación con la que corresponda a los gobiernos federal y estatal, así como a los sectores social y</w:t>
      </w:r>
      <w:r>
        <w:rPr>
          <w:spacing w:val="-10"/>
          <w:sz w:val="22"/>
        </w:rPr>
        <w:t> </w:t>
      </w:r>
      <w:r>
        <w:rPr>
          <w:sz w:val="22"/>
        </w:rPr>
        <w:t>privado;</w:t>
      </w:r>
    </w:p>
    <w:p>
      <w:pPr>
        <w:pStyle w:val="ListParagraph"/>
        <w:numPr>
          <w:ilvl w:val="2"/>
          <w:numId w:val="39"/>
        </w:numPr>
        <w:tabs>
          <w:tab w:pos="1622" w:val="left" w:leader="none"/>
        </w:tabs>
        <w:spacing w:line="276" w:lineRule="auto" w:before="0" w:after="0"/>
        <w:ind w:left="1621" w:right="1158" w:hanging="360"/>
        <w:jc w:val="both"/>
        <w:rPr>
          <w:sz w:val="22"/>
        </w:rPr>
      </w:pPr>
      <w:r>
        <w:rPr>
          <w:sz w:val="22"/>
        </w:rPr>
        <w:t>Participar en el formulario, evaluación y actualización del Plan Municipal </w:t>
      </w:r>
      <w:r>
        <w:rPr>
          <w:spacing w:val="-3"/>
          <w:sz w:val="22"/>
        </w:rPr>
        <w:t>de </w:t>
      </w:r>
      <w:r>
        <w:rPr>
          <w:sz w:val="22"/>
        </w:rPr>
        <w:t>Desarrollo y</w:t>
      </w:r>
      <w:r>
        <w:rPr>
          <w:spacing w:val="-4"/>
          <w:sz w:val="22"/>
        </w:rPr>
        <w:t> </w:t>
      </w:r>
      <w:r>
        <w:rPr>
          <w:sz w:val="22"/>
        </w:rPr>
        <w:t>Gobernanza;</w:t>
      </w:r>
    </w:p>
    <w:p>
      <w:pPr>
        <w:pStyle w:val="ListParagraph"/>
        <w:numPr>
          <w:ilvl w:val="2"/>
          <w:numId w:val="39"/>
        </w:numPr>
        <w:tabs>
          <w:tab w:pos="1622" w:val="left" w:leader="none"/>
        </w:tabs>
        <w:spacing w:line="276" w:lineRule="auto" w:before="0" w:after="0"/>
        <w:ind w:left="1621" w:right="1155" w:hanging="360"/>
        <w:jc w:val="both"/>
        <w:rPr>
          <w:sz w:val="22"/>
        </w:rPr>
      </w:pPr>
      <w:r>
        <w:rPr>
          <w:sz w:val="22"/>
        </w:rPr>
        <w:t>Emitir recomendaciones sobre el contenido del Plan Municipal de Desarrollo y Gobernanza, los planes regionales de desarrollo y, en su caso, sugerir modificaciones a los</w:t>
      </w:r>
      <w:r>
        <w:rPr>
          <w:spacing w:val="-2"/>
          <w:sz w:val="22"/>
        </w:rPr>
        <w:t> </w:t>
      </w:r>
      <w:r>
        <w:rPr>
          <w:sz w:val="22"/>
        </w:rPr>
        <w:t>mismos;</w:t>
      </w:r>
    </w:p>
    <w:p>
      <w:pPr>
        <w:pStyle w:val="ListParagraph"/>
        <w:numPr>
          <w:ilvl w:val="2"/>
          <w:numId w:val="39"/>
        </w:numPr>
        <w:tabs>
          <w:tab w:pos="1622" w:val="left" w:leader="none"/>
        </w:tabs>
        <w:spacing w:line="276" w:lineRule="auto" w:before="0" w:after="0"/>
        <w:ind w:left="1621" w:right="1154" w:hanging="360"/>
        <w:jc w:val="both"/>
        <w:rPr>
          <w:sz w:val="22"/>
        </w:rPr>
      </w:pPr>
      <w:r>
        <w:rPr>
          <w:sz w:val="22"/>
        </w:rPr>
        <w:t>Opinar sobre las prioridades del desarrollo del municipio y, proponer la orientación y capacitación de la inversión, gasto y financiamiento para </w:t>
      </w:r>
      <w:r>
        <w:rPr>
          <w:spacing w:val="-5"/>
          <w:sz w:val="22"/>
        </w:rPr>
        <w:t>el </w:t>
      </w:r>
      <w:r>
        <w:rPr>
          <w:sz w:val="22"/>
        </w:rPr>
        <w:t>desarrollo municipal y regional; así como la inclusión de proyectos en </w:t>
      </w:r>
      <w:r>
        <w:rPr>
          <w:spacing w:val="-5"/>
          <w:sz w:val="22"/>
        </w:rPr>
        <w:t>el </w:t>
      </w:r>
      <w:r>
        <w:rPr>
          <w:sz w:val="22"/>
        </w:rPr>
        <w:t>presupuesto de egresos del municipio y la transversalidad del enfoque </w:t>
      </w:r>
      <w:r>
        <w:rPr>
          <w:spacing w:val="-3"/>
          <w:sz w:val="22"/>
        </w:rPr>
        <w:t>de </w:t>
      </w:r>
      <w:r>
        <w:rPr>
          <w:sz w:val="22"/>
        </w:rPr>
        <w:t>equidad entre hombres y</w:t>
      </w:r>
      <w:r>
        <w:rPr>
          <w:spacing w:val="-4"/>
          <w:sz w:val="22"/>
        </w:rPr>
        <w:t> </w:t>
      </w:r>
      <w:r>
        <w:rPr>
          <w:sz w:val="22"/>
        </w:rPr>
        <w:t>mujeres;</w:t>
      </w:r>
    </w:p>
    <w:p>
      <w:pPr>
        <w:pStyle w:val="ListParagraph"/>
        <w:numPr>
          <w:ilvl w:val="2"/>
          <w:numId w:val="39"/>
        </w:numPr>
        <w:tabs>
          <w:tab w:pos="1622" w:val="left" w:leader="none"/>
        </w:tabs>
        <w:spacing w:line="276" w:lineRule="auto" w:before="0" w:after="0"/>
        <w:ind w:left="1621" w:right="1158" w:hanging="360"/>
        <w:jc w:val="both"/>
        <w:rPr>
          <w:sz w:val="22"/>
        </w:rPr>
      </w:pPr>
      <w:r>
        <w:rPr>
          <w:sz w:val="22"/>
        </w:rPr>
        <w:t>Sugerir a los gobiernos federal y estatal la realización de convenios, con el propósito de coordinarse para alcanzar los objetivos del Plan Municipal </w:t>
      </w:r>
      <w:r>
        <w:rPr>
          <w:spacing w:val="-3"/>
          <w:sz w:val="22"/>
        </w:rPr>
        <w:t>de </w:t>
      </w:r>
      <w:r>
        <w:rPr>
          <w:sz w:val="22"/>
        </w:rPr>
        <w:t>Desarrollo y</w:t>
      </w:r>
      <w:r>
        <w:rPr>
          <w:spacing w:val="-4"/>
          <w:sz w:val="22"/>
        </w:rPr>
        <w:t> </w:t>
      </w:r>
      <w:r>
        <w:rPr>
          <w:sz w:val="22"/>
        </w:rPr>
        <w:t>Gobernanza;</w:t>
      </w:r>
    </w:p>
    <w:p>
      <w:pPr>
        <w:pStyle w:val="ListParagraph"/>
        <w:numPr>
          <w:ilvl w:val="2"/>
          <w:numId w:val="39"/>
        </w:numPr>
        <w:tabs>
          <w:tab w:pos="1622" w:val="left" w:leader="none"/>
        </w:tabs>
        <w:spacing w:line="276" w:lineRule="auto" w:before="0" w:after="0"/>
        <w:ind w:left="1621" w:right="1155" w:hanging="360"/>
        <w:jc w:val="both"/>
        <w:rPr>
          <w:sz w:val="22"/>
        </w:rPr>
      </w:pPr>
      <w:r>
        <w:rPr>
          <w:sz w:val="22"/>
        </w:rPr>
        <w:t>Participar en el seguimiento y evaluación de los programas federales y estatales que se realicen en el municipio y hacerlos compatibles con los del propio Ayuntamiento;</w:t>
      </w:r>
    </w:p>
    <w:p>
      <w:pPr>
        <w:pStyle w:val="ListParagraph"/>
        <w:numPr>
          <w:ilvl w:val="2"/>
          <w:numId w:val="39"/>
        </w:numPr>
        <w:tabs>
          <w:tab w:pos="1622" w:val="left" w:leader="none"/>
        </w:tabs>
        <w:spacing w:line="276" w:lineRule="auto" w:before="0" w:after="0"/>
        <w:ind w:left="1621" w:right="1156" w:hanging="360"/>
        <w:jc w:val="both"/>
        <w:rPr>
          <w:sz w:val="22"/>
        </w:rPr>
      </w:pPr>
      <w:r>
        <w:rPr>
          <w:sz w:val="22"/>
        </w:rPr>
        <w:t>Promover acuerdos de cooperación y colaboración entre los ciudadanos y los sectores públicos y privados que actúen a nivel municipal y regional, tendientes a orientar sus esfuerzos hacia el logro de los objetivos del Plan Municipal </w:t>
      </w:r>
      <w:r>
        <w:rPr>
          <w:spacing w:val="-5"/>
          <w:sz w:val="22"/>
        </w:rPr>
        <w:t>de </w:t>
      </w:r>
      <w:r>
        <w:rPr>
          <w:sz w:val="22"/>
        </w:rPr>
        <w:t>Desarrollo y</w:t>
      </w:r>
      <w:r>
        <w:rPr>
          <w:spacing w:val="-4"/>
          <w:sz w:val="22"/>
        </w:rPr>
        <w:t> </w:t>
      </w:r>
      <w:r>
        <w:rPr>
          <w:sz w:val="22"/>
        </w:rPr>
        <w:t>Gobernanza;</w:t>
      </w:r>
    </w:p>
    <w:p>
      <w:pPr>
        <w:pStyle w:val="ListParagraph"/>
        <w:numPr>
          <w:ilvl w:val="2"/>
          <w:numId w:val="39"/>
        </w:numPr>
        <w:tabs>
          <w:tab w:pos="1622" w:val="left" w:leader="none"/>
        </w:tabs>
        <w:spacing w:line="276" w:lineRule="auto" w:before="0" w:after="0"/>
        <w:ind w:left="1621" w:right="1155" w:hanging="360"/>
        <w:jc w:val="both"/>
        <w:rPr>
          <w:sz w:val="22"/>
        </w:rPr>
      </w:pPr>
      <w:r>
        <w:rPr>
          <w:sz w:val="22"/>
        </w:rPr>
        <w:t>Promover la coordinación con las instancias de planeación participativa de otros municipios dentro y fuera de la entidad, a fin de coadyuvar en la formulación, ejecución y evaluación de planes para el desarrollo intermunicipal, con la intervención que corresponda a la federación y las respectivas identidades para tales efectos;</w:t>
      </w:r>
    </w:p>
    <w:p>
      <w:pPr>
        <w:spacing w:after="0" w:line="276" w:lineRule="auto"/>
        <w:jc w:val="both"/>
        <w:rPr>
          <w:sz w:val="22"/>
        </w:rPr>
        <w:sectPr>
          <w:pgSz w:w="12240" w:h="15840"/>
          <w:pgMar w:header="178" w:footer="1076" w:top="1120" w:bottom="1360" w:left="460" w:right="220"/>
        </w:sectPr>
      </w:pPr>
    </w:p>
    <w:p>
      <w:pPr>
        <w:pStyle w:val="BodyText"/>
        <w:rPr>
          <w:sz w:val="20"/>
        </w:rPr>
      </w:pPr>
    </w:p>
    <w:p>
      <w:pPr>
        <w:pStyle w:val="BodyText"/>
        <w:rPr>
          <w:sz w:val="20"/>
        </w:rPr>
      </w:pPr>
    </w:p>
    <w:p>
      <w:pPr>
        <w:pStyle w:val="BodyText"/>
        <w:spacing w:before="3"/>
        <w:rPr>
          <w:sz w:val="18"/>
        </w:rPr>
      </w:pPr>
    </w:p>
    <w:p>
      <w:pPr>
        <w:pStyle w:val="ListParagraph"/>
        <w:numPr>
          <w:ilvl w:val="2"/>
          <w:numId w:val="39"/>
        </w:numPr>
        <w:tabs>
          <w:tab w:pos="1677" w:val="left" w:leader="none"/>
        </w:tabs>
        <w:spacing w:line="276" w:lineRule="auto" w:before="101" w:after="0"/>
        <w:ind w:left="1614" w:right="1156" w:hanging="356"/>
        <w:jc w:val="both"/>
        <w:rPr>
          <w:sz w:val="22"/>
        </w:rPr>
      </w:pPr>
      <w:r>
        <w:rPr/>
        <w:tab/>
      </w:r>
      <w:r>
        <w:rPr>
          <w:sz w:val="22"/>
        </w:rPr>
        <w:t>Acordar el establecimiento de consejos a nivel municipal. En la integración de estos consejos se deberá considerar invariablemente, la participación ciudadana conforme a la naturaleza de su</w:t>
      </w:r>
      <w:r>
        <w:rPr>
          <w:spacing w:val="-7"/>
          <w:sz w:val="22"/>
        </w:rPr>
        <w:t> </w:t>
      </w:r>
      <w:r>
        <w:rPr>
          <w:sz w:val="22"/>
        </w:rPr>
        <w:t>objeto;</w:t>
      </w:r>
    </w:p>
    <w:p>
      <w:pPr>
        <w:pStyle w:val="ListParagraph"/>
        <w:numPr>
          <w:ilvl w:val="2"/>
          <w:numId w:val="39"/>
        </w:numPr>
        <w:tabs>
          <w:tab w:pos="1614" w:val="left" w:leader="none"/>
        </w:tabs>
        <w:spacing w:line="276" w:lineRule="auto" w:before="1" w:after="0"/>
        <w:ind w:left="1614" w:right="1157" w:hanging="356"/>
        <w:jc w:val="both"/>
        <w:rPr>
          <w:sz w:val="22"/>
        </w:rPr>
      </w:pPr>
      <w:r>
        <w:rPr>
          <w:sz w:val="22"/>
        </w:rPr>
        <w:t>Difundir y socializar el Plan Municipal de Desarrollo y Gobernanza entre la población;</w:t>
      </w:r>
      <w:r>
        <w:rPr>
          <w:spacing w:val="-3"/>
          <w:sz w:val="22"/>
        </w:rPr>
        <w:t> </w:t>
      </w:r>
      <w:r>
        <w:rPr>
          <w:sz w:val="22"/>
        </w:rPr>
        <w:t>y</w:t>
      </w:r>
    </w:p>
    <w:p>
      <w:pPr>
        <w:pStyle w:val="ListParagraph"/>
        <w:numPr>
          <w:ilvl w:val="2"/>
          <w:numId w:val="39"/>
        </w:numPr>
        <w:tabs>
          <w:tab w:pos="1614" w:val="left" w:leader="none"/>
        </w:tabs>
        <w:spacing w:line="276" w:lineRule="auto" w:before="1" w:after="0"/>
        <w:ind w:left="1614" w:right="1156" w:hanging="356"/>
        <w:jc w:val="both"/>
        <w:rPr>
          <w:sz w:val="22"/>
        </w:rPr>
      </w:pPr>
      <w:r>
        <w:rPr>
          <w:sz w:val="22"/>
        </w:rPr>
        <w:t>Las demás que le asignen la ley y su reglamento, y demás ordenamientos territoriales;</w:t>
      </w:r>
    </w:p>
    <w:p>
      <w:pPr>
        <w:pStyle w:val="BodyText"/>
        <w:spacing w:before="2"/>
        <w:rPr>
          <w:sz w:val="25"/>
        </w:rPr>
      </w:pPr>
    </w:p>
    <w:p>
      <w:pPr>
        <w:pStyle w:val="BodyText"/>
        <w:spacing w:line="276" w:lineRule="auto"/>
        <w:ind w:left="901" w:right="1155"/>
        <w:jc w:val="both"/>
      </w:pPr>
      <w:r>
        <w:rPr/>
        <w:t>El organigrama de la Presidencia Municipal nos muestra la organización de la actual Administración Municipal, señalando como se derivan las responsabilidades y  señalando el control y el funcionamiento de las direcciones que existen actualmente, al respecto se ha hecho una comparativa histórica, haciendo notar que no se observan cambios sustanciales con respecto al organigrama que se señaló operaba en el </w:t>
      </w:r>
      <w:r>
        <w:rPr>
          <w:spacing w:val="-2"/>
        </w:rPr>
        <w:t>PDM </w:t>
      </w:r>
      <w:r>
        <w:rPr/>
        <w:t>de 1980, y que respecto del actual podemos mencionar que se da tan solo un incremento en el número de direcciones, esto debido sin duda a que la población </w:t>
      </w:r>
      <w:r>
        <w:rPr>
          <w:spacing w:val="-3"/>
        </w:rPr>
        <w:t>ha </w:t>
      </w:r>
      <w:r>
        <w:rPr/>
        <w:t>venido en aumento y con ello, las funciones sustantivas del gobierno</w:t>
      </w:r>
      <w:r>
        <w:rPr>
          <w:spacing w:val="-22"/>
        </w:rPr>
        <w:t> </w:t>
      </w:r>
      <w:r>
        <w:rPr/>
        <w:t>municipal.</w:t>
      </w:r>
    </w:p>
    <w:p>
      <w:pPr>
        <w:pStyle w:val="BodyText"/>
        <w:spacing w:before="4"/>
        <w:rPr>
          <w:sz w:val="25"/>
        </w:rPr>
      </w:pPr>
    </w:p>
    <w:p>
      <w:pPr>
        <w:pStyle w:val="BodyText"/>
        <w:spacing w:line="276" w:lineRule="auto"/>
        <w:ind w:left="901" w:right="1153"/>
        <w:jc w:val="both"/>
      </w:pPr>
      <w:r>
        <w:rPr/>
        <w:t>Hoy en día, por las exigencias a las que se ven sometidas las organizaciones públicas, se vuelve necesario que éstas adecuen sus procesos gubernamentales, lo cual implica formular todo un conjunto de sistemas y de manuales de procedimientos para cada una de las diferentes áreas de la administración municipal, para responder a estos objetivos y brindar así mejores resultados en las funciones básicas que la ley correspondiente les</w:t>
      </w:r>
      <w:r>
        <w:rPr>
          <w:spacing w:val="-2"/>
        </w:rPr>
        <w:t> </w:t>
      </w:r>
      <w:r>
        <w:rPr/>
        <w:t>señala.</w:t>
      </w:r>
    </w:p>
    <w:p>
      <w:pPr>
        <w:pStyle w:val="BodyText"/>
        <w:spacing w:before="10"/>
        <w:rPr>
          <w:sz w:val="23"/>
        </w:rPr>
      </w:pPr>
    </w:p>
    <w:p>
      <w:pPr>
        <w:pStyle w:val="Heading2"/>
        <w:jc w:val="both"/>
      </w:pPr>
      <w:r>
        <w:rPr/>
        <w:t>Normas y Procedimientos</w:t>
      </w:r>
    </w:p>
    <w:p>
      <w:pPr>
        <w:pStyle w:val="BodyText"/>
        <w:spacing w:before="6"/>
        <w:rPr>
          <w:rFonts w:ascii="Corbel"/>
          <w:b/>
          <w:sz w:val="25"/>
        </w:rPr>
      </w:pPr>
    </w:p>
    <w:p>
      <w:pPr>
        <w:pStyle w:val="BodyText"/>
        <w:spacing w:line="276" w:lineRule="auto"/>
        <w:ind w:left="901" w:right="1156"/>
        <w:jc w:val="both"/>
      </w:pPr>
      <w:r>
        <w:rPr/>
        <w:t>La Administración Municipal ha venido trabajando al respecto y ya se tiene avances sustanciales en diferentes campos de la vida pública, no obstante, aún se carece de algunos manuales de organización que definan y delimiten las funciones específicas de todos y cada uno de sus departamentos, esto ha conllevado a que exista en ocasiones desconocimiento de cuáles son los trabajos específicos y precisos que se deben realizar en los departamentos o direcciones existentes.</w:t>
      </w:r>
    </w:p>
    <w:p>
      <w:pPr>
        <w:pStyle w:val="BodyText"/>
        <w:spacing w:before="5"/>
        <w:rPr>
          <w:sz w:val="25"/>
        </w:rPr>
      </w:pPr>
    </w:p>
    <w:p>
      <w:pPr>
        <w:pStyle w:val="BodyText"/>
        <w:spacing w:line="276" w:lineRule="auto"/>
        <w:ind w:left="901" w:right="1161"/>
        <w:jc w:val="both"/>
      </w:pPr>
      <w:r>
        <w:rPr/>
        <w:t>Cabe destacar que, entre la reglamentación elaborada y actualizada para </w:t>
      </w:r>
      <w:r>
        <w:rPr>
          <w:spacing w:val="-5"/>
        </w:rPr>
        <w:t>el </w:t>
      </w:r>
      <w:r>
        <w:rPr/>
        <w:t>municipio de Magdalena, se cuenta con los siguientes</w:t>
      </w:r>
      <w:r>
        <w:rPr>
          <w:spacing w:val="-14"/>
        </w:rPr>
        <w:t> </w:t>
      </w:r>
      <w:r>
        <w:rPr/>
        <w:t>reglamentos:</w:t>
      </w:r>
    </w:p>
    <w:p>
      <w:pPr>
        <w:pStyle w:val="BodyText"/>
        <w:rPr>
          <w:sz w:val="30"/>
        </w:rPr>
      </w:pPr>
    </w:p>
    <w:p>
      <w:pPr>
        <w:pStyle w:val="ListParagraph"/>
        <w:numPr>
          <w:ilvl w:val="2"/>
          <w:numId w:val="27"/>
        </w:numPr>
        <w:tabs>
          <w:tab w:pos="1622" w:val="left" w:leader="none"/>
        </w:tabs>
        <w:spacing w:line="240" w:lineRule="auto" w:before="0" w:after="0"/>
        <w:ind w:left="1621" w:right="0" w:hanging="361"/>
        <w:jc w:val="left"/>
        <w:rPr>
          <w:rFonts w:ascii="MS Gothic" w:hAnsi="MS Gothic"/>
          <w:sz w:val="22"/>
        </w:rPr>
      </w:pPr>
      <w:r>
        <w:rPr>
          <w:rFonts w:ascii="Corbel" w:hAnsi="Corbel"/>
          <w:sz w:val="22"/>
        </w:rPr>
        <w:t>Reglamento de Transparencia y Acceso a la Información</w:t>
      </w:r>
      <w:r>
        <w:rPr>
          <w:rFonts w:ascii="Corbel" w:hAnsi="Corbel"/>
          <w:spacing w:val="-8"/>
          <w:sz w:val="22"/>
        </w:rPr>
        <w:t> </w:t>
      </w:r>
      <w:r>
        <w:rPr>
          <w:rFonts w:ascii="Corbel" w:hAnsi="Corbel"/>
          <w:sz w:val="22"/>
        </w:rPr>
        <w:t>Pública.</w:t>
      </w:r>
    </w:p>
    <w:p>
      <w:pPr>
        <w:pStyle w:val="ListParagraph"/>
        <w:numPr>
          <w:ilvl w:val="2"/>
          <w:numId w:val="27"/>
        </w:numPr>
        <w:tabs>
          <w:tab w:pos="1622" w:val="left" w:leader="none"/>
        </w:tabs>
        <w:spacing w:line="240" w:lineRule="auto" w:before="102" w:after="0"/>
        <w:ind w:left="1621" w:right="0" w:hanging="361"/>
        <w:jc w:val="left"/>
        <w:rPr>
          <w:rFonts w:ascii="MS Gothic" w:hAnsi="MS Gothic"/>
          <w:sz w:val="22"/>
        </w:rPr>
      </w:pPr>
      <w:r>
        <w:rPr>
          <w:rFonts w:ascii="Corbel" w:hAnsi="Corbel"/>
          <w:sz w:val="22"/>
        </w:rPr>
        <w:t>Reglamento Interno del Comité para la Igualdad de</w:t>
      </w:r>
      <w:r>
        <w:rPr>
          <w:rFonts w:ascii="Corbel" w:hAnsi="Corbel"/>
          <w:spacing w:val="-10"/>
          <w:sz w:val="22"/>
        </w:rPr>
        <w:t> </w:t>
      </w:r>
      <w:r>
        <w:rPr>
          <w:rFonts w:ascii="Corbel" w:hAnsi="Corbel"/>
          <w:sz w:val="22"/>
        </w:rPr>
        <w:t>Género.</w:t>
      </w:r>
    </w:p>
    <w:p>
      <w:pPr>
        <w:pStyle w:val="ListParagraph"/>
        <w:numPr>
          <w:ilvl w:val="2"/>
          <w:numId w:val="27"/>
        </w:numPr>
        <w:tabs>
          <w:tab w:pos="1622" w:val="left" w:leader="none"/>
        </w:tabs>
        <w:spacing w:line="240" w:lineRule="auto" w:before="100" w:after="0"/>
        <w:ind w:left="1621" w:right="0" w:hanging="361"/>
        <w:jc w:val="left"/>
        <w:rPr>
          <w:rFonts w:ascii="MS Gothic" w:hAnsi="MS Gothic"/>
          <w:sz w:val="22"/>
        </w:rPr>
      </w:pPr>
      <w:r>
        <w:rPr>
          <w:rFonts w:ascii="Corbel" w:hAnsi="Corbel"/>
          <w:sz w:val="22"/>
        </w:rPr>
        <w:t>Reglamento de Nomenclatura y</w:t>
      </w:r>
      <w:r>
        <w:rPr>
          <w:rFonts w:ascii="Corbel" w:hAnsi="Corbel"/>
          <w:spacing w:val="-5"/>
          <w:sz w:val="22"/>
        </w:rPr>
        <w:t> </w:t>
      </w:r>
      <w:r>
        <w:rPr>
          <w:rFonts w:ascii="Corbel" w:hAnsi="Corbel"/>
          <w:sz w:val="22"/>
        </w:rPr>
        <w:t>Numeración.</w:t>
      </w:r>
    </w:p>
    <w:p>
      <w:pPr>
        <w:spacing w:after="0" w:line="240" w:lineRule="auto"/>
        <w:jc w:val="left"/>
        <w:rPr>
          <w:rFonts w:ascii="MS Gothic" w:hAnsi="MS Gothic"/>
          <w:sz w:val="22"/>
        </w:rPr>
        <w:sectPr>
          <w:pgSz w:w="12240" w:h="15840"/>
          <w:pgMar w:header="178" w:footer="1076" w:top="1120" w:bottom="1360" w:left="460" w:right="220"/>
        </w:sectPr>
      </w:pPr>
    </w:p>
    <w:p>
      <w:pPr>
        <w:pStyle w:val="BodyText"/>
        <w:rPr>
          <w:rFonts w:ascii="Corbel"/>
          <w:sz w:val="20"/>
        </w:rPr>
      </w:pPr>
    </w:p>
    <w:p>
      <w:pPr>
        <w:pStyle w:val="BodyText"/>
        <w:spacing w:before="7"/>
        <w:rPr>
          <w:rFonts w:ascii="Corbel"/>
          <w:sz w:val="20"/>
        </w:rPr>
      </w:pPr>
    </w:p>
    <w:p>
      <w:pPr>
        <w:pStyle w:val="ListParagraph"/>
        <w:numPr>
          <w:ilvl w:val="2"/>
          <w:numId w:val="27"/>
        </w:numPr>
        <w:tabs>
          <w:tab w:pos="1622" w:val="left" w:leader="none"/>
        </w:tabs>
        <w:spacing w:line="240" w:lineRule="auto" w:before="70" w:after="0"/>
        <w:ind w:left="1621" w:right="0" w:hanging="361"/>
        <w:jc w:val="left"/>
        <w:rPr>
          <w:rFonts w:ascii="MS Gothic" w:hAnsi="MS Gothic"/>
          <w:sz w:val="22"/>
        </w:rPr>
      </w:pPr>
      <w:r>
        <w:rPr>
          <w:rFonts w:ascii="Corbel" w:hAnsi="Corbel"/>
          <w:sz w:val="22"/>
        </w:rPr>
        <w:t>Reglamento de Parques, Jardines y Recursos</w:t>
      </w:r>
      <w:r>
        <w:rPr>
          <w:rFonts w:ascii="Corbel" w:hAnsi="Corbel"/>
          <w:spacing w:val="-10"/>
          <w:sz w:val="22"/>
        </w:rPr>
        <w:t> </w:t>
      </w:r>
      <w:r>
        <w:rPr>
          <w:rFonts w:ascii="Corbel" w:hAnsi="Corbel"/>
          <w:sz w:val="22"/>
        </w:rPr>
        <w:t>Forestales.</w:t>
      </w:r>
    </w:p>
    <w:p>
      <w:pPr>
        <w:pStyle w:val="ListParagraph"/>
        <w:numPr>
          <w:ilvl w:val="2"/>
          <w:numId w:val="27"/>
        </w:numPr>
        <w:tabs>
          <w:tab w:pos="1622" w:val="left" w:leader="none"/>
        </w:tabs>
        <w:spacing w:line="240" w:lineRule="auto" w:before="102" w:after="0"/>
        <w:ind w:left="1621" w:right="0" w:hanging="361"/>
        <w:jc w:val="left"/>
        <w:rPr>
          <w:rFonts w:ascii="MS Gothic" w:hAnsi="MS Gothic"/>
          <w:sz w:val="22"/>
        </w:rPr>
      </w:pPr>
      <w:r>
        <w:rPr>
          <w:rFonts w:ascii="Corbel" w:hAnsi="Corbel"/>
          <w:sz w:val="22"/>
        </w:rPr>
        <w:t>Reglamento de Desempeño de</w:t>
      </w:r>
      <w:r>
        <w:rPr>
          <w:rFonts w:ascii="Corbel" w:hAnsi="Corbel"/>
          <w:spacing w:val="-5"/>
          <w:sz w:val="22"/>
        </w:rPr>
        <w:t> </w:t>
      </w:r>
      <w:r>
        <w:rPr>
          <w:rFonts w:ascii="Corbel" w:hAnsi="Corbel"/>
          <w:sz w:val="22"/>
        </w:rPr>
        <w:t>Reclusorios.</w:t>
      </w:r>
    </w:p>
    <w:p>
      <w:pPr>
        <w:pStyle w:val="ListParagraph"/>
        <w:numPr>
          <w:ilvl w:val="2"/>
          <w:numId w:val="27"/>
        </w:numPr>
        <w:tabs>
          <w:tab w:pos="1622" w:val="left" w:leader="none"/>
        </w:tabs>
        <w:spacing w:line="240" w:lineRule="auto" w:before="99" w:after="0"/>
        <w:ind w:left="1621" w:right="0" w:hanging="361"/>
        <w:jc w:val="left"/>
        <w:rPr>
          <w:rFonts w:ascii="MS Gothic" w:hAnsi="MS Gothic"/>
          <w:sz w:val="22"/>
        </w:rPr>
      </w:pPr>
      <w:r>
        <w:rPr>
          <w:rFonts w:ascii="Corbel" w:hAnsi="Corbel"/>
          <w:sz w:val="22"/>
        </w:rPr>
        <w:t>Reglamentos de</w:t>
      </w:r>
      <w:r>
        <w:rPr>
          <w:rFonts w:ascii="Corbel" w:hAnsi="Corbel"/>
          <w:spacing w:val="-4"/>
          <w:sz w:val="22"/>
        </w:rPr>
        <w:t> </w:t>
      </w:r>
      <w:r>
        <w:rPr>
          <w:rFonts w:ascii="Corbel" w:hAnsi="Corbel"/>
          <w:sz w:val="22"/>
        </w:rPr>
        <w:t>Salud.</w:t>
      </w:r>
    </w:p>
    <w:p>
      <w:pPr>
        <w:pStyle w:val="ListParagraph"/>
        <w:numPr>
          <w:ilvl w:val="2"/>
          <w:numId w:val="27"/>
        </w:numPr>
        <w:tabs>
          <w:tab w:pos="1622" w:val="left" w:leader="none"/>
        </w:tabs>
        <w:spacing w:line="240" w:lineRule="auto" w:before="100" w:after="0"/>
        <w:ind w:left="1621" w:right="0" w:hanging="361"/>
        <w:jc w:val="left"/>
        <w:rPr>
          <w:rFonts w:ascii="MS Gothic" w:hAnsi="MS Gothic"/>
          <w:sz w:val="22"/>
        </w:rPr>
      </w:pPr>
      <w:r>
        <w:rPr>
          <w:rFonts w:ascii="Corbel" w:hAnsi="Corbel"/>
          <w:sz w:val="22"/>
        </w:rPr>
        <w:t>Reglamento para la Prestación de Servicios de Agua Potable, Alcantarillado y</w:t>
      </w:r>
      <w:r>
        <w:rPr>
          <w:rFonts w:ascii="Corbel" w:hAnsi="Corbel"/>
          <w:spacing w:val="-17"/>
          <w:sz w:val="22"/>
        </w:rPr>
        <w:t> </w:t>
      </w:r>
      <w:r>
        <w:rPr>
          <w:rFonts w:ascii="Corbel" w:hAnsi="Corbel"/>
          <w:sz w:val="22"/>
        </w:rPr>
        <w:t>Saneamiento.</w:t>
      </w:r>
    </w:p>
    <w:p>
      <w:pPr>
        <w:pStyle w:val="ListParagraph"/>
        <w:numPr>
          <w:ilvl w:val="2"/>
          <w:numId w:val="27"/>
        </w:numPr>
        <w:tabs>
          <w:tab w:pos="1622" w:val="left" w:leader="none"/>
        </w:tabs>
        <w:spacing w:line="240" w:lineRule="auto" w:before="102" w:after="0"/>
        <w:ind w:left="1621" w:right="0" w:hanging="361"/>
        <w:jc w:val="left"/>
        <w:rPr>
          <w:rFonts w:ascii="MS Gothic" w:hAnsi="MS Gothic"/>
          <w:sz w:val="22"/>
        </w:rPr>
      </w:pPr>
      <w:r>
        <w:rPr>
          <w:rFonts w:ascii="Corbel" w:hAnsi="Corbel"/>
          <w:sz w:val="22"/>
        </w:rPr>
        <w:t>Reglamento de Policía y Buen</w:t>
      </w:r>
      <w:r>
        <w:rPr>
          <w:rFonts w:ascii="Corbel" w:hAnsi="Corbel"/>
          <w:spacing w:val="-6"/>
          <w:sz w:val="22"/>
        </w:rPr>
        <w:t> </w:t>
      </w:r>
      <w:r>
        <w:rPr>
          <w:rFonts w:ascii="Corbel" w:hAnsi="Corbel"/>
          <w:sz w:val="22"/>
        </w:rPr>
        <w:t>Gobierno.</w:t>
      </w:r>
    </w:p>
    <w:p>
      <w:pPr>
        <w:pStyle w:val="ListParagraph"/>
        <w:numPr>
          <w:ilvl w:val="2"/>
          <w:numId w:val="27"/>
        </w:numPr>
        <w:tabs>
          <w:tab w:pos="1622" w:val="left" w:leader="none"/>
        </w:tabs>
        <w:spacing w:line="240" w:lineRule="auto" w:before="100" w:after="0"/>
        <w:ind w:left="1621" w:right="0" w:hanging="361"/>
        <w:jc w:val="left"/>
        <w:rPr>
          <w:rFonts w:ascii="MS Gothic" w:hAnsi="MS Gothic"/>
          <w:sz w:val="22"/>
        </w:rPr>
      </w:pPr>
      <w:r>
        <w:rPr>
          <w:rFonts w:ascii="Corbel" w:hAnsi="Corbel"/>
          <w:sz w:val="22"/>
        </w:rPr>
        <w:t>Reglamento Interno de la Dirección de Seguridad</w:t>
      </w:r>
      <w:r>
        <w:rPr>
          <w:rFonts w:ascii="Corbel" w:hAnsi="Corbel"/>
          <w:spacing w:val="-8"/>
          <w:sz w:val="22"/>
        </w:rPr>
        <w:t> </w:t>
      </w:r>
      <w:r>
        <w:rPr>
          <w:rFonts w:ascii="Corbel" w:hAnsi="Corbel"/>
          <w:sz w:val="22"/>
        </w:rPr>
        <w:t>Pública.</w:t>
      </w:r>
    </w:p>
    <w:p>
      <w:pPr>
        <w:pStyle w:val="ListParagraph"/>
        <w:numPr>
          <w:ilvl w:val="2"/>
          <w:numId w:val="27"/>
        </w:numPr>
        <w:tabs>
          <w:tab w:pos="1622" w:val="left" w:leader="none"/>
        </w:tabs>
        <w:spacing w:line="240" w:lineRule="auto" w:before="102" w:after="0"/>
        <w:ind w:left="1621" w:right="0" w:hanging="361"/>
        <w:jc w:val="left"/>
        <w:rPr>
          <w:rFonts w:ascii="MS Gothic" w:hAnsi="MS Gothic"/>
          <w:sz w:val="22"/>
        </w:rPr>
      </w:pPr>
      <w:r>
        <w:rPr>
          <w:rFonts w:ascii="Corbel" w:hAnsi="Corbel"/>
          <w:sz w:val="22"/>
        </w:rPr>
        <w:t>Reglamento de</w:t>
      </w:r>
      <w:r>
        <w:rPr>
          <w:rFonts w:ascii="Corbel" w:hAnsi="Corbel"/>
          <w:spacing w:val="-3"/>
          <w:sz w:val="22"/>
        </w:rPr>
        <w:t> </w:t>
      </w:r>
      <w:r>
        <w:rPr>
          <w:rFonts w:ascii="Corbel" w:hAnsi="Corbel"/>
          <w:sz w:val="22"/>
        </w:rPr>
        <w:t>Construcción.</w:t>
      </w:r>
    </w:p>
    <w:p>
      <w:pPr>
        <w:pStyle w:val="ListParagraph"/>
        <w:numPr>
          <w:ilvl w:val="2"/>
          <w:numId w:val="27"/>
        </w:numPr>
        <w:tabs>
          <w:tab w:pos="1622" w:val="left" w:leader="none"/>
        </w:tabs>
        <w:spacing w:line="240" w:lineRule="auto" w:before="100" w:after="0"/>
        <w:ind w:left="1621" w:right="0" w:hanging="361"/>
        <w:jc w:val="left"/>
        <w:rPr>
          <w:rFonts w:ascii="MS Gothic" w:hAnsi="MS Gothic"/>
          <w:sz w:val="22"/>
        </w:rPr>
      </w:pPr>
      <w:r>
        <w:rPr>
          <w:rFonts w:ascii="Corbel" w:hAnsi="Corbel"/>
          <w:sz w:val="22"/>
        </w:rPr>
        <w:t>Reglamento para el Funcionamiento Interno de las Sesiones del</w:t>
      </w:r>
      <w:r>
        <w:rPr>
          <w:rFonts w:ascii="Corbel" w:hAnsi="Corbel"/>
          <w:spacing w:val="-14"/>
          <w:sz w:val="22"/>
        </w:rPr>
        <w:t> </w:t>
      </w:r>
      <w:r>
        <w:rPr>
          <w:rFonts w:ascii="Corbel" w:hAnsi="Corbel"/>
          <w:sz w:val="22"/>
        </w:rPr>
        <w:t>Ayuntamiento.</w:t>
      </w:r>
    </w:p>
    <w:p>
      <w:pPr>
        <w:pStyle w:val="ListParagraph"/>
        <w:numPr>
          <w:ilvl w:val="2"/>
          <w:numId w:val="27"/>
        </w:numPr>
        <w:tabs>
          <w:tab w:pos="1622" w:val="left" w:leader="none"/>
        </w:tabs>
        <w:spacing w:line="240" w:lineRule="auto" w:before="102" w:after="0"/>
        <w:ind w:left="1621" w:right="0" w:hanging="361"/>
        <w:jc w:val="left"/>
        <w:rPr>
          <w:rFonts w:ascii="MS Gothic" w:hAnsi="MS Gothic"/>
          <w:sz w:val="22"/>
        </w:rPr>
      </w:pPr>
      <w:r>
        <w:rPr>
          <w:rFonts w:ascii="Corbel" w:hAnsi="Corbel"/>
          <w:sz w:val="22"/>
        </w:rPr>
        <w:t>Reglamento del Servicio de Aseo</w:t>
      </w:r>
      <w:r>
        <w:rPr>
          <w:rFonts w:ascii="Corbel" w:hAnsi="Corbel"/>
          <w:spacing w:val="-7"/>
          <w:sz w:val="22"/>
        </w:rPr>
        <w:t> </w:t>
      </w:r>
      <w:r>
        <w:rPr>
          <w:rFonts w:ascii="Corbel" w:hAnsi="Corbel"/>
          <w:sz w:val="22"/>
        </w:rPr>
        <w:t>Público.</w:t>
      </w:r>
    </w:p>
    <w:p>
      <w:pPr>
        <w:pStyle w:val="ListParagraph"/>
        <w:numPr>
          <w:ilvl w:val="2"/>
          <w:numId w:val="27"/>
        </w:numPr>
        <w:tabs>
          <w:tab w:pos="1622" w:val="left" w:leader="none"/>
        </w:tabs>
        <w:spacing w:line="240" w:lineRule="auto" w:before="100" w:after="0"/>
        <w:ind w:left="1621" w:right="0" w:hanging="361"/>
        <w:jc w:val="left"/>
        <w:rPr>
          <w:rFonts w:ascii="MS Gothic" w:hAnsi="MS Gothic"/>
          <w:sz w:val="22"/>
        </w:rPr>
      </w:pPr>
      <w:r>
        <w:rPr>
          <w:rFonts w:ascii="Corbel" w:hAnsi="Corbel"/>
          <w:sz w:val="22"/>
        </w:rPr>
        <w:t>Reglamento Municipal de Protección</w:t>
      </w:r>
      <w:r>
        <w:rPr>
          <w:rFonts w:ascii="Corbel" w:hAnsi="Corbel"/>
          <w:spacing w:val="-4"/>
          <w:sz w:val="22"/>
        </w:rPr>
        <w:t> </w:t>
      </w:r>
      <w:r>
        <w:rPr>
          <w:rFonts w:ascii="Corbel" w:hAnsi="Corbel"/>
          <w:sz w:val="22"/>
        </w:rPr>
        <w:t>Civil.</w:t>
      </w:r>
    </w:p>
    <w:p>
      <w:pPr>
        <w:pStyle w:val="ListParagraph"/>
        <w:numPr>
          <w:ilvl w:val="2"/>
          <w:numId w:val="27"/>
        </w:numPr>
        <w:tabs>
          <w:tab w:pos="1622" w:val="left" w:leader="none"/>
        </w:tabs>
        <w:spacing w:line="271" w:lineRule="auto" w:before="102" w:after="0"/>
        <w:ind w:left="1621" w:right="1161" w:hanging="360"/>
        <w:jc w:val="left"/>
        <w:rPr>
          <w:rFonts w:ascii="MS Gothic" w:hAnsi="MS Gothic"/>
          <w:sz w:val="22"/>
        </w:rPr>
      </w:pPr>
      <w:r>
        <w:rPr>
          <w:rFonts w:ascii="Corbel" w:hAnsi="Corbel"/>
          <w:sz w:val="22"/>
        </w:rPr>
        <w:t>Reglamento para el Ejercicio del Comercio en Mercados Municipales, Locales Comerciales y en la Vía</w:t>
      </w:r>
      <w:r>
        <w:rPr>
          <w:rFonts w:ascii="Corbel" w:hAnsi="Corbel"/>
          <w:spacing w:val="-2"/>
          <w:sz w:val="22"/>
        </w:rPr>
        <w:t> </w:t>
      </w:r>
      <w:r>
        <w:rPr>
          <w:rFonts w:ascii="Corbel" w:hAnsi="Corbel"/>
          <w:sz w:val="22"/>
        </w:rPr>
        <w:t>Pública.</w:t>
      </w:r>
    </w:p>
    <w:p>
      <w:pPr>
        <w:pStyle w:val="ListParagraph"/>
        <w:numPr>
          <w:ilvl w:val="2"/>
          <w:numId w:val="27"/>
        </w:numPr>
        <w:tabs>
          <w:tab w:pos="1622" w:val="left" w:leader="none"/>
        </w:tabs>
        <w:spacing w:line="240" w:lineRule="auto" w:before="70" w:after="0"/>
        <w:ind w:left="1621" w:right="0" w:hanging="361"/>
        <w:jc w:val="left"/>
        <w:rPr>
          <w:rFonts w:ascii="MS Gothic" w:hAnsi="MS Gothic"/>
          <w:sz w:val="22"/>
        </w:rPr>
      </w:pPr>
      <w:r>
        <w:rPr>
          <w:rFonts w:ascii="Corbel" w:hAnsi="Corbel"/>
          <w:sz w:val="22"/>
        </w:rPr>
        <w:t>Reglamento de</w:t>
      </w:r>
      <w:r>
        <w:rPr>
          <w:rFonts w:ascii="Corbel" w:hAnsi="Corbel"/>
          <w:spacing w:val="-3"/>
          <w:sz w:val="22"/>
        </w:rPr>
        <w:t> </w:t>
      </w:r>
      <w:r>
        <w:rPr>
          <w:rFonts w:ascii="Corbel" w:hAnsi="Corbel"/>
          <w:sz w:val="22"/>
        </w:rPr>
        <w:t>Adquisiciones.</w:t>
      </w:r>
    </w:p>
    <w:p>
      <w:pPr>
        <w:pStyle w:val="ListParagraph"/>
        <w:numPr>
          <w:ilvl w:val="2"/>
          <w:numId w:val="27"/>
        </w:numPr>
        <w:tabs>
          <w:tab w:pos="1622" w:val="left" w:leader="none"/>
        </w:tabs>
        <w:spacing w:line="240" w:lineRule="auto" w:before="99" w:after="0"/>
        <w:ind w:left="1621" w:right="0" w:hanging="361"/>
        <w:jc w:val="left"/>
        <w:rPr>
          <w:rFonts w:ascii="MS Gothic" w:hAnsi="MS Gothic"/>
          <w:sz w:val="22"/>
        </w:rPr>
      </w:pPr>
      <w:r>
        <w:rPr>
          <w:rFonts w:ascii="Corbel" w:hAnsi="Corbel"/>
          <w:sz w:val="22"/>
        </w:rPr>
        <w:t>Reglamento de</w:t>
      </w:r>
      <w:r>
        <w:rPr>
          <w:rFonts w:ascii="Corbel" w:hAnsi="Corbel"/>
          <w:spacing w:val="-3"/>
          <w:sz w:val="22"/>
        </w:rPr>
        <w:t> </w:t>
      </w:r>
      <w:r>
        <w:rPr>
          <w:rFonts w:ascii="Corbel" w:hAnsi="Corbel"/>
          <w:sz w:val="22"/>
        </w:rPr>
        <w:t>Turismo.</w:t>
      </w:r>
    </w:p>
    <w:p>
      <w:pPr>
        <w:pStyle w:val="ListParagraph"/>
        <w:numPr>
          <w:ilvl w:val="2"/>
          <w:numId w:val="27"/>
        </w:numPr>
        <w:tabs>
          <w:tab w:pos="1622" w:val="left" w:leader="none"/>
        </w:tabs>
        <w:spacing w:line="240" w:lineRule="auto" w:before="102" w:after="0"/>
        <w:ind w:left="1621" w:right="0" w:hanging="361"/>
        <w:jc w:val="left"/>
        <w:rPr>
          <w:rFonts w:ascii="MS Gothic" w:hAnsi="MS Gothic"/>
          <w:sz w:val="22"/>
        </w:rPr>
      </w:pPr>
      <w:r>
        <w:rPr>
          <w:rFonts w:ascii="Corbel" w:hAnsi="Corbel"/>
          <w:sz w:val="22"/>
        </w:rPr>
        <w:t>Reglamento Municipal de Ecología y Protección al Medio</w:t>
      </w:r>
      <w:r>
        <w:rPr>
          <w:rFonts w:ascii="Corbel" w:hAnsi="Corbel"/>
          <w:spacing w:val="-12"/>
          <w:sz w:val="22"/>
        </w:rPr>
        <w:t> </w:t>
      </w:r>
      <w:r>
        <w:rPr>
          <w:rFonts w:ascii="Corbel" w:hAnsi="Corbel"/>
          <w:sz w:val="22"/>
        </w:rPr>
        <w:t>Ambiente.</w:t>
      </w:r>
    </w:p>
    <w:p>
      <w:pPr>
        <w:pStyle w:val="ListParagraph"/>
        <w:numPr>
          <w:ilvl w:val="2"/>
          <w:numId w:val="27"/>
        </w:numPr>
        <w:tabs>
          <w:tab w:pos="1622" w:val="left" w:leader="none"/>
        </w:tabs>
        <w:spacing w:line="240" w:lineRule="auto" w:before="100" w:after="0"/>
        <w:ind w:left="1621" w:right="0" w:hanging="361"/>
        <w:jc w:val="left"/>
        <w:rPr>
          <w:rFonts w:ascii="MS Gothic" w:hAnsi="MS Gothic"/>
          <w:sz w:val="22"/>
        </w:rPr>
      </w:pPr>
      <w:r>
        <w:rPr>
          <w:rFonts w:ascii="Corbel" w:hAnsi="Corbel"/>
          <w:sz w:val="22"/>
        </w:rPr>
        <w:t>Reglamento Municipal de la Ley de Acceso de las Mujeres a una Vida Libre de</w:t>
      </w:r>
      <w:r>
        <w:rPr>
          <w:rFonts w:ascii="Corbel" w:hAnsi="Corbel"/>
          <w:spacing w:val="-19"/>
          <w:sz w:val="22"/>
        </w:rPr>
        <w:t> </w:t>
      </w:r>
      <w:r>
        <w:rPr>
          <w:rFonts w:ascii="Corbel" w:hAnsi="Corbel"/>
          <w:sz w:val="22"/>
        </w:rPr>
        <w:t>Violencia.</w:t>
      </w:r>
    </w:p>
    <w:p>
      <w:pPr>
        <w:pStyle w:val="ListParagraph"/>
        <w:numPr>
          <w:ilvl w:val="2"/>
          <w:numId w:val="27"/>
        </w:numPr>
        <w:tabs>
          <w:tab w:pos="1622" w:val="left" w:leader="none"/>
        </w:tabs>
        <w:spacing w:line="240" w:lineRule="auto" w:before="102" w:after="0"/>
        <w:ind w:left="1621" w:right="0" w:hanging="361"/>
        <w:jc w:val="left"/>
        <w:rPr>
          <w:rFonts w:ascii="MS Gothic" w:hAnsi="MS Gothic"/>
          <w:sz w:val="22"/>
        </w:rPr>
      </w:pPr>
      <w:r>
        <w:rPr>
          <w:rFonts w:ascii="Corbel" w:hAnsi="Corbel"/>
          <w:sz w:val="22"/>
        </w:rPr>
        <w:t>Reglamento Interno para el Consejo Técnico del Catastro</w:t>
      </w:r>
      <w:r>
        <w:rPr>
          <w:rFonts w:ascii="Corbel" w:hAnsi="Corbel"/>
          <w:spacing w:val="-14"/>
          <w:sz w:val="22"/>
        </w:rPr>
        <w:t> </w:t>
      </w:r>
      <w:r>
        <w:rPr>
          <w:rFonts w:ascii="Corbel" w:hAnsi="Corbel"/>
          <w:sz w:val="22"/>
        </w:rPr>
        <w:t>Municipal.</w:t>
      </w:r>
    </w:p>
    <w:p>
      <w:pPr>
        <w:pStyle w:val="BodyText"/>
        <w:spacing w:before="4"/>
        <w:rPr>
          <w:rFonts w:ascii="Corbel"/>
          <w:sz w:val="28"/>
        </w:rPr>
      </w:pPr>
    </w:p>
    <w:p>
      <w:pPr>
        <w:pStyle w:val="BodyText"/>
        <w:ind w:left="901"/>
        <w:rPr>
          <w:rFonts w:ascii="Corbel" w:hAnsi="Corbel"/>
        </w:rPr>
      </w:pPr>
      <w:r>
        <w:rPr>
          <w:rFonts w:ascii="Corbel" w:hAnsi="Corbel"/>
        </w:rPr>
        <w:t>Así mismo, es importante mencionar que se requiere elaborar los siguientes reglamentos:</w:t>
      </w:r>
    </w:p>
    <w:p>
      <w:pPr>
        <w:pStyle w:val="BodyText"/>
        <w:spacing w:before="3"/>
        <w:rPr>
          <w:rFonts w:ascii="Corbel"/>
          <w:sz w:val="27"/>
        </w:rPr>
      </w:pPr>
    </w:p>
    <w:p>
      <w:pPr>
        <w:pStyle w:val="ListParagraph"/>
        <w:numPr>
          <w:ilvl w:val="2"/>
          <w:numId w:val="27"/>
        </w:numPr>
        <w:tabs>
          <w:tab w:pos="1622" w:val="left" w:leader="none"/>
        </w:tabs>
        <w:spacing w:line="240" w:lineRule="auto" w:before="1" w:after="0"/>
        <w:ind w:left="1621" w:right="0" w:hanging="361"/>
        <w:jc w:val="left"/>
        <w:rPr>
          <w:rFonts w:ascii="MS Gothic" w:hAnsi="MS Gothic"/>
          <w:sz w:val="22"/>
        </w:rPr>
      </w:pPr>
      <w:r>
        <w:rPr>
          <w:rFonts w:ascii="Corbel" w:hAnsi="Corbel"/>
          <w:sz w:val="22"/>
        </w:rPr>
        <w:t>Reglamento para el Control Sanitario y Protección a los</w:t>
      </w:r>
      <w:r>
        <w:rPr>
          <w:rFonts w:ascii="Corbel" w:hAnsi="Corbel"/>
          <w:spacing w:val="-14"/>
          <w:sz w:val="22"/>
        </w:rPr>
        <w:t> </w:t>
      </w:r>
      <w:r>
        <w:rPr>
          <w:rFonts w:ascii="Corbel" w:hAnsi="Corbel"/>
          <w:sz w:val="22"/>
        </w:rPr>
        <w:t>Animales.</w:t>
      </w:r>
    </w:p>
    <w:p>
      <w:pPr>
        <w:pStyle w:val="ListParagraph"/>
        <w:numPr>
          <w:ilvl w:val="2"/>
          <w:numId w:val="27"/>
        </w:numPr>
        <w:tabs>
          <w:tab w:pos="1622" w:val="left" w:leader="none"/>
        </w:tabs>
        <w:spacing w:line="240" w:lineRule="auto" w:before="61" w:after="0"/>
        <w:ind w:left="1621" w:right="0" w:hanging="361"/>
        <w:jc w:val="left"/>
        <w:rPr>
          <w:rFonts w:ascii="MS Gothic" w:hAnsi="MS Gothic"/>
          <w:sz w:val="22"/>
        </w:rPr>
      </w:pPr>
      <w:r>
        <w:rPr>
          <w:rFonts w:ascii="Corbel" w:hAnsi="Corbel"/>
          <w:sz w:val="22"/>
        </w:rPr>
        <w:t>Reglamento de Panteones</w:t>
      </w:r>
      <w:r>
        <w:rPr>
          <w:rFonts w:ascii="Corbel" w:hAnsi="Corbel"/>
          <w:spacing w:val="-6"/>
          <w:sz w:val="22"/>
        </w:rPr>
        <w:t> </w:t>
      </w:r>
      <w:r>
        <w:rPr>
          <w:rFonts w:ascii="Corbel" w:hAnsi="Corbel"/>
          <w:sz w:val="22"/>
        </w:rPr>
        <w:t>Municipales.</w:t>
      </w:r>
    </w:p>
    <w:p>
      <w:pPr>
        <w:pStyle w:val="ListParagraph"/>
        <w:numPr>
          <w:ilvl w:val="2"/>
          <w:numId w:val="27"/>
        </w:numPr>
        <w:tabs>
          <w:tab w:pos="1622" w:val="left" w:leader="none"/>
        </w:tabs>
        <w:spacing w:line="240" w:lineRule="auto" w:before="59" w:after="0"/>
        <w:ind w:left="1621" w:right="0" w:hanging="361"/>
        <w:jc w:val="left"/>
        <w:rPr>
          <w:rFonts w:ascii="MS Gothic" w:hAnsi="MS Gothic"/>
          <w:sz w:val="22"/>
        </w:rPr>
      </w:pPr>
      <w:r>
        <w:rPr>
          <w:rFonts w:ascii="Corbel" w:hAnsi="Corbel"/>
          <w:sz w:val="22"/>
        </w:rPr>
        <w:t>Reglamento de la Casa de la</w:t>
      </w:r>
      <w:r>
        <w:rPr>
          <w:rFonts w:ascii="Corbel" w:hAnsi="Corbel"/>
          <w:spacing w:val="-7"/>
          <w:sz w:val="22"/>
        </w:rPr>
        <w:t> </w:t>
      </w:r>
      <w:r>
        <w:rPr>
          <w:rFonts w:ascii="Corbel" w:hAnsi="Corbel"/>
          <w:sz w:val="22"/>
        </w:rPr>
        <w:t>Cultura</w:t>
      </w:r>
    </w:p>
    <w:p>
      <w:pPr>
        <w:pStyle w:val="ListParagraph"/>
        <w:numPr>
          <w:ilvl w:val="2"/>
          <w:numId w:val="27"/>
        </w:numPr>
        <w:tabs>
          <w:tab w:pos="1622" w:val="left" w:leader="none"/>
        </w:tabs>
        <w:spacing w:line="240" w:lineRule="auto" w:before="68" w:after="0"/>
        <w:ind w:left="1621" w:right="0" w:hanging="361"/>
        <w:jc w:val="left"/>
        <w:rPr>
          <w:rFonts w:ascii="MS Gothic" w:hAnsi="MS Gothic"/>
          <w:sz w:val="24"/>
        </w:rPr>
      </w:pPr>
      <w:r>
        <w:rPr>
          <w:rFonts w:ascii="Corbel" w:hAnsi="Corbel"/>
          <w:sz w:val="22"/>
        </w:rPr>
        <w:t>Reglamento sobre la Venta y Consumo de Bebidas</w:t>
      </w:r>
      <w:r>
        <w:rPr>
          <w:rFonts w:ascii="Corbel" w:hAnsi="Corbel"/>
          <w:spacing w:val="-11"/>
          <w:sz w:val="22"/>
        </w:rPr>
        <w:t> </w:t>
      </w:r>
      <w:r>
        <w:rPr>
          <w:rFonts w:ascii="Corbel" w:hAnsi="Corbel"/>
          <w:sz w:val="22"/>
        </w:rPr>
        <w:t>Alcohólicas</w:t>
      </w:r>
      <w:r>
        <w:rPr>
          <w:rFonts w:ascii="Calibri" w:hAnsi="Calibri"/>
          <w:sz w:val="24"/>
        </w:rPr>
        <w:t>.</w:t>
      </w:r>
    </w:p>
    <w:p>
      <w:pPr>
        <w:pStyle w:val="BodyText"/>
        <w:spacing w:before="11"/>
        <w:rPr>
          <w:rFonts w:ascii="Calibri"/>
          <w:sz w:val="23"/>
        </w:rPr>
      </w:pPr>
    </w:p>
    <w:p>
      <w:pPr>
        <w:pStyle w:val="Heading2"/>
      </w:pPr>
      <w:r>
        <w:rPr/>
        <w:t>Insumos humanos, materiales y tecnológicos</w:t>
      </w:r>
    </w:p>
    <w:p>
      <w:pPr>
        <w:pStyle w:val="BodyText"/>
        <w:spacing w:before="2"/>
        <w:rPr>
          <w:rFonts w:ascii="Corbel"/>
          <w:b/>
          <w:sz w:val="24"/>
        </w:rPr>
      </w:pPr>
    </w:p>
    <w:p>
      <w:pPr>
        <w:pStyle w:val="BodyText"/>
        <w:ind w:left="901" w:right="1156"/>
        <w:jc w:val="both"/>
      </w:pPr>
      <w:r>
        <w:rPr/>
        <w:t>En el Ayuntamiento de Magdalena se ha dado una relevancia importante a la capacitación del personal que aquí labora por lo que, la administración se ha preocupado por poner al alcance de su personal la capacitación que ha requerido ampliando en su caso algunas de las siguientes área: Relaciones Humanas, Gestión Gubernamental, Desarrollo y Planeación Administrativa, Aplicación de leyes ambientales, Registro Civil, Oficialía Mayor, Promoción Económica, Seguridad Publica; el Departamento de Catastro recibió capacitación en los siguientes aspectos, manejo de equipos de cómputo, manejo de programas, valuación, tramites y registros, desarrollo urbano, planeación y urbanización municipal.</w:t>
      </w:r>
    </w:p>
    <w:p>
      <w:pPr>
        <w:spacing w:after="0"/>
        <w:jc w:val="both"/>
        <w:sectPr>
          <w:pgSz w:w="12240" w:h="15840"/>
          <w:pgMar w:header="178" w:footer="1076" w:top="1120" w:bottom="1360" w:left="460" w:right="220"/>
        </w:sectPr>
      </w:pPr>
    </w:p>
    <w:p>
      <w:pPr>
        <w:pStyle w:val="BodyText"/>
        <w:rPr>
          <w:sz w:val="20"/>
        </w:rPr>
      </w:pPr>
    </w:p>
    <w:p>
      <w:pPr>
        <w:pStyle w:val="BodyText"/>
        <w:spacing w:before="3"/>
        <w:rPr>
          <w:sz w:val="21"/>
        </w:rPr>
      </w:pPr>
    </w:p>
    <w:p>
      <w:pPr>
        <w:pStyle w:val="BodyText"/>
        <w:spacing w:line="276" w:lineRule="auto"/>
        <w:ind w:left="901" w:right="1153"/>
        <w:jc w:val="both"/>
      </w:pPr>
      <w:r>
        <w:rPr/>
        <w:t>La contratación de personal para los diferentes puestos debe hacerse con estricto apego a un perfil requerido, por lo que se sugiere un sistema de evaluación de puestos, que responda a las expectativas y necesidades para alcanzar óptimos resultados en la operación del municipio. Así mismo, también es muy recomendable establecer un sistema de evaluación de desempeño, al igual que crear las condiciones se seguridad en los puestos de trabajo.</w:t>
      </w:r>
    </w:p>
    <w:p>
      <w:pPr>
        <w:pStyle w:val="BodyText"/>
        <w:spacing w:before="10"/>
        <w:rPr>
          <w:sz w:val="23"/>
        </w:rPr>
      </w:pPr>
    </w:p>
    <w:p>
      <w:pPr>
        <w:pStyle w:val="Heading2"/>
        <w:jc w:val="both"/>
      </w:pPr>
      <w:r>
        <w:rPr/>
        <w:t>Patrimonio Municipal</w:t>
      </w:r>
    </w:p>
    <w:p>
      <w:pPr>
        <w:pStyle w:val="BodyText"/>
        <w:spacing w:before="2"/>
        <w:rPr>
          <w:rFonts w:ascii="Corbel"/>
          <w:b/>
          <w:sz w:val="24"/>
        </w:rPr>
      </w:pPr>
    </w:p>
    <w:p>
      <w:pPr>
        <w:pStyle w:val="BodyText"/>
        <w:spacing w:line="276" w:lineRule="auto"/>
        <w:ind w:left="901" w:right="1156"/>
        <w:jc w:val="both"/>
      </w:pPr>
      <w:r>
        <w:rPr/>
        <w:t>Con relación a los bienes inmuebles propiedad del Ayuntamiento se mencionarán tan solo algunos de los más importantes, por lo que señalaremos que destaca el  edificio que alberga la Presidencia Municipal ubicado en la calle Hidalgo Poniente No. </w:t>
      </w:r>
      <w:r>
        <w:rPr>
          <w:spacing w:val="-3"/>
        </w:rPr>
        <w:t>45 </w:t>
      </w:r>
      <w:r>
        <w:rPr/>
        <w:t>donde se desarrollan las actividades propias del Ayuntamiento; también se cuenta con edificios que son el centro de salud en las Agencias Municipales de La Quemada, San Andrés, La Joya; y en la cabecera municipal destacan la Casa de la Cultura, el Auditorio Municipal, el Rastro, el Cementerio, la Biblioteca Pública José Dau, el Mercado y la Unidad Deportiva; estos edificios se encuentran en un estado favorable para su utilización.</w:t>
      </w:r>
    </w:p>
    <w:p>
      <w:pPr>
        <w:pStyle w:val="BodyText"/>
        <w:spacing w:before="3"/>
        <w:rPr>
          <w:sz w:val="25"/>
        </w:rPr>
      </w:pPr>
    </w:p>
    <w:p>
      <w:pPr>
        <w:pStyle w:val="BodyText"/>
        <w:spacing w:line="276" w:lineRule="auto"/>
        <w:ind w:left="901" w:right="1154"/>
        <w:jc w:val="both"/>
      </w:pPr>
      <w:r>
        <w:rPr/>
        <w:t>Es importante destacar que la situación legal de la mayoría de los predios, propiedad del Ayuntamiento, como son las plazas principales, las canchas de Básquet en las localidades rurales y en la cabecera municipal, los tanques de agua, algunas escuelas y sobre todo de las calles, un 40% carecen de documentación legal que las declare propiedades del municipio, por lo tanto el Ayuntamiento está promoviendo  y solicitando se formalicen las escrituras correspondientes de estos dichos predios así como las donaciones por parte de los</w:t>
      </w:r>
      <w:r>
        <w:rPr>
          <w:spacing w:val="-11"/>
        </w:rPr>
        <w:t> </w:t>
      </w:r>
      <w:r>
        <w:rPr/>
        <w:t>ejidos.</w:t>
      </w:r>
    </w:p>
    <w:p>
      <w:pPr>
        <w:pStyle w:val="BodyText"/>
        <w:spacing w:before="9"/>
        <w:rPr>
          <w:sz w:val="23"/>
        </w:rPr>
      </w:pPr>
    </w:p>
    <w:p>
      <w:pPr>
        <w:pStyle w:val="Heading2"/>
        <w:jc w:val="both"/>
      </w:pPr>
      <w:r>
        <w:rPr/>
        <w:t>Hacienda pública</w:t>
      </w:r>
    </w:p>
    <w:p>
      <w:pPr>
        <w:pStyle w:val="BodyText"/>
        <w:spacing w:before="7"/>
        <w:rPr>
          <w:rFonts w:ascii="Corbel"/>
          <w:b/>
          <w:sz w:val="25"/>
        </w:rPr>
      </w:pPr>
    </w:p>
    <w:p>
      <w:pPr>
        <w:pStyle w:val="BodyText"/>
        <w:spacing w:line="276" w:lineRule="auto"/>
        <w:ind w:left="901" w:right="1154"/>
        <w:jc w:val="both"/>
      </w:pPr>
      <w:r>
        <w:rPr/>
        <w:t>Ingresos. Los ingresos propios del municipio han estado alrededor del 14 y 15 por ciento de los ingresos totales en los últimos años. Si bien es necesario hacer un mayor esfuerzo recaudatorio, es importante señalar que no se han dejado afectar las finanzas municipales pese a las vicisitudes del país.</w:t>
      </w:r>
    </w:p>
    <w:p>
      <w:pPr>
        <w:pStyle w:val="BodyText"/>
        <w:spacing w:before="6"/>
        <w:rPr>
          <w:sz w:val="25"/>
        </w:rPr>
      </w:pPr>
    </w:p>
    <w:p>
      <w:pPr>
        <w:pStyle w:val="BodyText"/>
        <w:spacing w:line="276" w:lineRule="auto"/>
        <w:ind w:left="901" w:right="1155"/>
        <w:jc w:val="both"/>
      </w:pPr>
      <w:r>
        <w:rPr/>
        <w:t>En cuanto a impuestos, el pago de los contribuyentes se ha mantenido estable, así como las aportaciones de los ciudadanos por conceptos de derechos, aprovechamientos y</w:t>
      </w:r>
      <w:r>
        <w:rPr>
          <w:spacing w:val="-3"/>
        </w:rPr>
        <w:t> </w:t>
      </w:r>
      <w:r>
        <w:rPr/>
        <w:t>productos.</w:t>
      </w:r>
    </w:p>
    <w:p>
      <w:pPr>
        <w:pStyle w:val="BodyText"/>
        <w:spacing w:before="4"/>
        <w:rPr>
          <w:sz w:val="25"/>
        </w:rPr>
      </w:pPr>
    </w:p>
    <w:p>
      <w:pPr>
        <w:pStyle w:val="BodyText"/>
        <w:spacing w:line="276" w:lineRule="auto"/>
        <w:ind w:left="901" w:right="1156"/>
        <w:jc w:val="both"/>
      </w:pPr>
      <w:r>
        <w:rPr/>
        <w:t>Cabe destacar que las participaciones y aportaciones han tenido un incremento importante, lo que ha ayudado para que el municipio mantenga la prestación de servicios y la inversión que ha requerido en los últimos años.</w:t>
      </w:r>
    </w:p>
    <w:p>
      <w:pPr>
        <w:spacing w:after="0" w:line="276" w:lineRule="auto"/>
        <w:jc w:val="both"/>
        <w:sectPr>
          <w:pgSz w:w="12240" w:h="15840"/>
          <w:pgMar w:header="178" w:footer="1076" w:top="1120" w:bottom="1360" w:left="460" w:right="220"/>
        </w:sectPr>
      </w:pPr>
    </w:p>
    <w:p>
      <w:pPr>
        <w:pStyle w:val="BodyText"/>
        <w:rPr>
          <w:sz w:val="20"/>
        </w:rPr>
      </w:pPr>
      <w:r>
        <w:rPr/>
        <w:pict>
          <v:group style="position:absolute;margin-left:0pt;margin-top:719.039978pt;width:612pt;height:23.05pt;mso-position-horizontal-relative:page;mso-position-vertical-relative:page;z-index:251718656" coordorigin="0,14381" coordsize="12240,461">
            <v:shape style="position:absolute;left:0;top:14380;width:12240;height:351" type="#_x0000_t75" stroked="false">
              <v:imagedata r:id="rId43" o:title=""/>
            </v:shape>
            <v:shape style="position:absolute;left:991;top:14416;width:3516;height:384" type="#_x0000_t75" stroked="false">
              <v:imagedata r:id="rId44" o:title=""/>
            </v:shape>
            <v:shape style="position:absolute;left:0;top:14380;width:12240;height:461" type="#_x0000_t202" filled="false" stroked="false">
              <v:textbox inset="0,0,0,0">
                <w:txbxContent>
                  <w:p>
                    <w:pPr>
                      <w:tabs>
                        <w:tab w:pos="1091" w:val="left" w:leader="none"/>
                        <w:tab w:pos="12232" w:val="left" w:leader="none"/>
                      </w:tabs>
                      <w:spacing w:before="38"/>
                      <w:ind w:left="16"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line="182" w:lineRule="exact" w:before="57"/>
                      <w:ind w:left="0" w:right="1375" w:firstLine="0"/>
                      <w:jc w:val="right"/>
                      <w:rPr>
                        <w:rFonts w:ascii="Corbel"/>
                        <w:sz w:val="15"/>
                      </w:rPr>
                    </w:pPr>
                    <w:r>
                      <w:rPr>
                        <w:rFonts w:ascii="Corbel"/>
                        <w:smallCaps/>
                        <w:spacing w:val="-1"/>
                        <w:w w:val="100"/>
                        <w:sz w:val="15"/>
                      </w:rPr>
                      <w:t>91</w:t>
                    </w:r>
                  </w:p>
                </w:txbxContent>
              </v:textbox>
              <w10:wrap type="none"/>
            </v:shape>
            <w10:wrap type="none"/>
          </v:group>
        </w:pict>
      </w:r>
    </w:p>
    <w:p>
      <w:pPr>
        <w:pStyle w:val="BodyText"/>
        <w:rPr>
          <w:sz w:val="17"/>
        </w:rPr>
      </w:pPr>
    </w:p>
    <w:p>
      <w:pPr>
        <w:pStyle w:val="Heading3"/>
        <w:spacing w:before="50"/>
        <w:ind w:left="1001" w:right="1260"/>
        <w:rPr>
          <w:rFonts w:ascii="Corbel"/>
        </w:rPr>
      </w:pPr>
      <w:r>
        <w:rPr/>
        <w:pict>
          <v:group style="position:absolute;margin-left:169.460007pt;margin-top:35.765781pt;width:404.6pt;height:603pt;mso-position-horizontal-relative:page;mso-position-vertical-relative:paragraph;z-index:-262313984" coordorigin="3389,715" coordsize="8092,12060">
            <v:shape style="position:absolute;left:3398;top:11576;width:8083;height:737" coordorigin="3399,11577" coordsize="8083,737" path="m5024,11577l3399,11577,3399,12314,5024,12314,5024,11577m10415,11577l8785,11577,7717,11577,7717,11577,6090,11577,5024,11577,5024,12314,6090,12314,7717,12314,7717,12314,8785,12314,10415,12314,10415,11577m11481,11577l10416,11577,10416,12314,11481,12314,11481,11577e" filled="true" fillcolor="#dbe4f0" stroked="false">
              <v:path arrowok="t"/>
              <v:fill type="solid"/>
            </v:shape>
            <v:shape style="position:absolute;left:3394;top:11574;width:8088;height:742" coordorigin="3394,11575" coordsize="8088,742" path="m5022,12237l3394,12237,3394,12316,5022,12316,5022,12237m5022,11575l3399,11575,3399,11654,5022,11654,5022,11575m7717,12237l6090,12237,5024,12237,5024,12316,6090,12316,7717,12316,7717,12237m10413,12237l8785,12237,7720,12237,7720,12316,8785,12316,10413,12316,10413,12237m10415,11575l8785,11575,7717,11575,7717,11575,6090,11575,5022,11575,5022,11654,6090,11654,7717,11654,7717,11654,8785,11654,10415,11654,10415,11575m11481,12237l10416,12237,10416,12316,11481,12316,11481,12237m11481,11575l10416,11575,10416,11654,11481,11654,11481,11575e" filled="true" fillcolor="#dbe4f0" stroked="false">
              <v:path arrowok="t"/>
              <v:fill type="solid"/>
            </v:shape>
            <v:line style="position:absolute" from="3394,715" to="3394,12774" stroked="true" strokeweight=".48pt" strokecolor="#4f81bc">
              <v:stroke dashstyle="solid"/>
            </v:line>
            <w10:wrap type="none"/>
          </v:group>
        </w:pict>
      </w:r>
      <w:r>
        <w:rPr>
          <w:rFonts w:ascii="Corbel"/>
        </w:rPr>
        <w:t>TABLA 9. INGRESOS MUNICIPALES</w:t>
      </w:r>
    </w:p>
    <w:p>
      <w:pPr>
        <w:pStyle w:val="BodyText"/>
        <w:rPr>
          <w:rFonts w:ascii="Corbel"/>
          <w:sz w:val="20"/>
        </w:rPr>
      </w:pPr>
    </w:p>
    <w:p>
      <w:pPr>
        <w:pStyle w:val="BodyText"/>
        <w:spacing w:before="6"/>
        <w:rPr>
          <w:rFonts w:ascii="Corbel"/>
          <w:sz w:val="10"/>
        </w:rPr>
      </w:pPr>
    </w:p>
    <w:tbl>
      <w:tblPr>
        <w:tblW w:w="0" w:type="auto"/>
        <w:jc w:val="left"/>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52"/>
        <w:gridCol w:w="1650"/>
        <w:gridCol w:w="1231"/>
        <w:gridCol w:w="1463"/>
        <w:gridCol w:w="1248"/>
        <w:gridCol w:w="1446"/>
        <w:gridCol w:w="1045"/>
      </w:tblGrid>
      <w:tr>
        <w:trPr>
          <w:trHeight w:val="528" w:hRule="atLeast"/>
        </w:trPr>
        <w:tc>
          <w:tcPr>
            <w:tcW w:w="2652" w:type="dxa"/>
            <w:tcBorders>
              <w:bottom w:val="single" w:sz="6" w:space="0" w:color="4F81BC"/>
            </w:tcBorders>
          </w:tcPr>
          <w:p>
            <w:pPr>
              <w:pStyle w:val="TableParagraph"/>
              <w:rPr>
                <w:rFonts w:ascii="Times New Roman"/>
                <w:sz w:val="18"/>
              </w:rPr>
            </w:pPr>
          </w:p>
        </w:tc>
        <w:tc>
          <w:tcPr>
            <w:tcW w:w="1650" w:type="dxa"/>
            <w:tcBorders>
              <w:bottom w:val="single" w:sz="6" w:space="0" w:color="4F81BC"/>
            </w:tcBorders>
          </w:tcPr>
          <w:p>
            <w:pPr>
              <w:pStyle w:val="TableParagraph"/>
              <w:spacing w:before="1"/>
              <w:ind w:right="99"/>
              <w:jc w:val="right"/>
              <w:rPr>
                <w:rFonts w:ascii="Corbel"/>
                <w:sz w:val="18"/>
              </w:rPr>
            </w:pPr>
            <w:r>
              <w:rPr>
                <w:rFonts w:ascii="Corbel"/>
                <w:sz w:val="18"/>
              </w:rPr>
              <w:t>Acumulado</w:t>
            </w:r>
          </w:p>
        </w:tc>
        <w:tc>
          <w:tcPr>
            <w:tcW w:w="1231" w:type="dxa"/>
            <w:tcBorders>
              <w:bottom w:val="single" w:sz="6" w:space="0" w:color="4F81BC"/>
            </w:tcBorders>
          </w:tcPr>
          <w:p>
            <w:pPr>
              <w:pStyle w:val="TableParagraph"/>
              <w:rPr>
                <w:rFonts w:ascii="Times New Roman"/>
                <w:sz w:val="18"/>
              </w:rPr>
            </w:pPr>
          </w:p>
        </w:tc>
        <w:tc>
          <w:tcPr>
            <w:tcW w:w="1463" w:type="dxa"/>
            <w:tcBorders>
              <w:bottom w:val="single" w:sz="6" w:space="0" w:color="4F81BC"/>
            </w:tcBorders>
          </w:tcPr>
          <w:p>
            <w:pPr>
              <w:pStyle w:val="TableParagraph"/>
              <w:spacing w:before="1"/>
              <w:ind w:right="97"/>
              <w:jc w:val="right"/>
              <w:rPr>
                <w:rFonts w:ascii="Corbel"/>
                <w:sz w:val="18"/>
              </w:rPr>
            </w:pPr>
            <w:r>
              <w:rPr>
                <w:rFonts w:ascii="Corbel"/>
                <w:sz w:val="18"/>
              </w:rPr>
              <w:t>Acumulado</w:t>
            </w:r>
          </w:p>
        </w:tc>
        <w:tc>
          <w:tcPr>
            <w:tcW w:w="1248" w:type="dxa"/>
            <w:tcBorders>
              <w:bottom w:val="single" w:sz="6" w:space="0" w:color="4F81BC"/>
            </w:tcBorders>
          </w:tcPr>
          <w:p>
            <w:pPr>
              <w:pStyle w:val="TableParagraph"/>
              <w:rPr>
                <w:rFonts w:ascii="Times New Roman"/>
                <w:sz w:val="18"/>
              </w:rPr>
            </w:pPr>
          </w:p>
        </w:tc>
        <w:tc>
          <w:tcPr>
            <w:tcW w:w="1446" w:type="dxa"/>
            <w:tcBorders>
              <w:bottom w:val="single" w:sz="6" w:space="0" w:color="4F81BC"/>
            </w:tcBorders>
          </w:tcPr>
          <w:p>
            <w:pPr>
              <w:pStyle w:val="TableParagraph"/>
              <w:spacing w:before="1"/>
              <w:ind w:right="95"/>
              <w:jc w:val="right"/>
              <w:rPr>
                <w:rFonts w:ascii="Corbel"/>
                <w:sz w:val="18"/>
              </w:rPr>
            </w:pPr>
            <w:r>
              <w:rPr>
                <w:rFonts w:ascii="Corbel"/>
                <w:sz w:val="18"/>
              </w:rPr>
              <w:t>Acumulado</w:t>
            </w:r>
          </w:p>
        </w:tc>
        <w:tc>
          <w:tcPr>
            <w:tcW w:w="1045" w:type="dxa"/>
            <w:tcBorders>
              <w:bottom w:val="single" w:sz="6" w:space="0" w:color="4F81BC"/>
            </w:tcBorders>
          </w:tcPr>
          <w:p>
            <w:pPr>
              <w:pStyle w:val="TableParagraph"/>
              <w:rPr>
                <w:rFonts w:ascii="Times New Roman"/>
                <w:sz w:val="18"/>
              </w:rPr>
            </w:pPr>
          </w:p>
        </w:tc>
      </w:tr>
      <w:tr>
        <w:trPr>
          <w:trHeight w:val="1853" w:hRule="atLeast"/>
        </w:trPr>
        <w:tc>
          <w:tcPr>
            <w:tcW w:w="2652" w:type="dxa"/>
            <w:tcBorders>
              <w:top w:val="single" w:sz="6" w:space="0" w:color="4F81BC"/>
            </w:tcBorders>
          </w:tcPr>
          <w:p>
            <w:pPr>
              <w:pStyle w:val="TableParagraph"/>
              <w:rPr>
                <w:rFonts w:ascii="Times New Roman"/>
                <w:sz w:val="18"/>
              </w:rPr>
            </w:pPr>
          </w:p>
        </w:tc>
        <w:tc>
          <w:tcPr>
            <w:tcW w:w="1650" w:type="dxa"/>
            <w:tcBorders>
              <w:top w:val="single" w:sz="6" w:space="0" w:color="4F81BC"/>
            </w:tcBorders>
            <w:shd w:val="clear" w:color="auto" w:fill="DBE4F0"/>
          </w:tcPr>
          <w:p>
            <w:pPr>
              <w:pStyle w:val="TableParagraph"/>
              <w:spacing w:before="79"/>
              <w:ind w:left="616" w:right="634"/>
              <w:jc w:val="center"/>
              <w:rPr>
                <w:rFonts w:ascii="Corbel"/>
                <w:sz w:val="18"/>
              </w:rPr>
            </w:pPr>
            <w:r>
              <w:rPr>
                <w:rFonts w:ascii="Corbel"/>
                <w:smallCaps/>
                <w:color w:val="365F91"/>
                <w:spacing w:val="-1"/>
                <w:sz w:val="18"/>
              </w:rPr>
              <w:t>2</w:t>
            </w:r>
            <w:r>
              <w:rPr>
                <w:rFonts w:ascii="Corbel"/>
                <w:smallCaps w:val="0"/>
                <w:color w:val="365F91"/>
                <w:sz w:val="18"/>
              </w:rPr>
              <w:t>0</w:t>
            </w:r>
            <w:r>
              <w:rPr>
                <w:rFonts w:ascii="Corbel"/>
                <w:smallCaps/>
                <w:color w:val="365F91"/>
                <w:sz w:val="18"/>
              </w:rPr>
              <w:t>1</w:t>
            </w:r>
            <w:r>
              <w:rPr>
                <w:rFonts w:ascii="Corbel"/>
                <w:smallCaps w:val="0"/>
                <w:color w:val="365F91"/>
                <w:sz w:val="18"/>
              </w:rPr>
              <w:t>6</w:t>
            </w:r>
          </w:p>
        </w:tc>
        <w:tc>
          <w:tcPr>
            <w:tcW w:w="1231" w:type="dxa"/>
            <w:tcBorders>
              <w:top w:val="single" w:sz="6" w:space="0" w:color="4F81BC"/>
            </w:tcBorders>
            <w:shd w:val="clear" w:color="auto" w:fill="DBE4F0"/>
          </w:tcPr>
          <w:p>
            <w:pPr>
              <w:pStyle w:val="TableParagraph"/>
              <w:spacing w:before="79"/>
              <w:ind w:left="105" w:right="304" w:hanging="5"/>
              <w:jc w:val="both"/>
              <w:rPr>
                <w:rFonts w:ascii="Corbel"/>
                <w:sz w:val="18"/>
              </w:rPr>
            </w:pPr>
            <w:r>
              <w:rPr>
                <w:rFonts w:ascii="Corbel"/>
                <w:color w:val="365F91"/>
                <w:sz w:val="18"/>
              </w:rPr>
              <w:t>% respecto a los ingre- sos totales</w:t>
            </w:r>
          </w:p>
        </w:tc>
        <w:tc>
          <w:tcPr>
            <w:tcW w:w="1463" w:type="dxa"/>
            <w:tcBorders>
              <w:top w:val="single" w:sz="6" w:space="0" w:color="4F81BC"/>
            </w:tcBorders>
            <w:shd w:val="clear" w:color="auto" w:fill="DBE4F0"/>
          </w:tcPr>
          <w:p>
            <w:pPr>
              <w:pStyle w:val="TableParagraph"/>
              <w:spacing w:before="79"/>
              <w:ind w:left="456"/>
              <w:rPr>
                <w:rFonts w:ascii="Corbel"/>
                <w:sz w:val="18"/>
              </w:rPr>
            </w:pPr>
            <w:r>
              <w:rPr>
                <w:rFonts w:ascii="Corbel"/>
                <w:smallCaps/>
                <w:color w:val="365F91"/>
                <w:spacing w:val="-1"/>
                <w:sz w:val="18"/>
              </w:rPr>
              <w:t>2</w:t>
            </w:r>
            <w:r>
              <w:rPr>
                <w:rFonts w:ascii="Corbel"/>
                <w:smallCaps w:val="0"/>
                <w:color w:val="365F91"/>
                <w:sz w:val="18"/>
              </w:rPr>
              <w:t>0</w:t>
            </w:r>
            <w:r>
              <w:rPr>
                <w:rFonts w:ascii="Corbel"/>
                <w:smallCaps/>
                <w:color w:val="365F91"/>
                <w:sz w:val="18"/>
              </w:rPr>
              <w:t>1</w:t>
            </w:r>
            <w:r>
              <w:rPr>
                <w:rFonts w:ascii="Corbel"/>
                <w:smallCaps w:val="0"/>
                <w:color w:val="365F91"/>
                <w:sz w:val="18"/>
              </w:rPr>
              <w:t>7</w:t>
            </w:r>
          </w:p>
        </w:tc>
        <w:tc>
          <w:tcPr>
            <w:tcW w:w="1248" w:type="dxa"/>
            <w:tcBorders>
              <w:top w:val="single" w:sz="6" w:space="0" w:color="4F81BC"/>
            </w:tcBorders>
            <w:shd w:val="clear" w:color="auto" w:fill="DBE4F0"/>
          </w:tcPr>
          <w:p>
            <w:pPr>
              <w:pStyle w:val="TableParagraph"/>
              <w:spacing w:before="79"/>
              <w:ind w:left="107" w:right="320" w:hanging="5"/>
              <w:jc w:val="both"/>
              <w:rPr>
                <w:rFonts w:ascii="Corbel"/>
                <w:sz w:val="18"/>
              </w:rPr>
            </w:pPr>
            <w:r>
              <w:rPr>
                <w:rFonts w:ascii="Corbel"/>
                <w:color w:val="365F91"/>
                <w:sz w:val="18"/>
              </w:rPr>
              <w:t>% respecto a los ingre- sos totales</w:t>
            </w:r>
          </w:p>
        </w:tc>
        <w:tc>
          <w:tcPr>
            <w:tcW w:w="1446" w:type="dxa"/>
            <w:tcBorders>
              <w:top w:val="single" w:sz="6" w:space="0" w:color="4F81BC"/>
            </w:tcBorders>
            <w:shd w:val="clear" w:color="auto" w:fill="DBE4F0"/>
          </w:tcPr>
          <w:p>
            <w:pPr>
              <w:pStyle w:val="TableParagraph"/>
              <w:spacing w:before="79"/>
              <w:ind w:left="434"/>
              <w:rPr>
                <w:rFonts w:ascii="Corbel"/>
                <w:sz w:val="18"/>
              </w:rPr>
            </w:pPr>
            <w:r>
              <w:rPr>
                <w:rFonts w:ascii="Corbel"/>
                <w:smallCaps/>
                <w:color w:val="365F91"/>
                <w:spacing w:val="-1"/>
                <w:sz w:val="18"/>
              </w:rPr>
              <w:t>2</w:t>
            </w:r>
            <w:r>
              <w:rPr>
                <w:rFonts w:ascii="Corbel"/>
                <w:smallCaps w:val="0"/>
                <w:color w:val="365F91"/>
                <w:sz w:val="18"/>
              </w:rPr>
              <w:t>0</w:t>
            </w:r>
            <w:r>
              <w:rPr>
                <w:rFonts w:ascii="Corbel"/>
                <w:smallCaps/>
                <w:color w:val="365F91"/>
                <w:sz w:val="18"/>
              </w:rPr>
              <w:t>1</w:t>
            </w:r>
            <w:r>
              <w:rPr>
                <w:rFonts w:ascii="Corbel"/>
                <w:smallCaps w:val="0"/>
                <w:color w:val="365F91"/>
                <w:sz w:val="18"/>
              </w:rPr>
              <w:t>8</w:t>
            </w:r>
          </w:p>
        </w:tc>
        <w:tc>
          <w:tcPr>
            <w:tcW w:w="1045" w:type="dxa"/>
            <w:tcBorders>
              <w:top w:val="single" w:sz="6" w:space="0" w:color="4F81BC"/>
            </w:tcBorders>
            <w:shd w:val="clear" w:color="auto" w:fill="DBE4F0"/>
          </w:tcPr>
          <w:p>
            <w:pPr>
              <w:pStyle w:val="TableParagraph"/>
              <w:spacing w:before="79"/>
              <w:ind w:left="108" w:right="115" w:hanging="5"/>
              <w:jc w:val="both"/>
              <w:rPr>
                <w:rFonts w:ascii="Corbel"/>
                <w:sz w:val="18"/>
              </w:rPr>
            </w:pPr>
            <w:r>
              <w:rPr>
                <w:rFonts w:ascii="Corbel"/>
                <w:color w:val="365F91"/>
                <w:sz w:val="18"/>
              </w:rPr>
              <w:t>% respecto a los ingre- sos totales</w:t>
            </w:r>
          </w:p>
        </w:tc>
      </w:tr>
      <w:tr>
        <w:trPr>
          <w:trHeight w:val="461" w:hRule="atLeast"/>
        </w:trPr>
        <w:tc>
          <w:tcPr>
            <w:tcW w:w="2652" w:type="dxa"/>
            <w:shd w:val="clear" w:color="auto" w:fill="B8CCE3"/>
          </w:tcPr>
          <w:p>
            <w:pPr>
              <w:pStyle w:val="TableParagraph"/>
              <w:spacing w:before="80"/>
              <w:ind w:left="922"/>
              <w:rPr>
                <w:rFonts w:ascii="Corbel"/>
                <w:sz w:val="18"/>
              </w:rPr>
            </w:pPr>
            <w:r>
              <w:rPr>
                <w:rFonts w:ascii="Corbel"/>
                <w:sz w:val="18"/>
              </w:rPr>
              <w:t>I n g r e s o s</w:t>
            </w:r>
          </w:p>
        </w:tc>
        <w:tc>
          <w:tcPr>
            <w:tcW w:w="1650" w:type="dxa"/>
          </w:tcPr>
          <w:p>
            <w:pPr>
              <w:pStyle w:val="TableParagraph"/>
              <w:rPr>
                <w:rFonts w:ascii="Times New Roman"/>
                <w:sz w:val="18"/>
              </w:rPr>
            </w:pPr>
          </w:p>
        </w:tc>
        <w:tc>
          <w:tcPr>
            <w:tcW w:w="1231" w:type="dxa"/>
          </w:tcPr>
          <w:p>
            <w:pPr>
              <w:pStyle w:val="TableParagraph"/>
              <w:rPr>
                <w:rFonts w:ascii="Times New Roman"/>
                <w:sz w:val="18"/>
              </w:rPr>
            </w:pPr>
          </w:p>
        </w:tc>
        <w:tc>
          <w:tcPr>
            <w:tcW w:w="1463" w:type="dxa"/>
          </w:tcPr>
          <w:p>
            <w:pPr>
              <w:pStyle w:val="TableParagraph"/>
              <w:rPr>
                <w:rFonts w:ascii="Times New Roman"/>
                <w:sz w:val="18"/>
              </w:rPr>
            </w:pPr>
          </w:p>
        </w:tc>
        <w:tc>
          <w:tcPr>
            <w:tcW w:w="1248" w:type="dxa"/>
          </w:tcPr>
          <w:p>
            <w:pPr>
              <w:pStyle w:val="TableParagraph"/>
              <w:rPr>
                <w:rFonts w:ascii="Times New Roman"/>
                <w:sz w:val="18"/>
              </w:rPr>
            </w:pPr>
          </w:p>
        </w:tc>
        <w:tc>
          <w:tcPr>
            <w:tcW w:w="1446" w:type="dxa"/>
          </w:tcPr>
          <w:p>
            <w:pPr>
              <w:pStyle w:val="TableParagraph"/>
              <w:rPr>
                <w:rFonts w:ascii="Times New Roman"/>
                <w:sz w:val="18"/>
              </w:rPr>
            </w:pPr>
          </w:p>
        </w:tc>
        <w:tc>
          <w:tcPr>
            <w:tcW w:w="1045" w:type="dxa"/>
          </w:tcPr>
          <w:p>
            <w:pPr>
              <w:pStyle w:val="TableParagraph"/>
              <w:rPr>
                <w:rFonts w:ascii="Times New Roman"/>
                <w:sz w:val="18"/>
              </w:rPr>
            </w:pPr>
          </w:p>
        </w:tc>
      </w:tr>
      <w:tr>
        <w:trPr>
          <w:trHeight w:val="578" w:hRule="atLeast"/>
        </w:trPr>
        <w:tc>
          <w:tcPr>
            <w:tcW w:w="2652" w:type="dxa"/>
          </w:tcPr>
          <w:p>
            <w:pPr>
              <w:pStyle w:val="TableParagraph"/>
              <w:rPr>
                <w:rFonts w:ascii="Times New Roman"/>
                <w:sz w:val="18"/>
              </w:rPr>
            </w:pPr>
          </w:p>
        </w:tc>
        <w:tc>
          <w:tcPr>
            <w:tcW w:w="1650" w:type="dxa"/>
            <w:shd w:val="clear" w:color="auto" w:fill="DBE4F0"/>
          </w:tcPr>
          <w:p>
            <w:pPr>
              <w:pStyle w:val="TableParagraph"/>
              <w:rPr>
                <w:rFonts w:ascii="Times New Roman"/>
                <w:sz w:val="18"/>
              </w:rPr>
            </w:pPr>
          </w:p>
        </w:tc>
        <w:tc>
          <w:tcPr>
            <w:tcW w:w="1231" w:type="dxa"/>
            <w:shd w:val="clear" w:color="auto" w:fill="DBE4F0"/>
          </w:tcPr>
          <w:p>
            <w:pPr>
              <w:pStyle w:val="TableParagraph"/>
              <w:rPr>
                <w:rFonts w:ascii="Times New Roman"/>
                <w:sz w:val="18"/>
              </w:rPr>
            </w:pPr>
          </w:p>
        </w:tc>
        <w:tc>
          <w:tcPr>
            <w:tcW w:w="1463" w:type="dxa"/>
            <w:shd w:val="clear" w:color="auto" w:fill="DBE4F0"/>
          </w:tcPr>
          <w:p>
            <w:pPr>
              <w:pStyle w:val="TableParagraph"/>
              <w:rPr>
                <w:rFonts w:ascii="Times New Roman"/>
                <w:sz w:val="18"/>
              </w:rPr>
            </w:pPr>
          </w:p>
        </w:tc>
        <w:tc>
          <w:tcPr>
            <w:tcW w:w="1248" w:type="dxa"/>
            <w:shd w:val="clear" w:color="auto" w:fill="DBE4F0"/>
          </w:tcPr>
          <w:p>
            <w:pPr>
              <w:pStyle w:val="TableParagraph"/>
              <w:rPr>
                <w:rFonts w:ascii="Times New Roman"/>
                <w:sz w:val="18"/>
              </w:rPr>
            </w:pPr>
          </w:p>
        </w:tc>
        <w:tc>
          <w:tcPr>
            <w:tcW w:w="1446" w:type="dxa"/>
            <w:shd w:val="clear" w:color="auto" w:fill="DBE4F0"/>
          </w:tcPr>
          <w:p>
            <w:pPr>
              <w:pStyle w:val="TableParagraph"/>
              <w:rPr>
                <w:rFonts w:ascii="Times New Roman"/>
                <w:sz w:val="18"/>
              </w:rPr>
            </w:pPr>
          </w:p>
        </w:tc>
        <w:tc>
          <w:tcPr>
            <w:tcW w:w="1045" w:type="dxa"/>
            <w:shd w:val="clear" w:color="auto" w:fill="DBE4F0"/>
          </w:tcPr>
          <w:p>
            <w:pPr>
              <w:pStyle w:val="TableParagraph"/>
              <w:rPr>
                <w:rFonts w:ascii="Times New Roman"/>
                <w:sz w:val="18"/>
              </w:rPr>
            </w:pPr>
          </w:p>
        </w:tc>
      </w:tr>
      <w:tr>
        <w:trPr>
          <w:trHeight w:val="741" w:hRule="atLeast"/>
        </w:trPr>
        <w:tc>
          <w:tcPr>
            <w:tcW w:w="2652" w:type="dxa"/>
            <w:shd w:val="clear" w:color="auto" w:fill="B8CCE3"/>
          </w:tcPr>
          <w:p>
            <w:pPr>
              <w:pStyle w:val="TableParagraph"/>
              <w:spacing w:before="80"/>
              <w:ind w:right="81"/>
              <w:jc w:val="right"/>
              <w:rPr>
                <w:rFonts w:ascii="Corbel" w:hAnsi="Corbel"/>
                <w:sz w:val="18"/>
              </w:rPr>
            </w:pPr>
            <w:r>
              <w:rPr>
                <w:rFonts w:ascii="Corbel" w:hAnsi="Corbel"/>
                <w:sz w:val="18"/>
              </w:rPr>
              <w:t>INGRESOS DE GESTIÓN</w:t>
            </w:r>
          </w:p>
        </w:tc>
        <w:tc>
          <w:tcPr>
            <w:tcW w:w="1650" w:type="dxa"/>
          </w:tcPr>
          <w:p>
            <w:pPr>
              <w:pStyle w:val="TableParagraph"/>
              <w:rPr>
                <w:rFonts w:ascii="Times New Roman"/>
                <w:sz w:val="18"/>
              </w:rPr>
            </w:pPr>
          </w:p>
        </w:tc>
        <w:tc>
          <w:tcPr>
            <w:tcW w:w="1231" w:type="dxa"/>
          </w:tcPr>
          <w:p>
            <w:pPr>
              <w:pStyle w:val="TableParagraph"/>
              <w:rPr>
                <w:rFonts w:ascii="Times New Roman"/>
                <w:sz w:val="18"/>
              </w:rPr>
            </w:pPr>
          </w:p>
        </w:tc>
        <w:tc>
          <w:tcPr>
            <w:tcW w:w="1463" w:type="dxa"/>
          </w:tcPr>
          <w:p>
            <w:pPr>
              <w:pStyle w:val="TableParagraph"/>
              <w:rPr>
                <w:rFonts w:ascii="Times New Roman"/>
                <w:sz w:val="18"/>
              </w:rPr>
            </w:pPr>
          </w:p>
        </w:tc>
        <w:tc>
          <w:tcPr>
            <w:tcW w:w="1248" w:type="dxa"/>
          </w:tcPr>
          <w:p>
            <w:pPr>
              <w:pStyle w:val="TableParagraph"/>
              <w:rPr>
                <w:rFonts w:ascii="Times New Roman"/>
                <w:sz w:val="18"/>
              </w:rPr>
            </w:pPr>
          </w:p>
        </w:tc>
        <w:tc>
          <w:tcPr>
            <w:tcW w:w="1446" w:type="dxa"/>
          </w:tcPr>
          <w:p>
            <w:pPr>
              <w:pStyle w:val="TableParagraph"/>
              <w:rPr>
                <w:rFonts w:ascii="Times New Roman"/>
                <w:sz w:val="18"/>
              </w:rPr>
            </w:pPr>
          </w:p>
        </w:tc>
        <w:tc>
          <w:tcPr>
            <w:tcW w:w="1045" w:type="dxa"/>
          </w:tcPr>
          <w:p>
            <w:pPr>
              <w:pStyle w:val="TableParagraph"/>
              <w:rPr>
                <w:rFonts w:ascii="Times New Roman"/>
                <w:sz w:val="18"/>
              </w:rPr>
            </w:pPr>
          </w:p>
        </w:tc>
      </w:tr>
      <w:tr>
        <w:trPr>
          <w:trHeight w:val="739" w:hRule="atLeast"/>
        </w:trPr>
        <w:tc>
          <w:tcPr>
            <w:tcW w:w="2652" w:type="dxa"/>
          </w:tcPr>
          <w:p>
            <w:pPr>
              <w:pStyle w:val="TableParagraph"/>
              <w:spacing w:before="78"/>
              <w:ind w:right="80"/>
              <w:jc w:val="right"/>
              <w:rPr>
                <w:rFonts w:ascii="Corbel"/>
                <w:sz w:val="18"/>
              </w:rPr>
            </w:pPr>
            <w:r>
              <w:rPr>
                <w:rFonts w:ascii="Corbel"/>
                <w:sz w:val="18"/>
              </w:rPr>
              <w:t>Impuestos</w:t>
            </w:r>
          </w:p>
        </w:tc>
        <w:tc>
          <w:tcPr>
            <w:tcW w:w="1650" w:type="dxa"/>
            <w:shd w:val="clear" w:color="auto" w:fill="DBE4F0"/>
          </w:tcPr>
          <w:p>
            <w:pPr>
              <w:pStyle w:val="TableParagraph"/>
              <w:spacing w:before="78"/>
              <w:ind w:right="96"/>
              <w:jc w:val="right"/>
              <w:rPr>
                <w:rFonts w:ascii="Corbel"/>
                <w:sz w:val="18"/>
              </w:rPr>
            </w:pPr>
            <w:r>
              <w:rPr>
                <w:rFonts w:ascii="Corbel"/>
                <w:spacing w:val="-1"/>
                <w:sz w:val="18"/>
              </w:rPr>
              <w:t>3</w:t>
            </w:r>
            <w:r>
              <w:rPr>
                <w:rFonts w:ascii="Corbel"/>
                <w:sz w:val="18"/>
              </w:rPr>
              <w:t>,</w:t>
            </w:r>
            <w:r>
              <w:rPr>
                <w:rFonts w:ascii="Corbel"/>
                <w:spacing w:val="-1"/>
                <w:sz w:val="18"/>
              </w:rPr>
              <w:t>6</w:t>
            </w:r>
            <w:r>
              <w:rPr>
                <w:rFonts w:ascii="Corbel"/>
                <w:smallCaps/>
                <w:sz w:val="18"/>
              </w:rPr>
              <w:t>55,</w:t>
            </w:r>
            <w:r>
              <w:rPr>
                <w:rFonts w:ascii="Corbel"/>
                <w:smallCaps/>
                <w:spacing w:val="1"/>
                <w:sz w:val="18"/>
              </w:rPr>
              <w:t>1</w:t>
            </w:r>
            <w:r>
              <w:rPr>
                <w:rFonts w:ascii="Corbel"/>
                <w:smallCaps w:val="0"/>
                <w:sz w:val="18"/>
              </w:rPr>
              <w:t>4</w:t>
            </w:r>
            <w:r>
              <w:rPr>
                <w:rFonts w:ascii="Corbel"/>
                <w:smallCaps w:val="0"/>
                <w:spacing w:val="1"/>
                <w:sz w:val="18"/>
              </w:rPr>
              <w:t>0</w:t>
            </w:r>
            <w:r>
              <w:rPr>
                <w:rFonts w:ascii="Corbel"/>
                <w:smallCaps/>
                <w:spacing w:val="-1"/>
                <w:sz w:val="18"/>
              </w:rPr>
              <w:t>.72</w:t>
            </w:r>
          </w:p>
        </w:tc>
        <w:tc>
          <w:tcPr>
            <w:tcW w:w="1231" w:type="dxa"/>
            <w:shd w:val="clear" w:color="auto" w:fill="DBE4F0"/>
          </w:tcPr>
          <w:p>
            <w:pPr>
              <w:pStyle w:val="TableParagraph"/>
              <w:spacing w:before="78"/>
              <w:ind w:left="362"/>
              <w:rPr>
                <w:rFonts w:ascii="Corbel"/>
                <w:sz w:val="18"/>
              </w:rPr>
            </w:pPr>
            <w:r>
              <w:rPr>
                <w:rFonts w:ascii="Corbel"/>
                <w:sz w:val="18"/>
              </w:rPr>
              <w:t>5.35</w:t>
            </w:r>
          </w:p>
        </w:tc>
        <w:tc>
          <w:tcPr>
            <w:tcW w:w="1463" w:type="dxa"/>
            <w:shd w:val="clear" w:color="auto" w:fill="DBE4F0"/>
          </w:tcPr>
          <w:p>
            <w:pPr>
              <w:pStyle w:val="TableParagraph"/>
              <w:spacing w:before="78"/>
              <w:ind w:right="96"/>
              <w:jc w:val="right"/>
              <w:rPr>
                <w:rFonts w:ascii="Corbel"/>
                <w:sz w:val="18"/>
              </w:rPr>
            </w:pPr>
            <w:r>
              <w:rPr>
                <w:rFonts w:ascii="Corbel"/>
                <w:sz w:val="18"/>
              </w:rPr>
              <w:t>4,</w:t>
            </w:r>
            <w:r>
              <w:rPr>
                <w:rFonts w:ascii="Corbel"/>
                <w:smallCaps/>
                <w:sz w:val="18"/>
              </w:rPr>
              <w:t>420</w:t>
            </w:r>
            <w:r>
              <w:rPr>
                <w:rFonts w:ascii="Corbel"/>
                <w:smallCaps w:val="0"/>
                <w:sz w:val="18"/>
              </w:rPr>
              <w:t>,4</w:t>
            </w:r>
            <w:r>
              <w:rPr>
                <w:rFonts w:ascii="Corbel"/>
                <w:smallCaps w:val="0"/>
                <w:spacing w:val="-1"/>
                <w:sz w:val="18"/>
              </w:rPr>
              <w:t>6</w:t>
            </w:r>
            <w:r>
              <w:rPr>
                <w:rFonts w:ascii="Corbel"/>
                <w:smallCaps w:val="0"/>
                <w:sz w:val="18"/>
              </w:rPr>
              <w:t>4.</w:t>
            </w:r>
            <w:r>
              <w:rPr>
                <w:rFonts w:ascii="Corbel"/>
                <w:smallCaps w:val="0"/>
                <w:spacing w:val="-3"/>
                <w:sz w:val="18"/>
              </w:rPr>
              <w:t>3</w:t>
            </w:r>
            <w:r>
              <w:rPr>
                <w:rFonts w:ascii="Corbel"/>
                <w:smallCaps w:val="0"/>
                <w:sz w:val="18"/>
              </w:rPr>
              <w:t>8</w:t>
            </w:r>
          </w:p>
        </w:tc>
        <w:tc>
          <w:tcPr>
            <w:tcW w:w="1248" w:type="dxa"/>
            <w:shd w:val="clear" w:color="auto" w:fill="DBE4F0"/>
          </w:tcPr>
          <w:p>
            <w:pPr>
              <w:pStyle w:val="TableParagraph"/>
              <w:spacing w:before="78"/>
              <w:ind w:left="356"/>
              <w:rPr>
                <w:rFonts w:ascii="Corbel"/>
                <w:sz w:val="18"/>
              </w:rPr>
            </w:pPr>
            <w:r>
              <w:rPr>
                <w:rFonts w:ascii="Corbel"/>
                <w:sz w:val="18"/>
              </w:rPr>
              <w:t>5.54</w:t>
            </w:r>
          </w:p>
        </w:tc>
        <w:tc>
          <w:tcPr>
            <w:tcW w:w="1446" w:type="dxa"/>
            <w:shd w:val="clear" w:color="auto" w:fill="DBE4F0"/>
          </w:tcPr>
          <w:p>
            <w:pPr>
              <w:pStyle w:val="TableParagraph"/>
              <w:spacing w:before="78"/>
              <w:ind w:right="93"/>
              <w:jc w:val="right"/>
              <w:rPr>
                <w:rFonts w:ascii="Corbel"/>
                <w:sz w:val="18"/>
              </w:rPr>
            </w:pPr>
            <w:r>
              <w:rPr>
                <w:rFonts w:ascii="Corbel"/>
                <w:sz w:val="18"/>
              </w:rPr>
              <w:t>5,</w:t>
            </w:r>
            <w:r>
              <w:rPr>
                <w:rFonts w:ascii="Corbel"/>
                <w:spacing w:val="1"/>
                <w:sz w:val="18"/>
              </w:rPr>
              <w:t>0</w:t>
            </w:r>
            <w:r>
              <w:rPr>
                <w:rFonts w:ascii="Corbel"/>
                <w:smallCaps/>
                <w:sz w:val="18"/>
              </w:rPr>
              <w:t>1</w:t>
            </w:r>
            <w:r>
              <w:rPr>
                <w:rFonts w:ascii="Corbel"/>
                <w:smallCaps w:val="0"/>
                <w:spacing w:val="-2"/>
                <w:sz w:val="18"/>
              </w:rPr>
              <w:t>4</w:t>
            </w:r>
            <w:r>
              <w:rPr>
                <w:rFonts w:ascii="Corbel"/>
                <w:smallCaps w:val="0"/>
                <w:sz w:val="18"/>
              </w:rPr>
              <w:t>,3</w:t>
            </w:r>
            <w:r>
              <w:rPr>
                <w:rFonts w:ascii="Corbel"/>
                <w:smallCaps/>
                <w:sz w:val="18"/>
              </w:rPr>
              <w:t>1</w:t>
            </w:r>
            <w:r>
              <w:rPr>
                <w:rFonts w:ascii="Corbel"/>
                <w:smallCaps w:val="0"/>
                <w:sz w:val="18"/>
              </w:rPr>
              <w:t>7.47</w:t>
            </w:r>
          </w:p>
        </w:tc>
        <w:tc>
          <w:tcPr>
            <w:tcW w:w="1045" w:type="dxa"/>
            <w:shd w:val="clear" w:color="auto" w:fill="DBE4F0"/>
          </w:tcPr>
          <w:p>
            <w:pPr>
              <w:pStyle w:val="TableParagraph"/>
              <w:spacing w:before="78"/>
              <w:ind w:right="376"/>
              <w:jc w:val="right"/>
              <w:rPr>
                <w:rFonts w:ascii="Corbel"/>
                <w:sz w:val="18"/>
              </w:rPr>
            </w:pPr>
            <w:r>
              <w:rPr>
                <w:rFonts w:ascii="Corbel"/>
                <w:smallCaps/>
                <w:sz w:val="18"/>
              </w:rPr>
              <w:t>5.51</w:t>
            </w:r>
          </w:p>
        </w:tc>
      </w:tr>
      <w:tr>
        <w:trPr>
          <w:trHeight w:val="741" w:hRule="atLeast"/>
        </w:trPr>
        <w:tc>
          <w:tcPr>
            <w:tcW w:w="2652" w:type="dxa"/>
          </w:tcPr>
          <w:p>
            <w:pPr>
              <w:pStyle w:val="TableParagraph"/>
              <w:spacing w:before="80"/>
              <w:ind w:right="81"/>
              <w:jc w:val="right"/>
              <w:rPr>
                <w:rFonts w:ascii="Corbel"/>
                <w:sz w:val="18"/>
              </w:rPr>
            </w:pPr>
            <w:r>
              <w:rPr>
                <w:rFonts w:ascii="Corbel"/>
                <w:sz w:val="18"/>
              </w:rPr>
              <w:t>Contribuciones de mejoras</w:t>
            </w:r>
          </w:p>
        </w:tc>
        <w:tc>
          <w:tcPr>
            <w:tcW w:w="1650" w:type="dxa"/>
          </w:tcPr>
          <w:p>
            <w:pPr>
              <w:pStyle w:val="TableParagraph"/>
              <w:spacing w:before="80"/>
              <w:ind w:right="101"/>
              <w:jc w:val="right"/>
              <w:rPr>
                <w:rFonts w:ascii="Corbel"/>
                <w:sz w:val="18"/>
              </w:rPr>
            </w:pPr>
            <w:r>
              <w:rPr>
                <w:rFonts w:ascii="Corbel"/>
                <w:spacing w:val="-1"/>
                <w:sz w:val="18"/>
              </w:rPr>
              <w:t>96</w:t>
            </w:r>
            <w:r>
              <w:rPr>
                <w:rFonts w:ascii="Corbel"/>
                <w:smallCaps/>
                <w:spacing w:val="-1"/>
                <w:sz w:val="18"/>
              </w:rPr>
              <w:t>2</w:t>
            </w:r>
            <w:r>
              <w:rPr>
                <w:rFonts w:ascii="Corbel"/>
                <w:smallCaps/>
                <w:sz w:val="18"/>
              </w:rPr>
              <w:t>,28</w:t>
            </w:r>
            <w:r>
              <w:rPr>
                <w:rFonts w:ascii="Corbel"/>
                <w:smallCaps w:val="0"/>
                <w:spacing w:val="-1"/>
                <w:sz w:val="18"/>
              </w:rPr>
              <w:t>3</w:t>
            </w:r>
            <w:r>
              <w:rPr>
                <w:rFonts w:ascii="Corbel"/>
                <w:smallCaps w:val="0"/>
                <w:sz w:val="18"/>
              </w:rPr>
              <w:t>.73</w:t>
            </w:r>
          </w:p>
        </w:tc>
        <w:tc>
          <w:tcPr>
            <w:tcW w:w="1231" w:type="dxa"/>
          </w:tcPr>
          <w:p>
            <w:pPr>
              <w:pStyle w:val="TableParagraph"/>
              <w:spacing w:before="80"/>
              <w:ind w:left="362"/>
              <w:rPr>
                <w:rFonts w:ascii="Corbel"/>
                <w:sz w:val="18"/>
              </w:rPr>
            </w:pPr>
            <w:r>
              <w:rPr>
                <w:rFonts w:ascii="Corbel"/>
                <w:smallCaps/>
                <w:sz w:val="18"/>
              </w:rPr>
              <w:t>1</w:t>
            </w:r>
            <w:r>
              <w:rPr>
                <w:rFonts w:ascii="Corbel"/>
                <w:smallCaps w:val="0"/>
                <w:spacing w:val="-1"/>
                <w:sz w:val="18"/>
              </w:rPr>
              <w:t>.</w:t>
            </w:r>
            <w:r>
              <w:rPr>
                <w:rFonts w:ascii="Corbel"/>
                <w:smallCaps w:val="0"/>
                <w:sz w:val="18"/>
              </w:rPr>
              <w:t>4</w:t>
            </w:r>
            <w:r>
              <w:rPr>
                <w:rFonts w:ascii="Corbel"/>
                <w:smallCaps/>
                <w:sz w:val="18"/>
              </w:rPr>
              <w:t>1</w:t>
            </w:r>
          </w:p>
        </w:tc>
        <w:tc>
          <w:tcPr>
            <w:tcW w:w="1463" w:type="dxa"/>
          </w:tcPr>
          <w:p>
            <w:pPr>
              <w:pStyle w:val="TableParagraph"/>
              <w:spacing w:before="80"/>
              <w:ind w:right="95"/>
              <w:jc w:val="right"/>
              <w:rPr>
                <w:rFonts w:ascii="Corbel"/>
                <w:sz w:val="18"/>
              </w:rPr>
            </w:pPr>
            <w:r>
              <w:rPr>
                <w:rFonts w:ascii="Corbel"/>
                <w:smallCaps/>
                <w:sz w:val="18"/>
              </w:rPr>
              <w:t>1</w:t>
            </w:r>
            <w:r>
              <w:rPr>
                <w:rFonts w:ascii="Corbel"/>
                <w:smallCaps w:val="0"/>
                <w:sz w:val="18"/>
              </w:rPr>
              <w:t>,</w:t>
            </w:r>
            <w:r>
              <w:rPr>
                <w:rFonts w:ascii="Corbel"/>
                <w:smallCaps w:val="0"/>
                <w:spacing w:val="1"/>
                <w:sz w:val="18"/>
              </w:rPr>
              <w:t>8</w:t>
            </w:r>
            <w:r>
              <w:rPr>
                <w:rFonts w:ascii="Corbel"/>
                <w:smallCaps/>
                <w:spacing w:val="-1"/>
                <w:sz w:val="18"/>
              </w:rPr>
              <w:t>2</w:t>
            </w:r>
            <w:r>
              <w:rPr>
                <w:rFonts w:ascii="Corbel"/>
                <w:smallCaps w:val="0"/>
                <w:sz w:val="18"/>
              </w:rPr>
              <w:t>8</w:t>
            </w:r>
            <w:r>
              <w:rPr>
                <w:rFonts w:ascii="Corbel"/>
                <w:smallCaps w:val="0"/>
                <w:spacing w:val="-2"/>
                <w:sz w:val="18"/>
              </w:rPr>
              <w:t>,</w:t>
            </w:r>
            <w:r>
              <w:rPr>
                <w:rFonts w:ascii="Corbel"/>
                <w:smallCaps w:val="0"/>
                <w:sz w:val="18"/>
              </w:rPr>
              <w:t>8</w:t>
            </w:r>
            <w:r>
              <w:rPr>
                <w:rFonts w:ascii="Corbel"/>
                <w:smallCaps w:val="0"/>
                <w:spacing w:val="-2"/>
                <w:sz w:val="18"/>
              </w:rPr>
              <w:t>0</w:t>
            </w:r>
            <w:r>
              <w:rPr>
                <w:rFonts w:ascii="Corbel"/>
                <w:smallCaps w:val="0"/>
                <w:sz w:val="18"/>
              </w:rPr>
              <w:t>8</w:t>
            </w:r>
            <w:r>
              <w:rPr>
                <w:rFonts w:ascii="Corbel"/>
                <w:smallCaps/>
                <w:spacing w:val="-1"/>
                <w:sz w:val="18"/>
              </w:rPr>
              <w:t>.</w:t>
            </w:r>
            <w:r>
              <w:rPr>
                <w:rFonts w:ascii="Corbel"/>
                <w:smallCaps/>
                <w:spacing w:val="1"/>
                <w:sz w:val="18"/>
              </w:rPr>
              <w:t>1</w:t>
            </w:r>
            <w:r>
              <w:rPr>
                <w:rFonts w:ascii="Corbel"/>
                <w:smallCaps w:val="0"/>
                <w:sz w:val="18"/>
              </w:rPr>
              <w:t>9</w:t>
            </w:r>
          </w:p>
        </w:tc>
        <w:tc>
          <w:tcPr>
            <w:tcW w:w="1248" w:type="dxa"/>
          </w:tcPr>
          <w:p>
            <w:pPr>
              <w:pStyle w:val="TableParagraph"/>
              <w:spacing w:before="80"/>
              <w:ind w:left="351"/>
              <w:rPr>
                <w:rFonts w:ascii="Corbel"/>
                <w:sz w:val="18"/>
              </w:rPr>
            </w:pPr>
            <w:r>
              <w:rPr>
                <w:rFonts w:ascii="Corbel"/>
                <w:smallCaps/>
                <w:spacing w:val="-1"/>
                <w:sz w:val="18"/>
              </w:rPr>
              <w:t>2.29</w:t>
            </w:r>
          </w:p>
        </w:tc>
        <w:tc>
          <w:tcPr>
            <w:tcW w:w="1446" w:type="dxa"/>
          </w:tcPr>
          <w:p>
            <w:pPr>
              <w:pStyle w:val="TableParagraph"/>
              <w:spacing w:before="80"/>
              <w:ind w:right="96"/>
              <w:jc w:val="right"/>
              <w:rPr>
                <w:rFonts w:ascii="Corbel"/>
                <w:sz w:val="18"/>
              </w:rPr>
            </w:pPr>
            <w:r>
              <w:rPr>
                <w:rFonts w:ascii="Corbel"/>
                <w:smallCaps/>
                <w:spacing w:val="-1"/>
                <w:sz w:val="18"/>
              </w:rPr>
              <w:t>2</w:t>
            </w:r>
            <w:r>
              <w:rPr>
                <w:rFonts w:ascii="Corbel"/>
                <w:smallCaps/>
                <w:sz w:val="18"/>
              </w:rPr>
              <w:t>,6</w:t>
            </w:r>
            <w:r>
              <w:rPr>
                <w:rFonts w:ascii="Corbel"/>
                <w:smallCaps/>
                <w:spacing w:val="-2"/>
                <w:sz w:val="18"/>
              </w:rPr>
              <w:t>2</w:t>
            </w:r>
            <w:r>
              <w:rPr>
                <w:rFonts w:ascii="Corbel"/>
                <w:smallCaps/>
                <w:sz w:val="18"/>
              </w:rPr>
              <w:t>1,2</w:t>
            </w:r>
            <w:r>
              <w:rPr>
                <w:rFonts w:ascii="Corbel"/>
                <w:smallCaps/>
                <w:spacing w:val="-2"/>
                <w:sz w:val="18"/>
              </w:rPr>
              <w:t>9</w:t>
            </w:r>
            <w:r>
              <w:rPr>
                <w:rFonts w:ascii="Corbel"/>
                <w:smallCaps/>
                <w:spacing w:val="-1"/>
                <w:sz w:val="18"/>
              </w:rPr>
              <w:t>2</w:t>
            </w:r>
            <w:r>
              <w:rPr>
                <w:rFonts w:ascii="Corbel"/>
                <w:smallCaps w:val="0"/>
                <w:spacing w:val="-1"/>
                <w:sz w:val="18"/>
              </w:rPr>
              <w:t>.</w:t>
            </w:r>
            <w:r>
              <w:rPr>
                <w:rFonts w:ascii="Corbel"/>
                <w:smallCaps w:val="0"/>
                <w:sz w:val="18"/>
              </w:rPr>
              <w:t>30</w:t>
            </w:r>
          </w:p>
        </w:tc>
        <w:tc>
          <w:tcPr>
            <w:tcW w:w="1045" w:type="dxa"/>
          </w:tcPr>
          <w:p>
            <w:pPr>
              <w:pStyle w:val="TableParagraph"/>
              <w:spacing w:before="80"/>
              <w:ind w:right="364"/>
              <w:jc w:val="right"/>
              <w:rPr>
                <w:rFonts w:ascii="Corbel"/>
                <w:sz w:val="18"/>
              </w:rPr>
            </w:pPr>
            <w:r>
              <w:rPr>
                <w:rFonts w:ascii="Corbel"/>
                <w:smallCaps/>
                <w:spacing w:val="-1"/>
                <w:sz w:val="18"/>
              </w:rPr>
              <w:t>2</w:t>
            </w:r>
            <w:r>
              <w:rPr>
                <w:rFonts w:ascii="Corbel"/>
                <w:smallCaps w:val="0"/>
                <w:spacing w:val="-1"/>
                <w:sz w:val="18"/>
              </w:rPr>
              <w:t>.</w:t>
            </w:r>
            <w:r>
              <w:rPr>
                <w:rFonts w:ascii="Corbel"/>
                <w:smallCaps w:val="0"/>
                <w:spacing w:val="1"/>
                <w:sz w:val="18"/>
              </w:rPr>
              <w:t>8</w:t>
            </w:r>
            <w:r>
              <w:rPr>
                <w:rFonts w:ascii="Corbel"/>
                <w:smallCaps w:val="0"/>
                <w:sz w:val="18"/>
              </w:rPr>
              <w:t>8</w:t>
            </w:r>
          </w:p>
        </w:tc>
      </w:tr>
      <w:tr>
        <w:trPr>
          <w:trHeight w:val="739" w:hRule="atLeast"/>
        </w:trPr>
        <w:tc>
          <w:tcPr>
            <w:tcW w:w="2652" w:type="dxa"/>
          </w:tcPr>
          <w:p>
            <w:pPr>
              <w:pStyle w:val="TableParagraph"/>
              <w:spacing w:before="78"/>
              <w:ind w:right="81"/>
              <w:jc w:val="right"/>
              <w:rPr>
                <w:rFonts w:ascii="Corbel"/>
                <w:sz w:val="18"/>
              </w:rPr>
            </w:pPr>
            <w:r>
              <w:rPr>
                <w:rFonts w:ascii="Corbel"/>
                <w:sz w:val="18"/>
              </w:rPr>
              <w:t>Derechos</w:t>
            </w:r>
          </w:p>
        </w:tc>
        <w:tc>
          <w:tcPr>
            <w:tcW w:w="1650" w:type="dxa"/>
            <w:shd w:val="clear" w:color="auto" w:fill="DBE4F0"/>
          </w:tcPr>
          <w:p>
            <w:pPr>
              <w:pStyle w:val="TableParagraph"/>
              <w:spacing w:before="78"/>
              <w:ind w:right="96"/>
              <w:jc w:val="right"/>
              <w:rPr>
                <w:rFonts w:ascii="Corbel"/>
                <w:sz w:val="18"/>
              </w:rPr>
            </w:pPr>
            <w:r>
              <w:rPr>
                <w:rFonts w:ascii="Corbel"/>
                <w:spacing w:val="-1"/>
                <w:sz w:val="18"/>
              </w:rPr>
              <w:t>3</w:t>
            </w:r>
            <w:r>
              <w:rPr>
                <w:rFonts w:ascii="Corbel"/>
                <w:sz w:val="18"/>
              </w:rPr>
              <w:t>,43</w:t>
            </w:r>
            <w:r>
              <w:rPr>
                <w:rFonts w:ascii="Corbel"/>
                <w:spacing w:val="-1"/>
                <w:sz w:val="18"/>
              </w:rPr>
              <w:t>3</w:t>
            </w:r>
            <w:r>
              <w:rPr>
                <w:rFonts w:ascii="Corbel"/>
                <w:sz w:val="18"/>
              </w:rPr>
              <w:t>,</w:t>
            </w:r>
            <w:r>
              <w:rPr>
                <w:rFonts w:ascii="Corbel"/>
                <w:spacing w:val="-2"/>
                <w:sz w:val="18"/>
              </w:rPr>
              <w:t>8</w:t>
            </w:r>
            <w:r>
              <w:rPr>
                <w:rFonts w:ascii="Corbel"/>
                <w:smallCaps/>
                <w:sz w:val="18"/>
              </w:rPr>
              <w:t>1</w:t>
            </w:r>
            <w:r>
              <w:rPr>
                <w:rFonts w:ascii="Corbel"/>
                <w:smallCaps w:val="0"/>
                <w:sz w:val="18"/>
              </w:rPr>
              <w:t>0</w:t>
            </w:r>
            <w:r>
              <w:rPr>
                <w:rFonts w:ascii="Corbel"/>
                <w:smallCaps/>
                <w:spacing w:val="-1"/>
                <w:sz w:val="18"/>
              </w:rPr>
              <w:t>.29</w:t>
            </w:r>
          </w:p>
        </w:tc>
        <w:tc>
          <w:tcPr>
            <w:tcW w:w="1231" w:type="dxa"/>
            <w:shd w:val="clear" w:color="auto" w:fill="DBE4F0"/>
          </w:tcPr>
          <w:p>
            <w:pPr>
              <w:pStyle w:val="TableParagraph"/>
              <w:spacing w:before="78"/>
              <w:ind w:left="352"/>
              <w:rPr>
                <w:rFonts w:ascii="Corbel"/>
                <w:sz w:val="18"/>
              </w:rPr>
            </w:pPr>
            <w:r>
              <w:rPr>
                <w:rFonts w:ascii="Corbel"/>
                <w:sz w:val="18"/>
              </w:rPr>
              <w:t>5.</w:t>
            </w:r>
            <w:r>
              <w:rPr>
                <w:rFonts w:ascii="Corbel"/>
                <w:spacing w:val="1"/>
                <w:sz w:val="18"/>
              </w:rPr>
              <w:t>0</w:t>
            </w:r>
            <w:r>
              <w:rPr>
                <w:rFonts w:ascii="Corbel"/>
                <w:smallCaps/>
                <w:sz w:val="18"/>
              </w:rPr>
              <w:t>2</w:t>
            </w:r>
          </w:p>
        </w:tc>
        <w:tc>
          <w:tcPr>
            <w:tcW w:w="1463" w:type="dxa"/>
            <w:shd w:val="clear" w:color="auto" w:fill="DBE4F0"/>
          </w:tcPr>
          <w:p>
            <w:pPr>
              <w:pStyle w:val="TableParagraph"/>
              <w:spacing w:before="78"/>
              <w:ind w:right="96"/>
              <w:jc w:val="right"/>
              <w:rPr>
                <w:rFonts w:ascii="Corbel"/>
                <w:sz w:val="18"/>
              </w:rPr>
            </w:pPr>
            <w:r>
              <w:rPr>
                <w:rFonts w:ascii="Corbel"/>
                <w:spacing w:val="-1"/>
                <w:sz w:val="18"/>
              </w:rPr>
              <w:t>3</w:t>
            </w:r>
            <w:r>
              <w:rPr>
                <w:rFonts w:ascii="Corbel"/>
                <w:sz w:val="18"/>
              </w:rPr>
              <w:t>,</w:t>
            </w:r>
            <w:r>
              <w:rPr>
                <w:rFonts w:ascii="Corbel"/>
                <w:smallCaps/>
                <w:sz w:val="18"/>
              </w:rPr>
              <w:t>46</w:t>
            </w:r>
            <w:r>
              <w:rPr>
                <w:rFonts w:ascii="Corbel"/>
                <w:smallCaps/>
                <w:spacing w:val="-1"/>
                <w:sz w:val="18"/>
              </w:rPr>
              <w:t>2</w:t>
            </w:r>
            <w:r>
              <w:rPr>
                <w:rFonts w:ascii="Corbel"/>
                <w:smallCaps w:val="0"/>
                <w:sz w:val="18"/>
              </w:rPr>
              <w:t>,40</w:t>
            </w:r>
            <w:r>
              <w:rPr>
                <w:rFonts w:ascii="Corbel"/>
                <w:smallCaps w:val="0"/>
                <w:spacing w:val="-1"/>
                <w:sz w:val="18"/>
              </w:rPr>
              <w:t>6</w:t>
            </w:r>
            <w:r>
              <w:rPr>
                <w:rFonts w:ascii="Corbel"/>
                <w:smallCaps/>
                <w:spacing w:val="-1"/>
                <w:sz w:val="18"/>
              </w:rPr>
              <w:t>.</w:t>
            </w:r>
            <w:r>
              <w:rPr>
                <w:rFonts w:ascii="Corbel"/>
                <w:smallCaps/>
                <w:spacing w:val="1"/>
                <w:sz w:val="18"/>
              </w:rPr>
              <w:t>1</w:t>
            </w:r>
            <w:r>
              <w:rPr>
                <w:rFonts w:ascii="Corbel"/>
                <w:smallCaps w:val="0"/>
                <w:sz w:val="18"/>
              </w:rPr>
              <w:t>4</w:t>
            </w:r>
          </w:p>
        </w:tc>
        <w:tc>
          <w:tcPr>
            <w:tcW w:w="1248" w:type="dxa"/>
            <w:shd w:val="clear" w:color="auto" w:fill="DBE4F0"/>
          </w:tcPr>
          <w:p>
            <w:pPr>
              <w:pStyle w:val="TableParagraph"/>
              <w:spacing w:before="78"/>
              <w:ind w:left="356"/>
              <w:rPr>
                <w:rFonts w:ascii="Corbel"/>
                <w:sz w:val="18"/>
              </w:rPr>
            </w:pPr>
            <w:r>
              <w:rPr>
                <w:rFonts w:ascii="Corbel"/>
                <w:sz w:val="18"/>
              </w:rPr>
              <w:t>4.34</w:t>
            </w:r>
          </w:p>
        </w:tc>
        <w:tc>
          <w:tcPr>
            <w:tcW w:w="1446" w:type="dxa"/>
            <w:shd w:val="clear" w:color="auto" w:fill="DBE4F0"/>
          </w:tcPr>
          <w:p>
            <w:pPr>
              <w:pStyle w:val="TableParagraph"/>
              <w:spacing w:before="78"/>
              <w:ind w:right="95"/>
              <w:jc w:val="right"/>
              <w:rPr>
                <w:rFonts w:ascii="Corbel"/>
                <w:sz w:val="18"/>
              </w:rPr>
            </w:pPr>
            <w:r>
              <w:rPr>
                <w:rFonts w:ascii="Corbel"/>
                <w:spacing w:val="-1"/>
                <w:sz w:val="18"/>
              </w:rPr>
              <w:t>3</w:t>
            </w:r>
            <w:r>
              <w:rPr>
                <w:rFonts w:ascii="Corbel"/>
                <w:sz w:val="18"/>
              </w:rPr>
              <w:t>,</w:t>
            </w:r>
            <w:r>
              <w:rPr>
                <w:rFonts w:ascii="Corbel"/>
                <w:spacing w:val="-1"/>
                <w:sz w:val="18"/>
              </w:rPr>
              <w:t>3</w:t>
            </w:r>
            <w:r>
              <w:rPr>
                <w:rFonts w:ascii="Corbel"/>
                <w:sz w:val="18"/>
              </w:rPr>
              <w:t>80</w:t>
            </w:r>
            <w:r>
              <w:rPr>
                <w:rFonts w:ascii="Corbel"/>
                <w:smallCaps/>
                <w:sz w:val="18"/>
              </w:rPr>
              <w:t>,61</w:t>
            </w:r>
            <w:r>
              <w:rPr>
                <w:rFonts w:ascii="Corbel"/>
                <w:smallCaps w:val="0"/>
                <w:spacing w:val="-3"/>
                <w:sz w:val="18"/>
              </w:rPr>
              <w:t>5</w:t>
            </w:r>
            <w:r>
              <w:rPr>
                <w:rFonts w:ascii="Corbel"/>
                <w:smallCaps w:val="0"/>
                <w:spacing w:val="-1"/>
                <w:sz w:val="18"/>
              </w:rPr>
              <w:t>.97</w:t>
            </w:r>
          </w:p>
        </w:tc>
        <w:tc>
          <w:tcPr>
            <w:tcW w:w="1045" w:type="dxa"/>
            <w:shd w:val="clear" w:color="auto" w:fill="DBE4F0"/>
          </w:tcPr>
          <w:p>
            <w:pPr>
              <w:pStyle w:val="TableParagraph"/>
              <w:spacing w:before="78"/>
              <w:ind w:right="383"/>
              <w:jc w:val="right"/>
              <w:rPr>
                <w:rFonts w:ascii="Corbel"/>
                <w:sz w:val="18"/>
              </w:rPr>
            </w:pPr>
            <w:r>
              <w:rPr>
                <w:rFonts w:ascii="Corbel"/>
                <w:spacing w:val="-1"/>
                <w:sz w:val="18"/>
              </w:rPr>
              <w:t>3</w:t>
            </w:r>
            <w:r>
              <w:rPr>
                <w:rFonts w:ascii="Corbel"/>
                <w:sz w:val="18"/>
              </w:rPr>
              <w:t>.</w:t>
            </w:r>
            <w:r>
              <w:rPr>
                <w:rFonts w:ascii="Corbel"/>
                <w:smallCaps/>
                <w:sz w:val="18"/>
              </w:rPr>
              <w:t>71</w:t>
            </w:r>
          </w:p>
        </w:tc>
      </w:tr>
      <w:tr>
        <w:trPr>
          <w:trHeight w:val="739" w:hRule="atLeast"/>
        </w:trPr>
        <w:tc>
          <w:tcPr>
            <w:tcW w:w="2652" w:type="dxa"/>
          </w:tcPr>
          <w:p>
            <w:pPr>
              <w:pStyle w:val="TableParagraph"/>
              <w:spacing w:before="78"/>
              <w:ind w:right="78"/>
              <w:jc w:val="right"/>
              <w:rPr>
                <w:rFonts w:ascii="Corbel"/>
                <w:sz w:val="18"/>
              </w:rPr>
            </w:pPr>
            <w:r>
              <w:rPr>
                <w:rFonts w:ascii="Corbel"/>
                <w:sz w:val="18"/>
              </w:rPr>
              <w:t>Productos</w:t>
            </w:r>
          </w:p>
        </w:tc>
        <w:tc>
          <w:tcPr>
            <w:tcW w:w="1650" w:type="dxa"/>
          </w:tcPr>
          <w:p>
            <w:pPr>
              <w:pStyle w:val="TableParagraph"/>
              <w:spacing w:before="78"/>
              <w:ind w:right="96"/>
              <w:jc w:val="right"/>
              <w:rPr>
                <w:rFonts w:ascii="Corbel"/>
                <w:sz w:val="18"/>
              </w:rPr>
            </w:pPr>
            <w:r>
              <w:rPr>
                <w:rFonts w:ascii="Corbel"/>
                <w:smallCaps/>
                <w:sz w:val="18"/>
              </w:rPr>
              <w:t>1,7</w:t>
            </w:r>
            <w:r>
              <w:rPr>
                <w:rFonts w:ascii="Corbel"/>
                <w:smallCaps/>
                <w:spacing w:val="-1"/>
                <w:sz w:val="18"/>
              </w:rPr>
              <w:t>2</w:t>
            </w:r>
            <w:r>
              <w:rPr>
                <w:rFonts w:ascii="Corbel"/>
                <w:smallCaps w:val="0"/>
                <w:sz w:val="18"/>
              </w:rPr>
              <w:t>8,3</w:t>
            </w:r>
            <w:r>
              <w:rPr>
                <w:rFonts w:ascii="Corbel"/>
                <w:smallCaps w:val="0"/>
                <w:spacing w:val="-1"/>
                <w:sz w:val="18"/>
              </w:rPr>
              <w:t>3</w:t>
            </w:r>
            <w:r>
              <w:rPr>
                <w:rFonts w:ascii="Corbel"/>
                <w:smallCaps w:val="0"/>
                <w:sz w:val="18"/>
              </w:rPr>
              <w:t>4</w:t>
            </w:r>
            <w:r>
              <w:rPr>
                <w:rFonts w:ascii="Corbel"/>
                <w:smallCaps/>
                <w:spacing w:val="-1"/>
                <w:sz w:val="18"/>
              </w:rPr>
              <w:t>.22</w:t>
            </w:r>
          </w:p>
        </w:tc>
        <w:tc>
          <w:tcPr>
            <w:tcW w:w="1231" w:type="dxa"/>
          </w:tcPr>
          <w:p>
            <w:pPr>
              <w:pStyle w:val="TableParagraph"/>
              <w:spacing w:before="78"/>
              <w:ind w:left="359"/>
              <w:rPr>
                <w:rFonts w:ascii="Corbel"/>
                <w:sz w:val="18"/>
              </w:rPr>
            </w:pPr>
            <w:r>
              <w:rPr>
                <w:rFonts w:ascii="Corbel"/>
                <w:smallCaps/>
                <w:spacing w:val="-1"/>
                <w:sz w:val="18"/>
              </w:rPr>
              <w:t>2</w:t>
            </w:r>
            <w:r>
              <w:rPr>
                <w:rFonts w:ascii="Corbel"/>
                <w:smallCaps w:val="0"/>
                <w:spacing w:val="-1"/>
                <w:sz w:val="18"/>
              </w:rPr>
              <w:t>.53</w:t>
            </w:r>
          </w:p>
        </w:tc>
        <w:tc>
          <w:tcPr>
            <w:tcW w:w="1463" w:type="dxa"/>
          </w:tcPr>
          <w:p>
            <w:pPr>
              <w:pStyle w:val="TableParagraph"/>
              <w:spacing w:before="78"/>
              <w:ind w:right="96"/>
              <w:jc w:val="right"/>
              <w:rPr>
                <w:rFonts w:ascii="Corbel"/>
                <w:sz w:val="18"/>
              </w:rPr>
            </w:pPr>
            <w:r>
              <w:rPr>
                <w:rFonts w:ascii="Corbel"/>
                <w:smallCaps/>
                <w:sz w:val="18"/>
              </w:rPr>
              <w:t>1,287,5</w:t>
            </w:r>
            <w:r>
              <w:rPr>
                <w:rFonts w:ascii="Corbel"/>
                <w:smallCaps/>
                <w:spacing w:val="1"/>
                <w:sz w:val="18"/>
              </w:rPr>
              <w:t>1</w:t>
            </w:r>
            <w:r>
              <w:rPr>
                <w:rFonts w:ascii="Corbel"/>
                <w:smallCaps w:val="0"/>
                <w:spacing w:val="-1"/>
                <w:sz w:val="18"/>
              </w:rPr>
              <w:t>9.</w:t>
            </w:r>
            <w:r>
              <w:rPr>
                <w:rFonts w:ascii="Corbel"/>
                <w:smallCaps w:val="0"/>
                <w:spacing w:val="-2"/>
                <w:sz w:val="18"/>
              </w:rPr>
              <w:t>3</w:t>
            </w:r>
            <w:r>
              <w:rPr>
                <w:rFonts w:ascii="Corbel"/>
                <w:smallCaps w:val="0"/>
                <w:sz w:val="18"/>
              </w:rPr>
              <w:t>0</w:t>
            </w:r>
          </w:p>
        </w:tc>
        <w:tc>
          <w:tcPr>
            <w:tcW w:w="1248" w:type="dxa"/>
          </w:tcPr>
          <w:p>
            <w:pPr>
              <w:pStyle w:val="TableParagraph"/>
              <w:spacing w:before="78"/>
              <w:ind w:left="363"/>
              <w:rPr>
                <w:rFonts w:ascii="Corbel"/>
                <w:sz w:val="18"/>
              </w:rPr>
            </w:pPr>
            <w:r>
              <w:rPr>
                <w:rFonts w:ascii="Corbel"/>
                <w:smallCaps/>
                <w:sz w:val="18"/>
              </w:rPr>
              <w:t>1</w:t>
            </w:r>
            <w:r>
              <w:rPr>
                <w:rFonts w:ascii="Corbel"/>
                <w:smallCaps/>
                <w:spacing w:val="-1"/>
                <w:sz w:val="18"/>
              </w:rPr>
              <w:t>.61</w:t>
            </w:r>
          </w:p>
        </w:tc>
        <w:tc>
          <w:tcPr>
            <w:tcW w:w="1446" w:type="dxa"/>
          </w:tcPr>
          <w:p>
            <w:pPr>
              <w:pStyle w:val="TableParagraph"/>
              <w:spacing w:before="78"/>
              <w:ind w:right="95"/>
              <w:jc w:val="right"/>
              <w:rPr>
                <w:rFonts w:ascii="Corbel"/>
                <w:sz w:val="18"/>
              </w:rPr>
            </w:pPr>
            <w:r>
              <w:rPr>
                <w:rFonts w:ascii="Corbel"/>
                <w:smallCaps/>
                <w:sz w:val="18"/>
              </w:rPr>
              <w:t>1,255,</w:t>
            </w:r>
            <w:r>
              <w:rPr>
                <w:rFonts w:ascii="Corbel"/>
                <w:smallCaps/>
                <w:spacing w:val="1"/>
                <w:sz w:val="18"/>
              </w:rPr>
              <w:t>0</w:t>
            </w:r>
            <w:r>
              <w:rPr>
                <w:rFonts w:ascii="Corbel"/>
                <w:smallCaps w:val="0"/>
                <w:spacing w:val="-1"/>
                <w:sz w:val="18"/>
              </w:rPr>
              <w:t>9</w:t>
            </w:r>
            <w:r>
              <w:rPr>
                <w:rFonts w:ascii="Corbel"/>
                <w:smallCaps w:val="0"/>
                <w:sz w:val="18"/>
              </w:rPr>
              <w:t>0</w:t>
            </w:r>
            <w:r>
              <w:rPr>
                <w:rFonts w:ascii="Corbel"/>
                <w:smallCaps w:val="0"/>
                <w:spacing w:val="-2"/>
                <w:sz w:val="18"/>
              </w:rPr>
              <w:t>.</w:t>
            </w:r>
            <w:r>
              <w:rPr>
                <w:rFonts w:ascii="Corbel"/>
                <w:smallCaps w:val="0"/>
                <w:sz w:val="18"/>
              </w:rPr>
              <w:t>40</w:t>
            </w:r>
          </w:p>
        </w:tc>
        <w:tc>
          <w:tcPr>
            <w:tcW w:w="1045" w:type="dxa"/>
          </w:tcPr>
          <w:p>
            <w:pPr>
              <w:pStyle w:val="TableParagraph"/>
              <w:spacing w:before="78"/>
              <w:ind w:right="373"/>
              <w:jc w:val="right"/>
              <w:rPr>
                <w:rFonts w:ascii="Corbel"/>
                <w:sz w:val="18"/>
              </w:rPr>
            </w:pPr>
            <w:r>
              <w:rPr>
                <w:rFonts w:ascii="Corbel"/>
                <w:smallCaps/>
                <w:sz w:val="18"/>
              </w:rPr>
              <w:t>1</w:t>
            </w:r>
            <w:r>
              <w:rPr>
                <w:rFonts w:ascii="Corbel"/>
                <w:smallCaps w:val="0"/>
                <w:spacing w:val="-1"/>
                <w:sz w:val="18"/>
              </w:rPr>
              <w:t>.</w:t>
            </w:r>
            <w:r>
              <w:rPr>
                <w:rFonts w:ascii="Corbel"/>
                <w:smallCaps w:val="0"/>
                <w:sz w:val="18"/>
              </w:rPr>
              <w:t>38</w:t>
            </w:r>
          </w:p>
        </w:tc>
      </w:tr>
      <w:tr>
        <w:trPr>
          <w:trHeight w:val="460" w:hRule="atLeast"/>
        </w:trPr>
        <w:tc>
          <w:tcPr>
            <w:tcW w:w="2652" w:type="dxa"/>
          </w:tcPr>
          <w:p>
            <w:pPr>
              <w:pStyle w:val="TableParagraph"/>
              <w:spacing w:before="80"/>
              <w:ind w:right="79"/>
              <w:jc w:val="right"/>
              <w:rPr>
                <w:rFonts w:ascii="Corbel"/>
                <w:sz w:val="18"/>
              </w:rPr>
            </w:pPr>
            <w:r>
              <w:rPr>
                <w:rFonts w:ascii="Corbel"/>
                <w:sz w:val="18"/>
              </w:rPr>
              <w:t>Aprovechamientos</w:t>
            </w:r>
          </w:p>
        </w:tc>
        <w:tc>
          <w:tcPr>
            <w:tcW w:w="1650" w:type="dxa"/>
            <w:shd w:val="clear" w:color="auto" w:fill="DBE4F0"/>
          </w:tcPr>
          <w:p>
            <w:pPr>
              <w:pStyle w:val="TableParagraph"/>
              <w:spacing w:before="80"/>
              <w:ind w:right="99"/>
              <w:jc w:val="right"/>
              <w:rPr>
                <w:rFonts w:ascii="Corbel"/>
                <w:sz w:val="18"/>
              </w:rPr>
            </w:pPr>
            <w:r>
              <w:rPr>
                <w:rFonts w:ascii="Corbel"/>
                <w:sz w:val="18"/>
              </w:rPr>
              <w:t>876,833.63</w:t>
            </w:r>
          </w:p>
        </w:tc>
        <w:tc>
          <w:tcPr>
            <w:tcW w:w="1231" w:type="dxa"/>
            <w:shd w:val="clear" w:color="auto" w:fill="DBE4F0"/>
          </w:tcPr>
          <w:p>
            <w:pPr>
              <w:pStyle w:val="TableParagraph"/>
              <w:spacing w:before="80"/>
              <w:ind w:left="357"/>
              <w:rPr>
                <w:rFonts w:ascii="Corbel"/>
                <w:sz w:val="18"/>
              </w:rPr>
            </w:pPr>
            <w:r>
              <w:rPr>
                <w:rFonts w:ascii="Corbel"/>
                <w:smallCaps/>
                <w:sz w:val="18"/>
              </w:rPr>
              <w:t>1</w:t>
            </w:r>
            <w:r>
              <w:rPr>
                <w:rFonts w:ascii="Corbel"/>
                <w:smallCaps/>
                <w:spacing w:val="-1"/>
                <w:sz w:val="18"/>
              </w:rPr>
              <w:t>.28</w:t>
            </w:r>
          </w:p>
        </w:tc>
        <w:tc>
          <w:tcPr>
            <w:tcW w:w="1463" w:type="dxa"/>
            <w:shd w:val="clear" w:color="auto" w:fill="DBE4F0"/>
          </w:tcPr>
          <w:p>
            <w:pPr>
              <w:pStyle w:val="TableParagraph"/>
              <w:spacing w:before="80"/>
              <w:ind w:right="96"/>
              <w:jc w:val="right"/>
              <w:rPr>
                <w:rFonts w:ascii="Corbel"/>
                <w:sz w:val="18"/>
              </w:rPr>
            </w:pPr>
            <w:r>
              <w:rPr>
                <w:rFonts w:ascii="Corbel"/>
                <w:smallCaps/>
                <w:sz w:val="18"/>
              </w:rPr>
              <w:t>4</w:t>
            </w:r>
            <w:r>
              <w:rPr>
                <w:rFonts w:ascii="Corbel"/>
                <w:smallCaps/>
                <w:spacing w:val="1"/>
                <w:sz w:val="18"/>
              </w:rPr>
              <w:t>1</w:t>
            </w:r>
            <w:r>
              <w:rPr>
                <w:rFonts w:ascii="Corbel"/>
                <w:smallCaps w:val="0"/>
                <w:sz w:val="18"/>
              </w:rPr>
              <w:t>0</w:t>
            </w:r>
            <w:r>
              <w:rPr>
                <w:rFonts w:ascii="Corbel"/>
                <w:smallCaps/>
                <w:sz w:val="18"/>
              </w:rPr>
              <w:t>,525.</w:t>
            </w:r>
            <w:r>
              <w:rPr>
                <w:rFonts w:ascii="Corbel"/>
                <w:smallCaps/>
                <w:spacing w:val="-3"/>
                <w:sz w:val="18"/>
              </w:rPr>
              <w:t>3</w:t>
            </w:r>
            <w:r>
              <w:rPr>
                <w:rFonts w:ascii="Corbel"/>
                <w:smallCaps w:val="0"/>
                <w:sz w:val="18"/>
              </w:rPr>
              <w:t>0</w:t>
            </w:r>
          </w:p>
        </w:tc>
        <w:tc>
          <w:tcPr>
            <w:tcW w:w="1248" w:type="dxa"/>
            <w:shd w:val="clear" w:color="auto" w:fill="DBE4F0"/>
          </w:tcPr>
          <w:p>
            <w:pPr>
              <w:pStyle w:val="TableParagraph"/>
              <w:spacing w:before="80"/>
              <w:ind w:left="361"/>
              <w:rPr>
                <w:rFonts w:ascii="Corbel"/>
                <w:sz w:val="18"/>
              </w:rPr>
            </w:pPr>
            <w:r>
              <w:rPr>
                <w:rFonts w:ascii="Corbel"/>
                <w:sz w:val="18"/>
              </w:rPr>
              <w:t>0</w:t>
            </w:r>
            <w:r>
              <w:rPr>
                <w:rFonts w:ascii="Corbel"/>
                <w:smallCaps/>
                <w:spacing w:val="-1"/>
                <w:sz w:val="18"/>
              </w:rPr>
              <w:t>.51</w:t>
            </w:r>
          </w:p>
        </w:tc>
        <w:tc>
          <w:tcPr>
            <w:tcW w:w="1446" w:type="dxa"/>
            <w:shd w:val="clear" w:color="auto" w:fill="DBE4F0"/>
          </w:tcPr>
          <w:p>
            <w:pPr>
              <w:pStyle w:val="TableParagraph"/>
              <w:spacing w:before="80"/>
              <w:ind w:right="94"/>
              <w:jc w:val="right"/>
              <w:rPr>
                <w:rFonts w:ascii="Corbel"/>
                <w:sz w:val="18"/>
              </w:rPr>
            </w:pPr>
            <w:r>
              <w:rPr>
                <w:rFonts w:ascii="Corbel"/>
                <w:spacing w:val="-1"/>
                <w:sz w:val="18"/>
              </w:rPr>
              <w:t>6</w:t>
            </w:r>
            <w:r>
              <w:rPr>
                <w:rFonts w:ascii="Corbel"/>
                <w:sz w:val="18"/>
              </w:rPr>
              <w:t>73,554</w:t>
            </w:r>
            <w:r>
              <w:rPr>
                <w:rFonts w:ascii="Corbel"/>
                <w:smallCaps/>
                <w:spacing w:val="-1"/>
                <w:sz w:val="18"/>
              </w:rPr>
              <w:t>.29</w:t>
            </w:r>
          </w:p>
        </w:tc>
        <w:tc>
          <w:tcPr>
            <w:tcW w:w="1045" w:type="dxa"/>
            <w:shd w:val="clear" w:color="auto" w:fill="DBE4F0"/>
          </w:tcPr>
          <w:p>
            <w:pPr>
              <w:pStyle w:val="TableParagraph"/>
              <w:spacing w:before="80"/>
              <w:ind w:right="371"/>
              <w:jc w:val="right"/>
              <w:rPr>
                <w:rFonts w:ascii="Corbel"/>
                <w:sz w:val="18"/>
              </w:rPr>
            </w:pPr>
            <w:r>
              <w:rPr>
                <w:rFonts w:ascii="Corbel"/>
                <w:sz w:val="18"/>
              </w:rPr>
              <w:t>0.74</w:t>
            </w:r>
          </w:p>
        </w:tc>
      </w:tr>
      <w:tr>
        <w:trPr>
          <w:trHeight w:val="739" w:hRule="atLeast"/>
        </w:trPr>
        <w:tc>
          <w:tcPr>
            <w:tcW w:w="2652" w:type="dxa"/>
          </w:tcPr>
          <w:p>
            <w:pPr>
              <w:pStyle w:val="TableParagraph"/>
              <w:spacing w:before="78"/>
              <w:ind w:right="79"/>
              <w:jc w:val="right"/>
              <w:rPr>
                <w:rFonts w:ascii="Corbel"/>
                <w:sz w:val="18"/>
              </w:rPr>
            </w:pPr>
            <w:r>
              <w:rPr>
                <w:rFonts w:ascii="Corbel"/>
                <w:sz w:val="18"/>
              </w:rPr>
              <w:t>Ingresos por venta de bienes</w:t>
            </w:r>
            <w:r>
              <w:rPr>
                <w:rFonts w:ascii="Corbel"/>
                <w:spacing w:val="-12"/>
                <w:sz w:val="18"/>
              </w:rPr>
              <w:t> </w:t>
            </w:r>
            <w:r>
              <w:rPr>
                <w:rFonts w:ascii="Corbel"/>
                <w:sz w:val="18"/>
              </w:rPr>
              <w:t>y</w:t>
            </w:r>
          </w:p>
          <w:p>
            <w:pPr>
              <w:pStyle w:val="TableParagraph"/>
              <w:spacing w:before="1"/>
              <w:ind w:right="80"/>
              <w:jc w:val="right"/>
              <w:rPr>
                <w:rFonts w:ascii="Corbel"/>
                <w:sz w:val="18"/>
              </w:rPr>
            </w:pPr>
            <w:r>
              <w:rPr>
                <w:rFonts w:ascii="Corbel"/>
                <w:spacing w:val="-1"/>
                <w:sz w:val="18"/>
              </w:rPr>
              <w:t>servicios</w:t>
            </w:r>
          </w:p>
        </w:tc>
        <w:tc>
          <w:tcPr>
            <w:tcW w:w="1650" w:type="dxa"/>
          </w:tcPr>
          <w:p>
            <w:pPr>
              <w:pStyle w:val="TableParagraph"/>
              <w:rPr>
                <w:rFonts w:ascii="Times New Roman"/>
                <w:sz w:val="18"/>
              </w:rPr>
            </w:pPr>
          </w:p>
        </w:tc>
        <w:tc>
          <w:tcPr>
            <w:tcW w:w="1231" w:type="dxa"/>
          </w:tcPr>
          <w:p>
            <w:pPr>
              <w:pStyle w:val="TableParagraph"/>
              <w:rPr>
                <w:rFonts w:ascii="Times New Roman"/>
                <w:sz w:val="18"/>
              </w:rPr>
            </w:pPr>
          </w:p>
        </w:tc>
        <w:tc>
          <w:tcPr>
            <w:tcW w:w="1463" w:type="dxa"/>
          </w:tcPr>
          <w:p>
            <w:pPr>
              <w:pStyle w:val="TableParagraph"/>
              <w:rPr>
                <w:rFonts w:ascii="Times New Roman"/>
                <w:sz w:val="18"/>
              </w:rPr>
            </w:pPr>
          </w:p>
        </w:tc>
        <w:tc>
          <w:tcPr>
            <w:tcW w:w="1248" w:type="dxa"/>
          </w:tcPr>
          <w:p>
            <w:pPr>
              <w:pStyle w:val="TableParagraph"/>
              <w:rPr>
                <w:rFonts w:ascii="Times New Roman"/>
                <w:sz w:val="18"/>
              </w:rPr>
            </w:pPr>
          </w:p>
        </w:tc>
        <w:tc>
          <w:tcPr>
            <w:tcW w:w="1446" w:type="dxa"/>
          </w:tcPr>
          <w:p>
            <w:pPr>
              <w:pStyle w:val="TableParagraph"/>
              <w:spacing w:before="78"/>
              <w:ind w:right="96"/>
              <w:jc w:val="right"/>
              <w:rPr>
                <w:rFonts w:ascii="Corbel"/>
                <w:sz w:val="18"/>
              </w:rPr>
            </w:pPr>
            <w:r>
              <w:rPr>
                <w:rFonts w:ascii="Corbel"/>
                <w:smallCaps/>
                <w:sz w:val="18"/>
              </w:rPr>
              <w:t>71</w:t>
            </w:r>
            <w:r>
              <w:rPr>
                <w:rFonts w:ascii="Corbel"/>
                <w:smallCaps w:val="0"/>
                <w:spacing w:val="-1"/>
                <w:sz w:val="18"/>
              </w:rPr>
              <w:t>3</w:t>
            </w:r>
            <w:r>
              <w:rPr>
                <w:rFonts w:ascii="Corbel"/>
                <w:smallCaps w:val="0"/>
                <w:sz w:val="18"/>
              </w:rPr>
              <w:t>,</w:t>
            </w:r>
            <w:r>
              <w:rPr>
                <w:rFonts w:ascii="Corbel"/>
                <w:smallCaps/>
                <w:sz w:val="18"/>
              </w:rPr>
              <w:t>5</w:t>
            </w:r>
            <w:r>
              <w:rPr>
                <w:rFonts w:ascii="Corbel"/>
                <w:smallCaps/>
                <w:spacing w:val="-1"/>
                <w:sz w:val="18"/>
              </w:rPr>
              <w:t>2</w:t>
            </w:r>
            <w:r>
              <w:rPr>
                <w:rFonts w:ascii="Corbel"/>
                <w:smallCaps w:val="0"/>
                <w:sz w:val="18"/>
              </w:rPr>
              <w:t>0</w:t>
            </w:r>
            <w:r>
              <w:rPr>
                <w:rFonts w:ascii="Corbel"/>
                <w:smallCaps w:val="0"/>
                <w:spacing w:val="-1"/>
                <w:sz w:val="18"/>
              </w:rPr>
              <w:t>.0</w:t>
            </w:r>
            <w:r>
              <w:rPr>
                <w:rFonts w:ascii="Corbel"/>
                <w:smallCaps w:val="0"/>
                <w:sz w:val="18"/>
              </w:rPr>
              <w:t>0</w:t>
            </w:r>
          </w:p>
        </w:tc>
        <w:tc>
          <w:tcPr>
            <w:tcW w:w="1045" w:type="dxa"/>
          </w:tcPr>
          <w:p>
            <w:pPr>
              <w:pStyle w:val="TableParagraph"/>
              <w:spacing w:before="78"/>
              <w:ind w:right="371"/>
              <w:jc w:val="right"/>
              <w:rPr>
                <w:rFonts w:ascii="Corbel"/>
                <w:sz w:val="18"/>
              </w:rPr>
            </w:pPr>
            <w:r>
              <w:rPr>
                <w:rFonts w:ascii="Corbel"/>
                <w:sz w:val="18"/>
              </w:rPr>
              <w:t>0.78</w:t>
            </w:r>
          </w:p>
        </w:tc>
      </w:tr>
      <w:tr>
        <w:trPr>
          <w:trHeight w:val="460" w:hRule="atLeast"/>
        </w:trPr>
        <w:tc>
          <w:tcPr>
            <w:tcW w:w="2652" w:type="dxa"/>
          </w:tcPr>
          <w:p>
            <w:pPr>
              <w:pStyle w:val="TableParagraph"/>
              <w:rPr>
                <w:rFonts w:ascii="Times New Roman"/>
                <w:sz w:val="18"/>
              </w:rPr>
            </w:pPr>
          </w:p>
        </w:tc>
        <w:tc>
          <w:tcPr>
            <w:tcW w:w="1650" w:type="dxa"/>
            <w:shd w:val="clear" w:color="auto" w:fill="DBE4F0"/>
          </w:tcPr>
          <w:p>
            <w:pPr>
              <w:pStyle w:val="TableParagraph"/>
              <w:rPr>
                <w:rFonts w:ascii="Times New Roman"/>
                <w:sz w:val="18"/>
              </w:rPr>
            </w:pPr>
          </w:p>
        </w:tc>
        <w:tc>
          <w:tcPr>
            <w:tcW w:w="1231" w:type="dxa"/>
            <w:shd w:val="clear" w:color="auto" w:fill="DBE4F0"/>
          </w:tcPr>
          <w:p>
            <w:pPr>
              <w:pStyle w:val="TableParagraph"/>
              <w:rPr>
                <w:rFonts w:ascii="Times New Roman"/>
                <w:sz w:val="18"/>
              </w:rPr>
            </w:pPr>
          </w:p>
        </w:tc>
        <w:tc>
          <w:tcPr>
            <w:tcW w:w="1463" w:type="dxa"/>
            <w:shd w:val="clear" w:color="auto" w:fill="DBE4F0"/>
          </w:tcPr>
          <w:p>
            <w:pPr>
              <w:pStyle w:val="TableParagraph"/>
              <w:rPr>
                <w:rFonts w:ascii="Times New Roman"/>
                <w:sz w:val="18"/>
              </w:rPr>
            </w:pPr>
          </w:p>
        </w:tc>
        <w:tc>
          <w:tcPr>
            <w:tcW w:w="1248" w:type="dxa"/>
            <w:shd w:val="clear" w:color="auto" w:fill="DBE4F0"/>
          </w:tcPr>
          <w:p>
            <w:pPr>
              <w:pStyle w:val="TableParagraph"/>
              <w:rPr>
                <w:rFonts w:ascii="Times New Roman"/>
                <w:sz w:val="18"/>
              </w:rPr>
            </w:pPr>
          </w:p>
        </w:tc>
        <w:tc>
          <w:tcPr>
            <w:tcW w:w="1446" w:type="dxa"/>
            <w:shd w:val="clear" w:color="auto" w:fill="DBE4F0"/>
          </w:tcPr>
          <w:p>
            <w:pPr>
              <w:pStyle w:val="TableParagraph"/>
              <w:rPr>
                <w:rFonts w:ascii="Times New Roman"/>
                <w:sz w:val="18"/>
              </w:rPr>
            </w:pPr>
          </w:p>
        </w:tc>
        <w:tc>
          <w:tcPr>
            <w:tcW w:w="1045" w:type="dxa"/>
            <w:shd w:val="clear" w:color="auto" w:fill="DBE4F0"/>
          </w:tcPr>
          <w:p>
            <w:pPr>
              <w:pStyle w:val="TableParagraph"/>
              <w:rPr>
                <w:rFonts w:ascii="Times New Roman"/>
                <w:sz w:val="18"/>
              </w:rPr>
            </w:pPr>
          </w:p>
        </w:tc>
      </w:tr>
      <w:tr>
        <w:trPr>
          <w:trHeight w:val="739" w:hRule="atLeast"/>
        </w:trPr>
        <w:tc>
          <w:tcPr>
            <w:tcW w:w="2652" w:type="dxa"/>
            <w:shd w:val="clear" w:color="auto" w:fill="B8CCE3"/>
          </w:tcPr>
          <w:p>
            <w:pPr>
              <w:pStyle w:val="TableParagraph"/>
              <w:spacing w:before="78"/>
              <w:ind w:right="80"/>
              <w:jc w:val="right"/>
              <w:rPr>
                <w:rFonts w:ascii="Corbel"/>
                <w:sz w:val="18"/>
              </w:rPr>
            </w:pPr>
            <w:r>
              <w:rPr>
                <w:rFonts w:ascii="Corbel"/>
                <w:sz w:val="18"/>
              </w:rPr>
              <w:t>Total Ingresos propios</w:t>
            </w:r>
          </w:p>
        </w:tc>
        <w:tc>
          <w:tcPr>
            <w:tcW w:w="1650" w:type="dxa"/>
          </w:tcPr>
          <w:p>
            <w:pPr>
              <w:pStyle w:val="TableParagraph"/>
              <w:spacing w:before="78"/>
              <w:ind w:right="97"/>
              <w:jc w:val="right"/>
              <w:rPr>
                <w:rFonts w:ascii="Corbel"/>
                <w:sz w:val="18"/>
              </w:rPr>
            </w:pPr>
            <w:r>
              <w:rPr>
                <w:rFonts w:ascii="Corbel"/>
                <w:smallCaps/>
                <w:sz w:val="18"/>
              </w:rPr>
              <w:t>1</w:t>
            </w:r>
            <w:r>
              <w:rPr>
                <w:rFonts w:ascii="Corbel"/>
                <w:smallCaps w:val="0"/>
                <w:sz w:val="18"/>
              </w:rPr>
              <w:t>0,65</w:t>
            </w:r>
            <w:r>
              <w:rPr>
                <w:rFonts w:ascii="Corbel"/>
                <w:smallCaps w:val="0"/>
                <w:spacing w:val="-1"/>
                <w:sz w:val="18"/>
              </w:rPr>
              <w:t>6</w:t>
            </w:r>
            <w:r>
              <w:rPr>
                <w:rFonts w:ascii="Corbel"/>
                <w:smallCaps w:val="0"/>
                <w:sz w:val="18"/>
              </w:rPr>
              <w:t>,40</w:t>
            </w:r>
            <w:r>
              <w:rPr>
                <w:rFonts w:ascii="Corbel"/>
                <w:smallCaps/>
                <w:spacing w:val="-1"/>
                <w:sz w:val="18"/>
              </w:rPr>
              <w:t>2</w:t>
            </w:r>
            <w:r>
              <w:rPr>
                <w:rFonts w:ascii="Corbel"/>
                <w:smallCaps w:val="0"/>
                <w:spacing w:val="-1"/>
                <w:sz w:val="18"/>
              </w:rPr>
              <w:t>.59</w:t>
            </w:r>
          </w:p>
        </w:tc>
        <w:tc>
          <w:tcPr>
            <w:tcW w:w="1231" w:type="dxa"/>
          </w:tcPr>
          <w:p>
            <w:pPr>
              <w:pStyle w:val="TableParagraph"/>
              <w:spacing w:before="78"/>
              <w:ind w:left="297"/>
              <w:rPr>
                <w:rFonts w:ascii="Corbel"/>
                <w:sz w:val="18"/>
              </w:rPr>
            </w:pPr>
            <w:r>
              <w:rPr>
                <w:rFonts w:ascii="Corbel"/>
                <w:smallCaps/>
                <w:sz w:val="18"/>
              </w:rPr>
              <w:t>1</w:t>
            </w:r>
            <w:r>
              <w:rPr>
                <w:rFonts w:ascii="Corbel"/>
                <w:smallCaps w:val="0"/>
                <w:sz w:val="18"/>
              </w:rPr>
              <w:t>5.59</w:t>
            </w:r>
          </w:p>
        </w:tc>
        <w:tc>
          <w:tcPr>
            <w:tcW w:w="1463" w:type="dxa"/>
          </w:tcPr>
          <w:p>
            <w:pPr>
              <w:pStyle w:val="TableParagraph"/>
              <w:spacing w:before="78"/>
              <w:ind w:right="96"/>
              <w:jc w:val="right"/>
              <w:rPr>
                <w:rFonts w:ascii="Corbel"/>
                <w:sz w:val="18"/>
              </w:rPr>
            </w:pPr>
            <w:r>
              <w:rPr>
                <w:rFonts w:ascii="Corbel"/>
                <w:smallCaps/>
                <w:sz w:val="18"/>
              </w:rPr>
              <w:t>11</w:t>
            </w:r>
            <w:r>
              <w:rPr>
                <w:rFonts w:ascii="Corbel"/>
                <w:smallCaps w:val="0"/>
                <w:sz w:val="18"/>
              </w:rPr>
              <w:t>,</w:t>
            </w:r>
            <w:r>
              <w:rPr>
                <w:rFonts w:ascii="Corbel"/>
                <w:smallCaps w:val="0"/>
                <w:spacing w:val="-2"/>
                <w:sz w:val="18"/>
              </w:rPr>
              <w:t>4</w:t>
            </w:r>
            <w:r>
              <w:rPr>
                <w:rFonts w:ascii="Corbel"/>
                <w:smallCaps w:val="0"/>
                <w:sz w:val="18"/>
              </w:rPr>
              <w:t>0</w:t>
            </w:r>
            <w:r>
              <w:rPr>
                <w:rFonts w:ascii="Corbel"/>
                <w:smallCaps w:val="0"/>
                <w:spacing w:val="-1"/>
                <w:sz w:val="18"/>
              </w:rPr>
              <w:t>9</w:t>
            </w:r>
            <w:r>
              <w:rPr>
                <w:rFonts w:ascii="Corbel"/>
                <w:smallCaps/>
                <w:sz w:val="18"/>
              </w:rPr>
              <w:t>,7</w:t>
            </w:r>
            <w:r>
              <w:rPr>
                <w:rFonts w:ascii="Corbel"/>
                <w:smallCaps/>
                <w:spacing w:val="-1"/>
                <w:sz w:val="18"/>
              </w:rPr>
              <w:t>2</w:t>
            </w:r>
            <w:r>
              <w:rPr>
                <w:rFonts w:ascii="Corbel"/>
                <w:smallCaps w:val="0"/>
                <w:spacing w:val="-1"/>
                <w:sz w:val="18"/>
              </w:rPr>
              <w:t>3</w:t>
            </w:r>
            <w:r>
              <w:rPr>
                <w:rFonts w:ascii="Corbel"/>
                <w:smallCaps w:val="0"/>
                <w:sz w:val="18"/>
              </w:rPr>
              <w:t>.</w:t>
            </w:r>
            <w:r>
              <w:rPr>
                <w:rFonts w:ascii="Corbel"/>
                <w:smallCaps/>
                <w:spacing w:val="-1"/>
                <w:sz w:val="18"/>
              </w:rPr>
              <w:t>31</w:t>
            </w:r>
          </w:p>
        </w:tc>
        <w:tc>
          <w:tcPr>
            <w:tcW w:w="1248" w:type="dxa"/>
          </w:tcPr>
          <w:p>
            <w:pPr>
              <w:pStyle w:val="TableParagraph"/>
              <w:spacing w:before="78"/>
              <w:ind w:left="335"/>
              <w:rPr>
                <w:rFonts w:ascii="Corbel"/>
                <w:sz w:val="18"/>
              </w:rPr>
            </w:pPr>
            <w:r>
              <w:rPr>
                <w:rFonts w:ascii="Corbel"/>
                <w:smallCaps/>
                <w:sz w:val="18"/>
              </w:rPr>
              <w:t>1</w:t>
            </w:r>
            <w:r>
              <w:rPr>
                <w:rFonts w:ascii="Corbel"/>
                <w:smallCaps w:val="0"/>
                <w:sz w:val="18"/>
              </w:rPr>
              <w:t>4.</w:t>
            </w:r>
            <w:r>
              <w:rPr>
                <w:rFonts w:ascii="Corbel"/>
                <w:smallCaps w:val="0"/>
                <w:spacing w:val="-1"/>
                <w:sz w:val="18"/>
              </w:rPr>
              <w:t>30</w:t>
            </w:r>
          </w:p>
        </w:tc>
        <w:tc>
          <w:tcPr>
            <w:tcW w:w="1446" w:type="dxa"/>
          </w:tcPr>
          <w:p>
            <w:pPr>
              <w:pStyle w:val="TableParagraph"/>
              <w:spacing w:before="78"/>
              <w:ind w:right="94"/>
              <w:jc w:val="right"/>
              <w:rPr>
                <w:rFonts w:ascii="Corbel"/>
                <w:sz w:val="18"/>
              </w:rPr>
            </w:pPr>
            <w:r>
              <w:rPr>
                <w:rFonts w:ascii="Corbel"/>
                <w:smallCaps/>
                <w:sz w:val="18"/>
              </w:rPr>
              <w:t>1</w:t>
            </w:r>
            <w:r>
              <w:rPr>
                <w:rFonts w:ascii="Corbel"/>
                <w:smallCaps w:val="0"/>
                <w:spacing w:val="-1"/>
                <w:sz w:val="18"/>
              </w:rPr>
              <w:t>3</w:t>
            </w:r>
            <w:r>
              <w:rPr>
                <w:rFonts w:ascii="Corbel"/>
                <w:smallCaps w:val="0"/>
                <w:sz w:val="18"/>
              </w:rPr>
              <w:t>,</w:t>
            </w:r>
            <w:r>
              <w:rPr>
                <w:rFonts w:ascii="Corbel"/>
                <w:smallCaps w:val="0"/>
                <w:spacing w:val="-1"/>
                <w:sz w:val="18"/>
              </w:rPr>
              <w:t>6</w:t>
            </w:r>
            <w:r>
              <w:rPr>
                <w:rFonts w:ascii="Corbel"/>
                <w:smallCaps w:val="0"/>
                <w:sz w:val="18"/>
              </w:rPr>
              <w:t>58,3</w:t>
            </w:r>
            <w:r>
              <w:rPr>
                <w:rFonts w:ascii="Corbel"/>
                <w:smallCaps w:val="0"/>
                <w:spacing w:val="-1"/>
                <w:sz w:val="18"/>
              </w:rPr>
              <w:t>9</w:t>
            </w:r>
            <w:r>
              <w:rPr>
                <w:rFonts w:ascii="Corbel"/>
                <w:smallCaps w:val="0"/>
                <w:sz w:val="18"/>
              </w:rPr>
              <w:t>0</w:t>
            </w:r>
            <w:r>
              <w:rPr>
                <w:rFonts w:ascii="Corbel"/>
                <w:smallCaps w:val="0"/>
                <w:spacing w:val="-1"/>
                <w:sz w:val="18"/>
              </w:rPr>
              <w:t>.</w:t>
            </w:r>
            <w:r>
              <w:rPr>
                <w:rFonts w:ascii="Corbel"/>
                <w:smallCaps w:val="0"/>
                <w:spacing w:val="-2"/>
                <w:sz w:val="18"/>
              </w:rPr>
              <w:t>4</w:t>
            </w:r>
            <w:r>
              <w:rPr>
                <w:rFonts w:ascii="Corbel"/>
                <w:smallCaps w:val="0"/>
                <w:sz w:val="18"/>
              </w:rPr>
              <w:t>3</w:t>
            </w:r>
          </w:p>
        </w:tc>
        <w:tc>
          <w:tcPr>
            <w:tcW w:w="1045" w:type="dxa"/>
          </w:tcPr>
          <w:p>
            <w:pPr>
              <w:pStyle w:val="TableParagraph"/>
              <w:spacing w:before="78"/>
              <w:ind w:right="338"/>
              <w:jc w:val="right"/>
              <w:rPr>
                <w:rFonts w:ascii="Corbel"/>
                <w:sz w:val="18"/>
              </w:rPr>
            </w:pPr>
            <w:r>
              <w:rPr>
                <w:rFonts w:ascii="Corbel"/>
                <w:smallCaps/>
                <w:sz w:val="18"/>
              </w:rPr>
              <w:t>1</w:t>
            </w:r>
            <w:r>
              <w:rPr>
                <w:rFonts w:ascii="Corbel"/>
                <w:smallCaps w:val="0"/>
                <w:sz w:val="18"/>
              </w:rPr>
              <w:t>4.</w:t>
            </w:r>
            <w:r>
              <w:rPr>
                <w:rFonts w:ascii="Corbel"/>
                <w:smallCaps w:val="0"/>
                <w:spacing w:val="-1"/>
                <w:sz w:val="18"/>
              </w:rPr>
              <w:t>9</w:t>
            </w:r>
            <w:r>
              <w:rPr>
                <w:rFonts w:ascii="Corbel"/>
                <w:smallCaps w:val="0"/>
                <w:sz w:val="18"/>
              </w:rPr>
              <w:t>9</w:t>
            </w:r>
          </w:p>
        </w:tc>
      </w:tr>
      <w:tr>
        <w:trPr>
          <w:trHeight w:val="581" w:hRule="atLeast"/>
        </w:trPr>
        <w:tc>
          <w:tcPr>
            <w:tcW w:w="2652" w:type="dxa"/>
          </w:tcPr>
          <w:p>
            <w:pPr>
              <w:pStyle w:val="TableParagraph"/>
              <w:rPr>
                <w:rFonts w:ascii="Times New Roman"/>
                <w:sz w:val="18"/>
              </w:rPr>
            </w:pPr>
          </w:p>
        </w:tc>
        <w:tc>
          <w:tcPr>
            <w:tcW w:w="1650" w:type="dxa"/>
            <w:shd w:val="clear" w:color="auto" w:fill="DBE4F0"/>
          </w:tcPr>
          <w:p>
            <w:pPr>
              <w:pStyle w:val="TableParagraph"/>
              <w:rPr>
                <w:rFonts w:ascii="Times New Roman"/>
                <w:sz w:val="18"/>
              </w:rPr>
            </w:pPr>
          </w:p>
        </w:tc>
        <w:tc>
          <w:tcPr>
            <w:tcW w:w="1231" w:type="dxa"/>
            <w:shd w:val="clear" w:color="auto" w:fill="DBE4F0"/>
          </w:tcPr>
          <w:p>
            <w:pPr>
              <w:pStyle w:val="TableParagraph"/>
              <w:rPr>
                <w:rFonts w:ascii="Times New Roman"/>
                <w:sz w:val="18"/>
              </w:rPr>
            </w:pPr>
          </w:p>
        </w:tc>
        <w:tc>
          <w:tcPr>
            <w:tcW w:w="1463" w:type="dxa"/>
            <w:shd w:val="clear" w:color="auto" w:fill="DBE4F0"/>
          </w:tcPr>
          <w:p>
            <w:pPr>
              <w:pStyle w:val="TableParagraph"/>
              <w:rPr>
                <w:rFonts w:ascii="Times New Roman"/>
                <w:sz w:val="18"/>
              </w:rPr>
            </w:pPr>
          </w:p>
        </w:tc>
        <w:tc>
          <w:tcPr>
            <w:tcW w:w="1248" w:type="dxa"/>
            <w:shd w:val="clear" w:color="auto" w:fill="DBE4F0"/>
          </w:tcPr>
          <w:p>
            <w:pPr>
              <w:pStyle w:val="TableParagraph"/>
              <w:rPr>
                <w:rFonts w:ascii="Times New Roman"/>
                <w:sz w:val="18"/>
              </w:rPr>
            </w:pPr>
          </w:p>
        </w:tc>
        <w:tc>
          <w:tcPr>
            <w:tcW w:w="1446" w:type="dxa"/>
            <w:shd w:val="clear" w:color="auto" w:fill="DBE4F0"/>
          </w:tcPr>
          <w:p>
            <w:pPr>
              <w:pStyle w:val="TableParagraph"/>
              <w:rPr>
                <w:rFonts w:ascii="Times New Roman"/>
                <w:sz w:val="18"/>
              </w:rPr>
            </w:pPr>
          </w:p>
        </w:tc>
        <w:tc>
          <w:tcPr>
            <w:tcW w:w="1045" w:type="dxa"/>
            <w:shd w:val="clear" w:color="auto" w:fill="DBE4F0"/>
          </w:tcPr>
          <w:p>
            <w:pPr>
              <w:pStyle w:val="TableParagraph"/>
              <w:rPr>
                <w:rFonts w:ascii="Times New Roman"/>
                <w:sz w:val="18"/>
              </w:rPr>
            </w:pPr>
          </w:p>
        </w:tc>
      </w:tr>
      <w:tr>
        <w:trPr>
          <w:trHeight w:val="739" w:hRule="atLeast"/>
        </w:trPr>
        <w:tc>
          <w:tcPr>
            <w:tcW w:w="2652" w:type="dxa"/>
            <w:shd w:val="clear" w:color="auto" w:fill="B8CCE3"/>
          </w:tcPr>
          <w:p>
            <w:pPr>
              <w:pStyle w:val="TableParagraph"/>
              <w:spacing w:before="78"/>
              <w:ind w:right="79"/>
              <w:jc w:val="right"/>
              <w:rPr>
                <w:rFonts w:ascii="Corbel"/>
                <w:sz w:val="18"/>
              </w:rPr>
            </w:pPr>
            <w:r>
              <w:rPr>
                <w:rFonts w:ascii="Corbel"/>
                <w:sz w:val="18"/>
              </w:rPr>
              <w:t>PARTICIPACIONES Y</w:t>
            </w:r>
            <w:r>
              <w:rPr>
                <w:rFonts w:ascii="Corbel"/>
                <w:spacing w:val="-11"/>
                <w:sz w:val="18"/>
              </w:rPr>
              <w:t> </w:t>
            </w:r>
            <w:r>
              <w:rPr>
                <w:rFonts w:ascii="Corbel"/>
                <w:sz w:val="18"/>
              </w:rPr>
              <w:t>APOR-</w:t>
            </w:r>
          </w:p>
          <w:p>
            <w:pPr>
              <w:pStyle w:val="TableParagraph"/>
              <w:spacing w:before="1"/>
              <w:ind w:right="81"/>
              <w:jc w:val="right"/>
              <w:rPr>
                <w:rFonts w:ascii="Corbel"/>
                <w:sz w:val="18"/>
              </w:rPr>
            </w:pPr>
            <w:r>
              <w:rPr>
                <w:rFonts w:ascii="Corbel"/>
                <w:spacing w:val="-1"/>
                <w:sz w:val="18"/>
              </w:rPr>
              <w:t>TACIONES</w:t>
            </w:r>
          </w:p>
        </w:tc>
        <w:tc>
          <w:tcPr>
            <w:tcW w:w="1650" w:type="dxa"/>
          </w:tcPr>
          <w:p>
            <w:pPr>
              <w:pStyle w:val="TableParagraph"/>
              <w:rPr>
                <w:rFonts w:ascii="Times New Roman"/>
                <w:sz w:val="18"/>
              </w:rPr>
            </w:pPr>
          </w:p>
        </w:tc>
        <w:tc>
          <w:tcPr>
            <w:tcW w:w="1231" w:type="dxa"/>
          </w:tcPr>
          <w:p>
            <w:pPr>
              <w:pStyle w:val="TableParagraph"/>
              <w:rPr>
                <w:rFonts w:ascii="Times New Roman"/>
                <w:sz w:val="18"/>
              </w:rPr>
            </w:pPr>
          </w:p>
        </w:tc>
        <w:tc>
          <w:tcPr>
            <w:tcW w:w="1463" w:type="dxa"/>
          </w:tcPr>
          <w:p>
            <w:pPr>
              <w:pStyle w:val="TableParagraph"/>
              <w:rPr>
                <w:rFonts w:ascii="Times New Roman"/>
                <w:sz w:val="18"/>
              </w:rPr>
            </w:pPr>
          </w:p>
        </w:tc>
        <w:tc>
          <w:tcPr>
            <w:tcW w:w="1248" w:type="dxa"/>
          </w:tcPr>
          <w:p>
            <w:pPr>
              <w:pStyle w:val="TableParagraph"/>
              <w:rPr>
                <w:rFonts w:ascii="Times New Roman"/>
                <w:sz w:val="18"/>
              </w:rPr>
            </w:pPr>
          </w:p>
        </w:tc>
        <w:tc>
          <w:tcPr>
            <w:tcW w:w="1446" w:type="dxa"/>
          </w:tcPr>
          <w:p>
            <w:pPr>
              <w:pStyle w:val="TableParagraph"/>
              <w:rPr>
                <w:rFonts w:ascii="Times New Roman"/>
                <w:sz w:val="18"/>
              </w:rPr>
            </w:pPr>
          </w:p>
        </w:tc>
        <w:tc>
          <w:tcPr>
            <w:tcW w:w="1045" w:type="dxa"/>
          </w:tcPr>
          <w:p>
            <w:pPr>
              <w:pStyle w:val="TableParagraph"/>
              <w:rPr>
                <w:rFonts w:ascii="Times New Roman"/>
                <w:sz w:val="18"/>
              </w:rPr>
            </w:pPr>
          </w:p>
        </w:tc>
      </w:tr>
      <w:tr>
        <w:trPr>
          <w:trHeight w:val="1199" w:hRule="atLeast"/>
        </w:trPr>
        <w:tc>
          <w:tcPr>
            <w:tcW w:w="2652" w:type="dxa"/>
          </w:tcPr>
          <w:p>
            <w:pPr>
              <w:pStyle w:val="TableParagraph"/>
              <w:spacing w:before="80"/>
              <w:ind w:right="78"/>
              <w:jc w:val="right"/>
              <w:rPr>
                <w:rFonts w:ascii="Corbel"/>
                <w:sz w:val="18"/>
              </w:rPr>
            </w:pPr>
            <w:r>
              <w:rPr>
                <w:rFonts w:ascii="Corbel"/>
                <w:sz w:val="18"/>
              </w:rPr>
              <w:t>Participaciones y aportaciones</w:t>
            </w:r>
          </w:p>
        </w:tc>
        <w:tc>
          <w:tcPr>
            <w:tcW w:w="1650" w:type="dxa"/>
          </w:tcPr>
          <w:p>
            <w:pPr>
              <w:pStyle w:val="TableParagraph"/>
              <w:spacing w:before="80"/>
              <w:ind w:right="98"/>
              <w:jc w:val="right"/>
              <w:rPr>
                <w:rFonts w:ascii="Corbel"/>
                <w:sz w:val="18"/>
              </w:rPr>
            </w:pPr>
            <w:r>
              <w:rPr>
                <w:rFonts w:ascii="Corbel"/>
                <w:smallCaps/>
                <w:sz w:val="18"/>
              </w:rPr>
              <w:t>57,6</w:t>
            </w:r>
            <w:r>
              <w:rPr>
                <w:rFonts w:ascii="Corbel"/>
                <w:smallCaps/>
                <w:spacing w:val="-2"/>
                <w:sz w:val="18"/>
              </w:rPr>
              <w:t>2</w:t>
            </w:r>
            <w:r>
              <w:rPr>
                <w:rFonts w:ascii="Corbel"/>
                <w:smallCaps w:val="0"/>
                <w:sz w:val="18"/>
              </w:rPr>
              <w:t>4,00</w:t>
            </w:r>
            <w:r>
              <w:rPr>
                <w:rFonts w:ascii="Corbel"/>
                <w:smallCaps/>
                <w:sz w:val="18"/>
              </w:rPr>
              <w:t>1</w:t>
            </w:r>
            <w:r>
              <w:rPr>
                <w:rFonts w:ascii="Corbel"/>
                <w:smallCaps w:val="0"/>
                <w:spacing w:val="-2"/>
                <w:sz w:val="18"/>
              </w:rPr>
              <w:t>.</w:t>
            </w:r>
            <w:r>
              <w:rPr>
                <w:rFonts w:ascii="Corbel"/>
                <w:smallCaps w:val="0"/>
                <w:sz w:val="18"/>
              </w:rPr>
              <w:t>08</w:t>
            </w:r>
          </w:p>
        </w:tc>
        <w:tc>
          <w:tcPr>
            <w:tcW w:w="1231" w:type="dxa"/>
          </w:tcPr>
          <w:p>
            <w:pPr>
              <w:pStyle w:val="TableParagraph"/>
              <w:spacing w:before="80"/>
              <w:ind w:left="314"/>
              <w:rPr>
                <w:rFonts w:ascii="Corbel"/>
                <w:sz w:val="18"/>
              </w:rPr>
            </w:pPr>
            <w:r>
              <w:rPr>
                <w:rFonts w:ascii="Corbel"/>
                <w:sz w:val="18"/>
              </w:rPr>
              <w:t>84.</w:t>
            </w:r>
            <w:r>
              <w:rPr>
                <w:rFonts w:ascii="Corbel"/>
                <w:smallCaps/>
                <w:spacing w:val="-1"/>
                <w:sz w:val="18"/>
              </w:rPr>
              <w:t>31</w:t>
            </w:r>
          </w:p>
        </w:tc>
        <w:tc>
          <w:tcPr>
            <w:tcW w:w="1463" w:type="dxa"/>
          </w:tcPr>
          <w:p>
            <w:pPr>
              <w:pStyle w:val="TableParagraph"/>
              <w:spacing w:before="80"/>
              <w:ind w:right="98"/>
              <w:jc w:val="right"/>
              <w:rPr>
                <w:rFonts w:ascii="Corbel"/>
                <w:sz w:val="18"/>
              </w:rPr>
            </w:pPr>
            <w:r>
              <w:rPr>
                <w:rFonts w:ascii="Corbel"/>
                <w:spacing w:val="-1"/>
                <w:sz w:val="18"/>
              </w:rPr>
              <w:t>6</w:t>
            </w:r>
            <w:r>
              <w:rPr>
                <w:rFonts w:ascii="Corbel"/>
                <w:sz w:val="18"/>
              </w:rPr>
              <w:t>8</w:t>
            </w:r>
            <w:r>
              <w:rPr>
                <w:rFonts w:ascii="Corbel"/>
                <w:smallCaps/>
                <w:sz w:val="18"/>
              </w:rPr>
              <w:t>,23</w:t>
            </w:r>
            <w:r>
              <w:rPr>
                <w:rFonts w:ascii="Corbel"/>
                <w:smallCaps/>
                <w:spacing w:val="-2"/>
                <w:sz w:val="18"/>
              </w:rPr>
              <w:t>2</w:t>
            </w:r>
            <w:r>
              <w:rPr>
                <w:rFonts w:ascii="Corbel"/>
                <w:smallCaps w:val="0"/>
                <w:sz w:val="18"/>
              </w:rPr>
              <w:t>,54</w:t>
            </w:r>
            <w:r>
              <w:rPr>
                <w:rFonts w:ascii="Corbel"/>
                <w:smallCaps w:val="0"/>
                <w:spacing w:val="-1"/>
                <w:sz w:val="18"/>
              </w:rPr>
              <w:t>9</w:t>
            </w:r>
            <w:r>
              <w:rPr>
                <w:rFonts w:ascii="Corbel"/>
                <w:smallCaps/>
                <w:spacing w:val="-1"/>
                <w:sz w:val="18"/>
              </w:rPr>
              <w:t>.28</w:t>
            </w:r>
          </w:p>
        </w:tc>
        <w:tc>
          <w:tcPr>
            <w:tcW w:w="1248" w:type="dxa"/>
          </w:tcPr>
          <w:p>
            <w:pPr>
              <w:pStyle w:val="TableParagraph"/>
              <w:spacing w:before="80"/>
              <w:ind w:left="315"/>
              <w:rPr>
                <w:rFonts w:ascii="Corbel"/>
                <w:sz w:val="18"/>
              </w:rPr>
            </w:pPr>
            <w:r>
              <w:rPr>
                <w:rFonts w:ascii="Corbel"/>
                <w:sz w:val="18"/>
              </w:rPr>
              <w:t>85.55</w:t>
            </w:r>
          </w:p>
        </w:tc>
        <w:tc>
          <w:tcPr>
            <w:tcW w:w="1446" w:type="dxa"/>
          </w:tcPr>
          <w:p>
            <w:pPr>
              <w:pStyle w:val="TableParagraph"/>
              <w:spacing w:before="80"/>
              <w:ind w:right="94"/>
              <w:jc w:val="right"/>
              <w:rPr>
                <w:rFonts w:ascii="Corbel"/>
                <w:sz w:val="18"/>
              </w:rPr>
            </w:pPr>
            <w:r>
              <w:rPr>
                <w:rFonts w:ascii="Corbel"/>
                <w:smallCaps/>
                <w:sz w:val="18"/>
              </w:rPr>
              <w:t>77,</w:t>
            </w:r>
            <w:r>
              <w:rPr>
                <w:rFonts w:ascii="Corbel"/>
                <w:smallCaps/>
                <w:spacing w:val="-1"/>
                <w:sz w:val="18"/>
              </w:rPr>
              <w:t>22</w:t>
            </w:r>
            <w:r>
              <w:rPr>
                <w:rFonts w:ascii="Corbel"/>
                <w:smallCaps w:val="0"/>
                <w:sz w:val="18"/>
              </w:rPr>
              <w:t>0</w:t>
            </w:r>
            <w:r>
              <w:rPr>
                <w:rFonts w:ascii="Corbel"/>
                <w:smallCaps/>
                <w:sz w:val="18"/>
              </w:rPr>
              <w:t>,</w:t>
            </w:r>
            <w:r>
              <w:rPr>
                <w:rFonts w:ascii="Corbel"/>
                <w:smallCaps/>
                <w:spacing w:val="1"/>
                <w:sz w:val="18"/>
              </w:rPr>
              <w:t>1</w:t>
            </w:r>
            <w:r>
              <w:rPr>
                <w:rFonts w:ascii="Corbel"/>
                <w:smallCaps w:val="0"/>
                <w:spacing w:val="-1"/>
                <w:sz w:val="18"/>
              </w:rPr>
              <w:t>9</w:t>
            </w:r>
            <w:r>
              <w:rPr>
                <w:rFonts w:ascii="Corbel"/>
                <w:smallCaps/>
                <w:sz w:val="18"/>
              </w:rPr>
              <w:t>7.72</w:t>
            </w:r>
          </w:p>
        </w:tc>
        <w:tc>
          <w:tcPr>
            <w:tcW w:w="1045" w:type="dxa"/>
          </w:tcPr>
          <w:p>
            <w:pPr>
              <w:pStyle w:val="TableParagraph"/>
              <w:spacing w:before="80"/>
              <w:ind w:right="316"/>
              <w:jc w:val="right"/>
              <w:rPr>
                <w:rFonts w:ascii="Corbel"/>
                <w:sz w:val="18"/>
              </w:rPr>
            </w:pPr>
            <w:r>
              <w:rPr>
                <w:rFonts w:ascii="Corbel"/>
                <w:sz w:val="18"/>
              </w:rPr>
              <w:t>84.80</w:t>
            </w:r>
          </w:p>
        </w:tc>
      </w:tr>
    </w:tbl>
    <w:p>
      <w:pPr>
        <w:spacing w:after="0"/>
        <w:jc w:val="right"/>
        <w:rPr>
          <w:rFonts w:ascii="Corbel"/>
          <w:sz w:val="18"/>
        </w:rPr>
        <w:sectPr>
          <w:headerReference w:type="default" r:id="rId41"/>
          <w:footerReference w:type="default" r:id="rId42"/>
          <w:pgSz w:w="12240" w:h="15840"/>
          <w:pgMar w:header="178" w:footer="0" w:top="1120" w:bottom="280" w:left="460" w:right="220"/>
        </w:sectPr>
      </w:pPr>
    </w:p>
    <w:p>
      <w:pPr>
        <w:pStyle w:val="BodyText"/>
        <w:rPr>
          <w:rFonts w:ascii="Corbel"/>
          <w:sz w:val="20"/>
        </w:rPr>
      </w:pPr>
    </w:p>
    <w:p>
      <w:pPr>
        <w:pStyle w:val="BodyText"/>
        <w:spacing w:before="3"/>
        <w:rPr>
          <w:rFonts w:ascii="Corbel"/>
          <w:sz w:val="21"/>
        </w:rPr>
      </w:pPr>
    </w:p>
    <w:tbl>
      <w:tblPr>
        <w:tblW w:w="0" w:type="auto"/>
        <w:jc w:val="left"/>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52"/>
        <w:gridCol w:w="1732"/>
        <w:gridCol w:w="1102"/>
        <w:gridCol w:w="1593"/>
        <w:gridCol w:w="1080"/>
        <w:gridCol w:w="1619"/>
        <w:gridCol w:w="965"/>
      </w:tblGrid>
      <w:tr>
        <w:trPr>
          <w:trHeight w:val="739" w:hRule="atLeast"/>
        </w:trPr>
        <w:tc>
          <w:tcPr>
            <w:tcW w:w="2652" w:type="dxa"/>
            <w:tcBorders>
              <w:right w:val="single" w:sz="4" w:space="0" w:color="4F81BC"/>
            </w:tcBorders>
            <w:shd w:val="clear" w:color="auto" w:fill="B8CCE3"/>
          </w:tcPr>
          <w:p>
            <w:pPr>
              <w:pStyle w:val="TableParagraph"/>
              <w:spacing w:before="78"/>
              <w:ind w:right="72"/>
              <w:jc w:val="right"/>
              <w:rPr>
                <w:rFonts w:ascii="Corbel"/>
                <w:sz w:val="18"/>
              </w:rPr>
            </w:pPr>
            <w:r>
              <w:rPr>
                <w:rFonts w:ascii="Corbel"/>
                <w:sz w:val="18"/>
              </w:rPr>
              <w:t>Total Participaciones y</w:t>
            </w:r>
            <w:r>
              <w:rPr>
                <w:rFonts w:ascii="Corbel"/>
                <w:spacing w:val="-10"/>
                <w:sz w:val="18"/>
              </w:rPr>
              <w:t> </w:t>
            </w:r>
            <w:r>
              <w:rPr>
                <w:rFonts w:ascii="Corbel"/>
                <w:sz w:val="18"/>
              </w:rPr>
              <w:t>Aporta-</w:t>
            </w:r>
          </w:p>
          <w:p>
            <w:pPr>
              <w:pStyle w:val="TableParagraph"/>
              <w:spacing w:before="1"/>
              <w:ind w:right="73"/>
              <w:jc w:val="right"/>
              <w:rPr>
                <w:rFonts w:ascii="Corbel"/>
                <w:sz w:val="18"/>
              </w:rPr>
            </w:pPr>
            <w:r>
              <w:rPr>
                <w:rFonts w:ascii="Corbel"/>
                <w:spacing w:val="-1"/>
                <w:sz w:val="18"/>
              </w:rPr>
              <w:t>ciones</w:t>
            </w:r>
          </w:p>
        </w:tc>
        <w:tc>
          <w:tcPr>
            <w:tcW w:w="1732" w:type="dxa"/>
            <w:tcBorders>
              <w:left w:val="single" w:sz="4" w:space="0" w:color="4F81BC"/>
            </w:tcBorders>
            <w:shd w:val="clear" w:color="auto" w:fill="DBE4F0"/>
          </w:tcPr>
          <w:p>
            <w:pPr>
              <w:pStyle w:val="TableParagraph"/>
              <w:spacing w:before="78"/>
              <w:ind w:right="180"/>
              <w:jc w:val="right"/>
              <w:rPr>
                <w:rFonts w:ascii="Corbel"/>
                <w:sz w:val="18"/>
              </w:rPr>
            </w:pPr>
            <w:r>
              <w:rPr>
                <w:rFonts w:ascii="Corbel"/>
                <w:smallCaps/>
                <w:sz w:val="18"/>
              </w:rPr>
              <w:t>57,6</w:t>
            </w:r>
            <w:r>
              <w:rPr>
                <w:rFonts w:ascii="Corbel"/>
                <w:smallCaps/>
                <w:spacing w:val="-2"/>
                <w:sz w:val="18"/>
              </w:rPr>
              <w:t>2</w:t>
            </w:r>
            <w:r>
              <w:rPr>
                <w:rFonts w:ascii="Corbel"/>
                <w:smallCaps w:val="0"/>
                <w:sz w:val="18"/>
              </w:rPr>
              <w:t>4,00</w:t>
            </w:r>
            <w:r>
              <w:rPr>
                <w:rFonts w:ascii="Corbel"/>
                <w:smallCaps/>
                <w:sz w:val="18"/>
              </w:rPr>
              <w:t>1</w:t>
            </w:r>
            <w:r>
              <w:rPr>
                <w:rFonts w:ascii="Corbel"/>
                <w:smallCaps w:val="0"/>
                <w:spacing w:val="-2"/>
                <w:sz w:val="18"/>
              </w:rPr>
              <w:t>.</w:t>
            </w:r>
            <w:r>
              <w:rPr>
                <w:rFonts w:ascii="Corbel"/>
                <w:smallCaps w:val="0"/>
                <w:sz w:val="18"/>
              </w:rPr>
              <w:t>08</w:t>
            </w:r>
          </w:p>
        </w:tc>
        <w:tc>
          <w:tcPr>
            <w:tcW w:w="1102" w:type="dxa"/>
            <w:shd w:val="clear" w:color="auto" w:fill="DBE4F0"/>
          </w:tcPr>
          <w:p>
            <w:pPr>
              <w:pStyle w:val="TableParagraph"/>
              <w:rPr>
                <w:rFonts w:ascii="Times New Roman"/>
                <w:sz w:val="20"/>
              </w:rPr>
            </w:pPr>
          </w:p>
        </w:tc>
        <w:tc>
          <w:tcPr>
            <w:tcW w:w="1593" w:type="dxa"/>
            <w:shd w:val="clear" w:color="auto" w:fill="DBE4F0"/>
          </w:tcPr>
          <w:p>
            <w:pPr>
              <w:pStyle w:val="TableParagraph"/>
              <w:spacing w:before="78"/>
              <w:ind w:right="181"/>
              <w:jc w:val="right"/>
              <w:rPr>
                <w:rFonts w:ascii="Corbel"/>
                <w:sz w:val="18"/>
              </w:rPr>
            </w:pPr>
            <w:r>
              <w:rPr>
                <w:rFonts w:ascii="Corbel"/>
                <w:spacing w:val="-1"/>
                <w:sz w:val="18"/>
              </w:rPr>
              <w:t>6</w:t>
            </w:r>
            <w:r>
              <w:rPr>
                <w:rFonts w:ascii="Corbel"/>
                <w:sz w:val="18"/>
              </w:rPr>
              <w:t>8</w:t>
            </w:r>
            <w:r>
              <w:rPr>
                <w:rFonts w:ascii="Corbel"/>
                <w:smallCaps/>
                <w:sz w:val="18"/>
              </w:rPr>
              <w:t>,23</w:t>
            </w:r>
            <w:r>
              <w:rPr>
                <w:rFonts w:ascii="Corbel"/>
                <w:smallCaps/>
                <w:spacing w:val="-2"/>
                <w:sz w:val="18"/>
              </w:rPr>
              <w:t>2</w:t>
            </w:r>
            <w:r>
              <w:rPr>
                <w:rFonts w:ascii="Corbel"/>
                <w:smallCaps w:val="0"/>
                <w:sz w:val="18"/>
              </w:rPr>
              <w:t>,54</w:t>
            </w:r>
            <w:r>
              <w:rPr>
                <w:rFonts w:ascii="Corbel"/>
                <w:smallCaps w:val="0"/>
                <w:spacing w:val="-1"/>
                <w:sz w:val="18"/>
              </w:rPr>
              <w:t>9</w:t>
            </w:r>
            <w:r>
              <w:rPr>
                <w:rFonts w:ascii="Corbel"/>
                <w:smallCaps/>
                <w:spacing w:val="-1"/>
                <w:sz w:val="18"/>
              </w:rPr>
              <w:t>.28</w:t>
            </w:r>
          </w:p>
        </w:tc>
        <w:tc>
          <w:tcPr>
            <w:tcW w:w="1080" w:type="dxa"/>
            <w:shd w:val="clear" w:color="auto" w:fill="DBE4F0"/>
          </w:tcPr>
          <w:p>
            <w:pPr>
              <w:pStyle w:val="TableParagraph"/>
              <w:rPr>
                <w:rFonts w:ascii="Times New Roman"/>
                <w:sz w:val="20"/>
              </w:rPr>
            </w:pPr>
          </w:p>
        </w:tc>
        <w:tc>
          <w:tcPr>
            <w:tcW w:w="1619" w:type="dxa"/>
            <w:shd w:val="clear" w:color="auto" w:fill="DBE4F0"/>
          </w:tcPr>
          <w:p>
            <w:pPr>
              <w:pStyle w:val="TableParagraph"/>
              <w:spacing w:before="78"/>
              <w:ind w:right="182"/>
              <w:jc w:val="right"/>
              <w:rPr>
                <w:rFonts w:ascii="Corbel"/>
                <w:sz w:val="18"/>
              </w:rPr>
            </w:pPr>
            <w:r>
              <w:rPr>
                <w:rFonts w:ascii="Corbel"/>
                <w:smallCaps/>
                <w:sz w:val="18"/>
              </w:rPr>
              <w:t>77,</w:t>
            </w:r>
            <w:r>
              <w:rPr>
                <w:rFonts w:ascii="Corbel"/>
                <w:smallCaps/>
                <w:spacing w:val="-1"/>
                <w:sz w:val="18"/>
              </w:rPr>
              <w:t>22</w:t>
            </w:r>
            <w:r>
              <w:rPr>
                <w:rFonts w:ascii="Corbel"/>
                <w:smallCaps w:val="0"/>
                <w:sz w:val="18"/>
              </w:rPr>
              <w:t>0</w:t>
            </w:r>
            <w:r>
              <w:rPr>
                <w:rFonts w:ascii="Corbel"/>
                <w:smallCaps/>
                <w:sz w:val="18"/>
              </w:rPr>
              <w:t>,</w:t>
            </w:r>
            <w:r>
              <w:rPr>
                <w:rFonts w:ascii="Corbel"/>
                <w:smallCaps/>
                <w:spacing w:val="1"/>
                <w:sz w:val="18"/>
              </w:rPr>
              <w:t>1</w:t>
            </w:r>
            <w:r>
              <w:rPr>
                <w:rFonts w:ascii="Corbel"/>
                <w:smallCaps w:val="0"/>
                <w:spacing w:val="-1"/>
                <w:sz w:val="18"/>
              </w:rPr>
              <w:t>9</w:t>
            </w:r>
            <w:r>
              <w:rPr>
                <w:rFonts w:ascii="Corbel"/>
                <w:smallCaps/>
                <w:sz w:val="18"/>
              </w:rPr>
              <w:t>7.72</w:t>
            </w:r>
          </w:p>
        </w:tc>
        <w:tc>
          <w:tcPr>
            <w:tcW w:w="965" w:type="dxa"/>
            <w:shd w:val="clear" w:color="auto" w:fill="DBE4F0"/>
          </w:tcPr>
          <w:p>
            <w:pPr>
              <w:pStyle w:val="TableParagraph"/>
              <w:rPr>
                <w:rFonts w:ascii="Times New Roman"/>
                <w:sz w:val="20"/>
              </w:rPr>
            </w:pPr>
          </w:p>
        </w:tc>
      </w:tr>
      <w:tr>
        <w:trPr>
          <w:trHeight w:val="580" w:hRule="atLeast"/>
        </w:trPr>
        <w:tc>
          <w:tcPr>
            <w:tcW w:w="2652" w:type="dxa"/>
            <w:tcBorders>
              <w:right w:val="single" w:sz="4" w:space="0" w:color="4F81BC"/>
            </w:tcBorders>
          </w:tcPr>
          <w:p>
            <w:pPr>
              <w:pStyle w:val="TableParagraph"/>
              <w:rPr>
                <w:rFonts w:ascii="Times New Roman"/>
                <w:sz w:val="20"/>
              </w:rPr>
            </w:pPr>
          </w:p>
        </w:tc>
        <w:tc>
          <w:tcPr>
            <w:tcW w:w="8091" w:type="dxa"/>
            <w:gridSpan w:val="6"/>
            <w:tcBorders>
              <w:left w:val="single" w:sz="4" w:space="0" w:color="4F81BC"/>
            </w:tcBorders>
          </w:tcPr>
          <w:p>
            <w:pPr>
              <w:pStyle w:val="TableParagraph"/>
              <w:rPr>
                <w:rFonts w:ascii="Times New Roman"/>
                <w:sz w:val="20"/>
              </w:rPr>
            </w:pPr>
          </w:p>
        </w:tc>
      </w:tr>
      <w:tr>
        <w:trPr>
          <w:trHeight w:val="739" w:hRule="atLeast"/>
        </w:trPr>
        <w:tc>
          <w:tcPr>
            <w:tcW w:w="2652" w:type="dxa"/>
            <w:tcBorders>
              <w:right w:val="single" w:sz="4" w:space="0" w:color="4F81BC"/>
            </w:tcBorders>
            <w:shd w:val="clear" w:color="auto" w:fill="B8CCE3"/>
          </w:tcPr>
          <w:p>
            <w:pPr>
              <w:pStyle w:val="TableParagraph"/>
              <w:spacing w:before="78"/>
              <w:ind w:right="76"/>
              <w:jc w:val="right"/>
              <w:rPr>
                <w:rFonts w:ascii="Corbel"/>
                <w:sz w:val="18"/>
              </w:rPr>
            </w:pPr>
            <w:r>
              <w:rPr>
                <w:rFonts w:ascii="Corbel"/>
                <w:sz w:val="18"/>
              </w:rPr>
              <w:t>OTROS INGRESOS Y</w:t>
            </w:r>
            <w:r>
              <w:rPr>
                <w:rFonts w:ascii="Corbel"/>
                <w:spacing w:val="-10"/>
                <w:sz w:val="18"/>
              </w:rPr>
              <w:t> </w:t>
            </w:r>
            <w:r>
              <w:rPr>
                <w:rFonts w:ascii="Corbel"/>
                <w:sz w:val="18"/>
              </w:rPr>
              <w:t>BENEFI-</w:t>
            </w:r>
          </w:p>
          <w:p>
            <w:pPr>
              <w:pStyle w:val="TableParagraph"/>
              <w:spacing w:before="1"/>
              <w:ind w:right="77"/>
              <w:jc w:val="right"/>
              <w:rPr>
                <w:rFonts w:ascii="Corbel"/>
                <w:sz w:val="18"/>
              </w:rPr>
            </w:pPr>
            <w:r>
              <w:rPr>
                <w:rFonts w:ascii="Corbel"/>
                <w:spacing w:val="-1"/>
                <w:sz w:val="18"/>
              </w:rPr>
              <w:t>CIOS</w:t>
            </w:r>
          </w:p>
        </w:tc>
        <w:tc>
          <w:tcPr>
            <w:tcW w:w="8091" w:type="dxa"/>
            <w:gridSpan w:val="6"/>
            <w:tcBorders>
              <w:left w:val="single" w:sz="4" w:space="0" w:color="4F81BC"/>
            </w:tcBorders>
            <w:shd w:val="clear" w:color="auto" w:fill="DBE4F0"/>
          </w:tcPr>
          <w:p>
            <w:pPr>
              <w:pStyle w:val="TableParagraph"/>
              <w:rPr>
                <w:rFonts w:ascii="Times New Roman"/>
                <w:sz w:val="20"/>
              </w:rPr>
            </w:pPr>
          </w:p>
        </w:tc>
      </w:tr>
      <w:tr>
        <w:trPr>
          <w:trHeight w:val="460" w:hRule="atLeast"/>
        </w:trPr>
        <w:tc>
          <w:tcPr>
            <w:tcW w:w="2652" w:type="dxa"/>
            <w:tcBorders>
              <w:right w:val="single" w:sz="4" w:space="0" w:color="4F81BC"/>
            </w:tcBorders>
          </w:tcPr>
          <w:p>
            <w:pPr>
              <w:pStyle w:val="TableParagraph"/>
              <w:spacing w:before="80"/>
              <w:ind w:right="76"/>
              <w:jc w:val="right"/>
              <w:rPr>
                <w:rFonts w:ascii="Corbel"/>
                <w:sz w:val="18"/>
              </w:rPr>
            </w:pPr>
            <w:r>
              <w:rPr>
                <w:rFonts w:ascii="Corbel"/>
                <w:sz w:val="18"/>
              </w:rPr>
              <w:t>Ingresos Financieros</w:t>
            </w:r>
          </w:p>
        </w:tc>
        <w:tc>
          <w:tcPr>
            <w:tcW w:w="1732" w:type="dxa"/>
            <w:tcBorders>
              <w:left w:val="single" w:sz="4" w:space="0" w:color="4F81BC"/>
            </w:tcBorders>
          </w:tcPr>
          <w:p>
            <w:pPr>
              <w:pStyle w:val="TableParagraph"/>
              <w:spacing w:before="80"/>
              <w:ind w:right="178"/>
              <w:jc w:val="right"/>
              <w:rPr>
                <w:rFonts w:ascii="Corbel"/>
                <w:sz w:val="18"/>
              </w:rPr>
            </w:pPr>
            <w:r>
              <w:rPr>
                <w:rFonts w:ascii="Corbel"/>
                <w:sz w:val="18"/>
              </w:rPr>
              <w:t>60,568.35</w:t>
            </w:r>
          </w:p>
        </w:tc>
        <w:tc>
          <w:tcPr>
            <w:tcW w:w="1102" w:type="dxa"/>
          </w:tcPr>
          <w:p>
            <w:pPr>
              <w:pStyle w:val="TableParagraph"/>
              <w:spacing w:before="80"/>
              <w:ind w:left="268"/>
              <w:rPr>
                <w:rFonts w:ascii="Corbel"/>
                <w:sz w:val="18"/>
              </w:rPr>
            </w:pPr>
            <w:r>
              <w:rPr>
                <w:rFonts w:ascii="Corbel"/>
                <w:sz w:val="18"/>
              </w:rPr>
              <w:t>0.09</w:t>
            </w:r>
          </w:p>
        </w:tc>
        <w:tc>
          <w:tcPr>
            <w:tcW w:w="1593" w:type="dxa"/>
          </w:tcPr>
          <w:p>
            <w:pPr>
              <w:pStyle w:val="TableParagraph"/>
              <w:spacing w:before="80"/>
              <w:ind w:right="179"/>
              <w:jc w:val="right"/>
              <w:rPr>
                <w:rFonts w:ascii="Corbel"/>
                <w:sz w:val="18"/>
              </w:rPr>
            </w:pPr>
            <w:r>
              <w:rPr>
                <w:rFonts w:ascii="Corbel"/>
                <w:smallCaps/>
                <w:sz w:val="18"/>
              </w:rPr>
              <w:t>115,61</w:t>
            </w:r>
            <w:r>
              <w:rPr>
                <w:rFonts w:ascii="Corbel"/>
                <w:smallCaps w:val="0"/>
                <w:sz w:val="18"/>
              </w:rPr>
              <w:t>4</w:t>
            </w:r>
            <w:r>
              <w:rPr>
                <w:rFonts w:ascii="Corbel"/>
                <w:smallCaps w:val="0"/>
                <w:spacing w:val="-2"/>
                <w:sz w:val="18"/>
              </w:rPr>
              <w:t>.</w:t>
            </w:r>
            <w:r>
              <w:rPr>
                <w:rFonts w:ascii="Corbel"/>
                <w:smallCaps/>
                <w:sz w:val="18"/>
              </w:rPr>
              <w:t>1</w:t>
            </w:r>
            <w:r>
              <w:rPr>
                <w:rFonts w:ascii="Corbel"/>
                <w:smallCaps w:val="0"/>
                <w:sz w:val="18"/>
              </w:rPr>
              <w:t>8</w:t>
            </w:r>
          </w:p>
        </w:tc>
        <w:tc>
          <w:tcPr>
            <w:tcW w:w="1080" w:type="dxa"/>
          </w:tcPr>
          <w:p>
            <w:pPr>
              <w:pStyle w:val="TableParagraph"/>
              <w:spacing w:before="80"/>
              <w:ind w:left="164" w:right="378"/>
              <w:jc w:val="center"/>
              <w:rPr>
                <w:rFonts w:ascii="Corbel"/>
                <w:sz w:val="18"/>
              </w:rPr>
            </w:pPr>
            <w:r>
              <w:rPr>
                <w:rFonts w:ascii="Corbel"/>
                <w:sz w:val="18"/>
              </w:rPr>
              <w:t>0</w:t>
            </w:r>
            <w:r>
              <w:rPr>
                <w:rFonts w:ascii="Corbel"/>
                <w:smallCaps/>
                <w:spacing w:val="-1"/>
                <w:sz w:val="18"/>
              </w:rPr>
              <w:t>.</w:t>
            </w:r>
            <w:r>
              <w:rPr>
                <w:rFonts w:ascii="Corbel"/>
                <w:smallCaps/>
                <w:spacing w:val="1"/>
                <w:sz w:val="18"/>
              </w:rPr>
              <w:t>1</w:t>
            </w:r>
            <w:r>
              <w:rPr>
                <w:rFonts w:ascii="Corbel"/>
                <w:smallCaps w:val="0"/>
                <w:sz w:val="18"/>
              </w:rPr>
              <w:t>4</w:t>
            </w:r>
          </w:p>
        </w:tc>
        <w:tc>
          <w:tcPr>
            <w:tcW w:w="1619" w:type="dxa"/>
          </w:tcPr>
          <w:p>
            <w:pPr>
              <w:pStyle w:val="TableParagraph"/>
              <w:spacing w:before="80"/>
              <w:ind w:right="181"/>
              <w:jc w:val="right"/>
              <w:rPr>
                <w:rFonts w:ascii="Corbel"/>
                <w:sz w:val="18"/>
              </w:rPr>
            </w:pPr>
            <w:r>
              <w:rPr>
                <w:rFonts w:ascii="Corbel"/>
                <w:spacing w:val="-1"/>
                <w:sz w:val="18"/>
              </w:rPr>
              <w:t>6</w:t>
            </w:r>
            <w:r>
              <w:rPr>
                <w:rFonts w:ascii="Corbel"/>
                <w:sz w:val="18"/>
              </w:rPr>
              <w:t>0</w:t>
            </w:r>
            <w:r>
              <w:rPr>
                <w:rFonts w:ascii="Corbel"/>
                <w:smallCaps/>
                <w:sz w:val="18"/>
              </w:rPr>
              <w:t>,525.34</w:t>
            </w:r>
          </w:p>
        </w:tc>
        <w:tc>
          <w:tcPr>
            <w:tcW w:w="965" w:type="dxa"/>
          </w:tcPr>
          <w:p>
            <w:pPr>
              <w:pStyle w:val="TableParagraph"/>
              <w:spacing w:before="80"/>
              <w:ind w:left="161" w:right="266"/>
              <w:jc w:val="center"/>
              <w:rPr>
                <w:rFonts w:ascii="Corbel"/>
                <w:sz w:val="18"/>
              </w:rPr>
            </w:pPr>
            <w:r>
              <w:rPr>
                <w:rFonts w:ascii="Corbel"/>
                <w:sz w:val="18"/>
              </w:rPr>
              <w:t>0.07</w:t>
            </w:r>
          </w:p>
        </w:tc>
      </w:tr>
      <w:tr>
        <w:trPr>
          <w:trHeight w:val="739" w:hRule="atLeast"/>
        </w:trPr>
        <w:tc>
          <w:tcPr>
            <w:tcW w:w="2652" w:type="dxa"/>
            <w:tcBorders>
              <w:right w:val="single" w:sz="4" w:space="0" w:color="4F81BC"/>
            </w:tcBorders>
          </w:tcPr>
          <w:p>
            <w:pPr>
              <w:pStyle w:val="TableParagraph"/>
              <w:spacing w:before="78"/>
              <w:ind w:right="73"/>
              <w:jc w:val="right"/>
              <w:rPr>
                <w:rFonts w:ascii="Corbel"/>
                <w:sz w:val="18"/>
              </w:rPr>
            </w:pPr>
            <w:r>
              <w:rPr>
                <w:rFonts w:ascii="Corbel"/>
                <w:sz w:val="18"/>
              </w:rPr>
              <w:t>Otros ingresos y beneficios varios</w:t>
            </w:r>
          </w:p>
        </w:tc>
        <w:tc>
          <w:tcPr>
            <w:tcW w:w="1732" w:type="dxa"/>
            <w:tcBorders>
              <w:left w:val="single" w:sz="4" w:space="0" w:color="4F81BC"/>
            </w:tcBorders>
            <w:shd w:val="clear" w:color="auto" w:fill="DBE4F0"/>
          </w:tcPr>
          <w:p>
            <w:pPr>
              <w:pStyle w:val="TableParagraph"/>
              <w:spacing w:before="78"/>
              <w:ind w:right="179"/>
              <w:jc w:val="right"/>
              <w:rPr>
                <w:rFonts w:ascii="Corbel"/>
                <w:sz w:val="18"/>
              </w:rPr>
            </w:pPr>
            <w:r>
              <w:rPr>
                <w:rFonts w:ascii="Corbel"/>
                <w:color w:val="365F91"/>
                <w:sz w:val="18"/>
              </w:rPr>
              <w:t>4,567.44</w:t>
            </w:r>
          </w:p>
        </w:tc>
        <w:tc>
          <w:tcPr>
            <w:tcW w:w="1102" w:type="dxa"/>
            <w:shd w:val="clear" w:color="auto" w:fill="DBE4F0"/>
          </w:tcPr>
          <w:p>
            <w:pPr>
              <w:pStyle w:val="TableParagraph"/>
              <w:spacing w:before="78"/>
              <w:ind w:left="275"/>
              <w:rPr>
                <w:rFonts w:ascii="Corbel"/>
                <w:sz w:val="18"/>
              </w:rPr>
            </w:pPr>
            <w:r>
              <w:rPr>
                <w:rFonts w:ascii="Corbel"/>
                <w:color w:val="365F91"/>
                <w:sz w:val="18"/>
              </w:rPr>
              <w:t>0</w:t>
            </w:r>
            <w:r>
              <w:rPr>
                <w:rFonts w:ascii="Corbel"/>
                <w:color w:val="365F91"/>
                <w:spacing w:val="-1"/>
                <w:sz w:val="18"/>
              </w:rPr>
              <w:t>.0</w:t>
            </w:r>
            <w:r>
              <w:rPr>
                <w:rFonts w:ascii="Corbel"/>
                <w:smallCaps/>
                <w:color w:val="365F91"/>
                <w:sz w:val="18"/>
              </w:rPr>
              <w:t>1</w:t>
            </w:r>
          </w:p>
        </w:tc>
        <w:tc>
          <w:tcPr>
            <w:tcW w:w="1593" w:type="dxa"/>
            <w:shd w:val="clear" w:color="auto" w:fill="DBE4F0"/>
          </w:tcPr>
          <w:p>
            <w:pPr>
              <w:pStyle w:val="TableParagraph"/>
              <w:rPr>
                <w:rFonts w:ascii="Times New Roman"/>
                <w:sz w:val="20"/>
              </w:rPr>
            </w:pPr>
          </w:p>
        </w:tc>
        <w:tc>
          <w:tcPr>
            <w:tcW w:w="1080" w:type="dxa"/>
            <w:shd w:val="clear" w:color="auto" w:fill="DBE4F0"/>
          </w:tcPr>
          <w:p>
            <w:pPr>
              <w:pStyle w:val="TableParagraph"/>
              <w:rPr>
                <w:rFonts w:ascii="Times New Roman"/>
                <w:sz w:val="20"/>
              </w:rPr>
            </w:pPr>
          </w:p>
        </w:tc>
        <w:tc>
          <w:tcPr>
            <w:tcW w:w="1619" w:type="dxa"/>
            <w:shd w:val="clear" w:color="auto" w:fill="DBE4F0"/>
          </w:tcPr>
          <w:p>
            <w:pPr>
              <w:pStyle w:val="TableParagraph"/>
              <w:spacing w:before="78"/>
              <w:ind w:right="183"/>
              <w:jc w:val="right"/>
              <w:rPr>
                <w:rFonts w:ascii="Corbel"/>
                <w:sz w:val="18"/>
              </w:rPr>
            </w:pPr>
            <w:r>
              <w:rPr>
                <w:rFonts w:ascii="Corbel"/>
                <w:smallCaps/>
                <w:color w:val="365F91"/>
                <w:sz w:val="18"/>
              </w:rPr>
              <w:t>1</w:t>
            </w:r>
            <w:r>
              <w:rPr>
                <w:rFonts w:ascii="Corbel"/>
                <w:smallCaps/>
                <w:color w:val="365F91"/>
                <w:spacing w:val="-1"/>
                <w:sz w:val="18"/>
              </w:rPr>
              <w:t>2</w:t>
            </w:r>
            <w:r>
              <w:rPr>
                <w:rFonts w:ascii="Corbel"/>
                <w:smallCaps w:val="0"/>
                <w:color w:val="365F91"/>
                <w:spacing w:val="-1"/>
                <w:sz w:val="18"/>
              </w:rPr>
              <w:t>6</w:t>
            </w:r>
            <w:r>
              <w:rPr>
                <w:rFonts w:ascii="Corbel"/>
                <w:smallCaps w:val="0"/>
                <w:color w:val="365F91"/>
                <w:sz w:val="18"/>
              </w:rPr>
              <w:t>,</w:t>
            </w:r>
            <w:r>
              <w:rPr>
                <w:rFonts w:ascii="Corbel"/>
                <w:smallCaps w:val="0"/>
                <w:color w:val="365F91"/>
                <w:spacing w:val="1"/>
                <w:sz w:val="18"/>
              </w:rPr>
              <w:t>0</w:t>
            </w:r>
            <w:r>
              <w:rPr>
                <w:rFonts w:ascii="Corbel"/>
                <w:smallCaps w:val="0"/>
                <w:color w:val="365F91"/>
                <w:sz w:val="18"/>
              </w:rPr>
              <w:t>4</w:t>
            </w:r>
            <w:r>
              <w:rPr>
                <w:rFonts w:ascii="Corbel"/>
                <w:smallCaps w:val="0"/>
                <w:color w:val="365F91"/>
                <w:spacing w:val="1"/>
                <w:sz w:val="18"/>
              </w:rPr>
              <w:t>0</w:t>
            </w:r>
            <w:r>
              <w:rPr>
                <w:rFonts w:ascii="Corbel"/>
                <w:smallCaps w:val="0"/>
                <w:color w:val="365F91"/>
                <w:spacing w:val="-2"/>
                <w:sz w:val="18"/>
              </w:rPr>
              <w:t>.</w:t>
            </w:r>
            <w:r>
              <w:rPr>
                <w:rFonts w:ascii="Corbel"/>
                <w:smallCaps w:val="0"/>
                <w:color w:val="365F91"/>
                <w:sz w:val="18"/>
              </w:rPr>
              <w:t>80</w:t>
            </w:r>
          </w:p>
        </w:tc>
        <w:tc>
          <w:tcPr>
            <w:tcW w:w="965" w:type="dxa"/>
            <w:shd w:val="clear" w:color="auto" w:fill="DBE4F0"/>
          </w:tcPr>
          <w:p>
            <w:pPr>
              <w:pStyle w:val="TableParagraph"/>
              <w:spacing w:before="78"/>
              <w:ind w:left="160" w:right="266"/>
              <w:jc w:val="center"/>
              <w:rPr>
                <w:rFonts w:ascii="Corbel"/>
                <w:sz w:val="18"/>
              </w:rPr>
            </w:pPr>
            <w:r>
              <w:rPr>
                <w:rFonts w:ascii="Corbel"/>
                <w:color w:val="365F91"/>
                <w:sz w:val="18"/>
              </w:rPr>
              <w:t>0</w:t>
            </w:r>
            <w:r>
              <w:rPr>
                <w:rFonts w:ascii="Corbel"/>
                <w:smallCaps/>
                <w:color w:val="365F91"/>
                <w:spacing w:val="-1"/>
                <w:sz w:val="18"/>
              </w:rPr>
              <w:t>.</w:t>
            </w:r>
            <w:r>
              <w:rPr>
                <w:rFonts w:ascii="Corbel"/>
                <w:smallCaps/>
                <w:color w:val="365F91"/>
                <w:spacing w:val="1"/>
                <w:sz w:val="18"/>
              </w:rPr>
              <w:t>1</w:t>
            </w:r>
            <w:r>
              <w:rPr>
                <w:rFonts w:ascii="Corbel"/>
                <w:smallCaps w:val="0"/>
                <w:color w:val="365F91"/>
                <w:sz w:val="18"/>
              </w:rPr>
              <w:t>4</w:t>
            </w:r>
          </w:p>
        </w:tc>
      </w:tr>
      <w:tr>
        <w:trPr>
          <w:trHeight w:val="461" w:hRule="atLeast"/>
        </w:trPr>
        <w:tc>
          <w:tcPr>
            <w:tcW w:w="2652" w:type="dxa"/>
            <w:tcBorders>
              <w:right w:val="single" w:sz="4" w:space="0" w:color="4F81BC"/>
            </w:tcBorders>
          </w:tcPr>
          <w:p>
            <w:pPr>
              <w:pStyle w:val="TableParagraph"/>
              <w:rPr>
                <w:rFonts w:ascii="Times New Roman"/>
                <w:sz w:val="20"/>
              </w:rPr>
            </w:pPr>
          </w:p>
        </w:tc>
        <w:tc>
          <w:tcPr>
            <w:tcW w:w="8091" w:type="dxa"/>
            <w:gridSpan w:val="6"/>
            <w:tcBorders>
              <w:left w:val="single" w:sz="4" w:space="0" w:color="4F81BC"/>
            </w:tcBorders>
          </w:tcPr>
          <w:p>
            <w:pPr>
              <w:pStyle w:val="TableParagraph"/>
              <w:rPr>
                <w:rFonts w:ascii="Times New Roman"/>
                <w:sz w:val="20"/>
              </w:rPr>
            </w:pPr>
          </w:p>
        </w:tc>
      </w:tr>
      <w:tr>
        <w:trPr>
          <w:trHeight w:val="739" w:hRule="atLeast"/>
        </w:trPr>
        <w:tc>
          <w:tcPr>
            <w:tcW w:w="2652" w:type="dxa"/>
            <w:tcBorders>
              <w:right w:val="single" w:sz="4" w:space="0" w:color="4F81BC"/>
            </w:tcBorders>
            <w:shd w:val="clear" w:color="auto" w:fill="B8CCE3"/>
          </w:tcPr>
          <w:p>
            <w:pPr>
              <w:pStyle w:val="TableParagraph"/>
              <w:spacing w:before="78"/>
              <w:ind w:right="76"/>
              <w:jc w:val="right"/>
              <w:rPr>
                <w:rFonts w:ascii="Corbel"/>
                <w:sz w:val="18"/>
              </w:rPr>
            </w:pPr>
            <w:r>
              <w:rPr>
                <w:rFonts w:ascii="Corbel"/>
                <w:sz w:val="18"/>
              </w:rPr>
              <w:t>Total Otros Ingresos y Beneficios</w:t>
            </w:r>
          </w:p>
        </w:tc>
        <w:tc>
          <w:tcPr>
            <w:tcW w:w="1732" w:type="dxa"/>
            <w:tcBorders>
              <w:left w:val="single" w:sz="4" w:space="0" w:color="4F81BC"/>
            </w:tcBorders>
            <w:shd w:val="clear" w:color="auto" w:fill="DBE4F0"/>
          </w:tcPr>
          <w:p>
            <w:pPr>
              <w:pStyle w:val="TableParagraph"/>
              <w:spacing w:before="78"/>
              <w:ind w:right="180"/>
              <w:jc w:val="right"/>
              <w:rPr>
                <w:rFonts w:ascii="Corbel"/>
                <w:sz w:val="18"/>
              </w:rPr>
            </w:pPr>
            <w:r>
              <w:rPr>
                <w:rFonts w:ascii="Corbel"/>
                <w:color w:val="365F91"/>
                <w:spacing w:val="-1"/>
                <w:sz w:val="18"/>
              </w:rPr>
              <w:t>6</w:t>
            </w:r>
            <w:r>
              <w:rPr>
                <w:rFonts w:ascii="Corbel"/>
                <w:smallCaps/>
                <w:color w:val="365F91"/>
                <w:sz w:val="18"/>
              </w:rPr>
              <w:t>5,</w:t>
            </w:r>
            <w:r>
              <w:rPr>
                <w:rFonts w:ascii="Corbel"/>
                <w:smallCaps/>
                <w:color w:val="365F91"/>
                <w:spacing w:val="1"/>
                <w:sz w:val="18"/>
              </w:rPr>
              <w:t>1</w:t>
            </w:r>
            <w:r>
              <w:rPr>
                <w:rFonts w:ascii="Corbel"/>
                <w:smallCaps w:val="0"/>
                <w:color w:val="365F91"/>
                <w:spacing w:val="-1"/>
                <w:sz w:val="18"/>
              </w:rPr>
              <w:t>35.79</w:t>
            </w:r>
          </w:p>
        </w:tc>
        <w:tc>
          <w:tcPr>
            <w:tcW w:w="1102" w:type="dxa"/>
            <w:shd w:val="clear" w:color="auto" w:fill="DBE4F0"/>
          </w:tcPr>
          <w:p>
            <w:pPr>
              <w:pStyle w:val="TableParagraph"/>
              <w:rPr>
                <w:rFonts w:ascii="Times New Roman"/>
                <w:sz w:val="20"/>
              </w:rPr>
            </w:pPr>
          </w:p>
        </w:tc>
        <w:tc>
          <w:tcPr>
            <w:tcW w:w="1593" w:type="dxa"/>
            <w:shd w:val="clear" w:color="auto" w:fill="DBE4F0"/>
          </w:tcPr>
          <w:p>
            <w:pPr>
              <w:pStyle w:val="TableParagraph"/>
              <w:spacing w:before="78"/>
              <w:ind w:right="179"/>
              <w:jc w:val="right"/>
              <w:rPr>
                <w:rFonts w:ascii="Corbel"/>
                <w:sz w:val="18"/>
              </w:rPr>
            </w:pPr>
            <w:r>
              <w:rPr>
                <w:rFonts w:ascii="Corbel"/>
                <w:smallCaps/>
                <w:sz w:val="18"/>
              </w:rPr>
              <w:t>115,61</w:t>
            </w:r>
            <w:r>
              <w:rPr>
                <w:rFonts w:ascii="Corbel"/>
                <w:smallCaps w:val="0"/>
                <w:sz w:val="18"/>
              </w:rPr>
              <w:t>4</w:t>
            </w:r>
            <w:r>
              <w:rPr>
                <w:rFonts w:ascii="Corbel"/>
                <w:smallCaps w:val="0"/>
                <w:spacing w:val="-2"/>
                <w:sz w:val="18"/>
              </w:rPr>
              <w:t>.</w:t>
            </w:r>
            <w:r>
              <w:rPr>
                <w:rFonts w:ascii="Corbel"/>
                <w:smallCaps/>
                <w:sz w:val="18"/>
              </w:rPr>
              <w:t>1</w:t>
            </w:r>
            <w:r>
              <w:rPr>
                <w:rFonts w:ascii="Corbel"/>
                <w:smallCaps w:val="0"/>
                <w:sz w:val="18"/>
              </w:rPr>
              <w:t>8</w:t>
            </w:r>
          </w:p>
        </w:tc>
        <w:tc>
          <w:tcPr>
            <w:tcW w:w="1080" w:type="dxa"/>
            <w:shd w:val="clear" w:color="auto" w:fill="DBE4F0"/>
          </w:tcPr>
          <w:p>
            <w:pPr>
              <w:pStyle w:val="TableParagraph"/>
              <w:rPr>
                <w:rFonts w:ascii="Times New Roman"/>
                <w:sz w:val="20"/>
              </w:rPr>
            </w:pPr>
          </w:p>
        </w:tc>
        <w:tc>
          <w:tcPr>
            <w:tcW w:w="1619" w:type="dxa"/>
            <w:shd w:val="clear" w:color="auto" w:fill="DBE4F0"/>
          </w:tcPr>
          <w:p>
            <w:pPr>
              <w:pStyle w:val="TableParagraph"/>
              <w:spacing w:before="78"/>
              <w:ind w:right="182"/>
              <w:jc w:val="right"/>
              <w:rPr>
                <w:rFonts w:ascii="Corbel"/>
                <w:sz w:val="18"/>
              </w:rPr>
            </w:pPr>
            <w:r>
              <w:rPr>
                <w:rFonts w:ascii="Corbel"/>
                <w:smallCaps/>
                <w:color w:val="365F91"/>
                <w:sz w:val="18"/>
              </w:rPr>
              <w:t>1</w:t>
            </w:r>
            <w:r>
              <w:rPr>
                <w:rFonts w:ascii="Corbel"/>
                <w:smallCaps w:val="0"/>
                <w:color w:val="365F91"/>
                <w:sz w:val="18"/>
              </w:rPr>
              <w:t>8</w:t>
            </w:r>
            <w:r>
              <w:rPr>
                <w:rFonts w:ascii="Corbel"/>
                <w:smallCaps w:val="0"/>
                <w:color w:val="365F91"/>
                <w:spacing w:val="-1"/>
                <w:sz w:val="18"/>
              </w:rPr>
              <w:t>6</w:t>
            </w:r>
            <w:r>
              <w:rPr>
                <w:rFonts w:ascii="Corbel"/>
                <w:smallCaps w:val="0"/>
                <w:color w:val="365F91"/>
                <w:sz w:val="18"/>
              </w:rPr>
              <w:t>,56</w:t>
            </w:r>
            <w:r>
              <w:rPr>
                <w:rFonts w:ascii="Corbel"/>
                <w:smallCaps w:val="0"/>
                <w:color w:val="365F91"/>
                <w:spacing w:val="-1"/>
                <w:sz w:val="18"/>
              </w:rPr>
              <w:t>6</w:t>
            </w:r>
            <w:r>
              <w:rPr>
                <w:rFonts w:ascii="Corbel"/>
                <w:smallCaps/>
                <w:color w:val="365F91"/>
                <w:spacing w:val="-1"/>
                <w:sz w:val="18"/>
              </w:rPr>
              <w:t>.</w:t>
            </w:r>
            <w:r>
              <w:rPr>
                <w:rFonts w:ascii="Corbel"/>
                <w:smallCaps/>
                <w:color w:val="365F91"/>
                <w:spacing w:val="1"/>
                <w:sz w:val="18"/>
              </w:rPr>
              <w:t>1</w:t>
            </w:r>
            <w:r>
              <w:rPr>
                <w:rFonts w:ascii="Corbel"/>
                <w:smallCaps w:val="0"/>
                <w:color w:val="365F91"/>
                <w:sz w:val="18"/>
              </w:rPr>
              <w:t>4</w:t>
            </w:r>
          </w:p>
        </w:tc>
        <w:tc>
          <w:tcPr>
            <w:tcW w:w="965" w:type="dxa"/>
            <w:shd w:val="clear" w:color="auto" w:fill="DBE4F0"/>
          </w:tcPr>
          <w:p>
            <w:pPr>
              <w:pStyle w:val="TableParagraph"/>
              <w:rPr>
                <w:rFonts w:ascii="Times New Roman"/>
                <w:sz w:val="20"/>
              </w:rPr>
            </w:pPr>
          </w:p>
        </w:tc>
      </w:tr>
      <w:tr>
        <w:trPr>
          <w:trHeight w:val="460" w:hRule="atLeast"/>
        </w:trPr>
        <w:tc>
          <w:tcPr>
            <w:tcW w:w="2652" w:type="dxa"/>
            <w:tcBorders>
              <w:right w:val="single" w:sz="4" w:space="0" w:color="4F81BC"/>
            </w:tcBorders>
          </w:tcPr>
          <w:p>
            <w:pPr>
              <w:pStyle w:val="TableParagraph"/>
              <w:rPr>
                <w:rFonts w:ascii="Times New Roman"/>
                <w:sz w:val="20"/>
              </w:rPr>
            </w:pPr>
          </w:p>
        </w:tc>
        <w:tc>
          <w:tcPr>
            <w:tcW w:w="8091" w:type="dxa"/>
            <w:gridSpan w:val="6"/>
            <w:tcBorders>
              <w:left w:val="single" w:sz="4" w:space="0" w:color="4F81BC"/>
            </w:tcBorders>
          </w:tcPr>
          <w:p>
            <w:pPr>
              <w:pStyle w:val="TableParagraph"/>
              <w:rPr>
                <w:rFonts w:ascii="Times New Roman"/>
                <w:sz w:val="20"/>
              </w:rPr>
            </w:pPr>
          </w:p>
        </w:tc>
      </w:tr>
      <w:tr>
        <w:trPr>
          <w:trHeight w:val="739" w:hRule="atLeast"/>
        </w:trPr>
        <w:tc>
          <w:tcPr>
            <w:tcW w:w="2652" w:type="dxa"/>
            <w:tcBorders>
              <w:right w:val="single" w:sz="4" w:space="0" w:color="4F81BC"/>
            </w:tcBorders>
            <w:shd w:val="clear" w:color="auto" w:fill="B8CCE3"/>
          </w:tcPr>
          <w:p>
            <w:pPr>
              <w:pStyle w:val="TableParagraph"/>
              <w:spacing w:before="78"/>
              <w:ind w:right="76"/>
              <w:jc w:val="right"/>
              <w:rPr>
                <w:rFonts w:ascii="Corbel"/>
                <w:sz w:val="18"/>
              </w:rPr>
            </w:pPr>
            <w:r>
              <w:rPr>
                <w:rFonts w:ascii="Corbel"/>
                <w:sz w:val="18"/>
              </w:rPr>
              <w:t>Total de Ingresos</w:t>
            </w:r>
          </w:p>
        </w:tc>
        <w:tc>
          <w:tcPr>
            <w:tcW w:w="1732" w:type="dxa"/>
            <w:tcBorders>
              <w:left w:val="single" w:sz="4" w:space="0" w:color="4F81BC"/>
            </w:tcBorders>
            <w:shd w:val="clear" w:color="auto" w:fill="DBE4F0"/>
          </w:tcPr>
          <w:p>
            <w:pPr>
              <w:pStyle w:val="TableParagraph"/>
              <w:spacing w:before="78"/>
              <w:ind w:right="178"/>
              <w:jc w:val="right"/>
              <w:rPr>
                <w:rFonts w:ascii="Corbel"/>
                <w:sz w:val="18"/>
              </w:rPr>
            </w:pPr>
            <w:r>
              <w:rPr>
                <w:rFonts w:ascii="Corbel"/>
                <w:sz w:val="18"/>
              </w:rPr>
              <w:t>68,345,539.46</w:t>
            </w:r>
          </w:p>
        </w:tc>
        <w:tc>
          <w:tcPr>
            <w:tcW w:w="1102" w:type="dxa"/>
            <w:shd w:val="clear" w:color="auto" w:fill="DBE4F0"/>
          </w:tcPr>
          <w:p>
            <w:pPr>
              <w:pStyle w:val="TableParagraph"/>
              <w:spacing w:before="78"/>
              <w:ind w:left="181"/>
              <w:rPr>
                <w:rFonts w:ascii="Corbel"/>
                <w:sz w:val="18"/>
              </w:rPr>
            </w:pPr>
            <w:r>
              <w:rPr>
                <w:rFonts w:ascii="Corbel"/>
                <w:smallCaps/>
                <w:sz w:val="18"/>
              </w:rPr>
              <w:t>1</w:t>
            </w:r>
            <w:r>
              <w:rPr>
                <w:rFonts w:ascii="Corbel"/>
                <w:smallCaps w:val="0"/>
                <w:sz w:val="18"/>
              </w:rPr>
              <w:t>0</w:t>
            </w:r>
            <w:r>
              <w:rPr>
                <w:rFonts w:ascii="Corbel"/>
                <w:smallCaps w:val="0"/>
                <w:spacing w:val="-2"/>
                <w:sz w:val="18"/>
              </w:rPr>
              <w:t>0</w:t>
            </w:r>
            <w:r>
              <w:rPr>
                <w:rFonts w:ascii="Corbel"/>
                <w:smallCaps w:val="0"/>
                <w:spacing w:val="-1"/>
                <w:sz w:val="18"/>
              </w:rPr>
              <w:t>.</w:t>
            </w:r>
            <w:r>
              <w:rPr>
                <w:rFonts w:ascii="Corbel"/>
                <w:smallCaps w:val="0"/>
                <w:spacing w:val="1"/>
                <w:sz w:val="18"/>
              </w:rPr>
              <w:t>0</w:t>
            </w:r>
            <w:r>
              <w:rPr>
                <w:rFonts w:ascii="Corbel"/>
                <w:smallCaps w:val="0"/>
                <w:sz w:val="18"/>
              </w:rPr>
              <w:t>0</w:t>
            </w:r>
          </w:p>
        </w:tc>
        <w:tc>
          <w:tcPr>
            <w:tcW w:w="1593" w:type="dxa"/>
            <w:shd w:val="clear" w:color="auto" w:fill="DBE4F0"/>
          </w:tcPr>
          <w:p>
            <w:pPr>
              <w:pStyle w:val="TableParagraph"/>
              <w:spacing w:before="78"/>
              <w:ind w:right="180"/>
              <w:jc w:val="right"/>
              <w:rPr>
                <w:rFonts w:ascii="Corbel"/>
                <w:sz w:val="18"/>
              </w:rPr>
            </w:pPr>
            <w:r>
              <w:rPr>
                <w:rFonts w:ascii="Corbel"/>
                <w:sz w:val="18"/>
              </w:rPr>
              <w:t>79,757,886.77</w:t>
            </w:r>
          </w:p>
        </w:tc>
        <w:tc>
          <w:tcPr>
            <w:tcW w:w="1080" w:type="dxa"/>
            <w:shd w:val="clear" w:color="auto" w:fill="DBE4F0"/>
          </w:tcPr>
          <w:p>
            <w:pPr>
              <w:pStyle w:val="TableParagraph"/>
              <w:spacing w:before="78"/>
              <w:ind w:left="165" w:right="378"/>
              <w:jc w:val="center"/>
              <w:rPr>
                <w:rFonts w:ascii="Corbel"/>
                <w:sz w:val="18"/>
              </w:rPr>
            </w:pPr>
            <w:r>
              <w:rPr>
                <w:rFonts w:ascii="Corbel"/>
                <w:smallCaps/>
                <w:sz w:val="18"/>
              </w:rPr>
              <w:t>1</w:t>
            </w:r>
            <w:r>
              <w:rPr>
                <w:rFonts w:ascii="Corbel"/>
                <w:smallCaps w:val="0"/>
                <w:sz w:val="18"/>
              </w:rPr>
              <w:t>0</w:t>
            </w:r>
            <w:r>
              <w:rPr>
                <w:rFonts w:ascii="Corbel"/>
                <w:smallCaps w:val="0"/>
                <w:spacing w:val="-2"/>
                <w:sz w:val="18"/>
              </w:rPr>
              <w:t>0</w:t>
            </w:r>
            <w:r>
              <w:rPr>
                <w:rFonts w:ascii="Corbel"/>
                <w:smallCaps w:val="0"/>
                <w:spacing w:val="-1"/>
                <w:sz w:val="18"/>
              </w:rPr>
              <w:t>.</w:t>
            </w:r>
            <w:r>
              <w:rPr>
                <w:rFonts w:ascii="Corbel"/>
                <w:smallCaps w:val="0"/>
                <w:spacing w:val="1"/>
                <w:sz w:val="18"/>
              </w:rPr>
              <w:t>0</w:t>
            </w:r>
            <w:r>
              <w:rPr>
                <w:rFonts w:ascii="Corbel"/>
                <w:smallCaps w:val="0"/>
                <w:sz w:val="18"/>
              </w:rPr>
              <w:t>0</w:t>
            </w:r>
          </w:p>
        </w:tc>
        <w:tc>
          <w:tcPr>
            <w:tcW w:w="1619" w:type="dxa"/>
            <w:shd w:val="clear" w:color="auto" w:fill="DBE4F0"/>
          </w:tcPr>
          <w:p>
            <w:pPr>
              <w:pStyle w:val="TableParagraph"/>
              <w:spacing w:before="78"/>
              <w:ind w:right="181"/>
              <w:jc w:val="right"/>
              <w:rPr>
                <w:rFonts w:ascii="Corbel"/>
                <w:sz w:val="18"/>
              </w:rPr>
            </w:pPr>
            <w:r>
              <w:rPr>
                <w:rFonts w:ascii="Corbel"/>
                <w:spacing w:val="-1"/>
                <w:sz w:val="18"/>
              </w:rPr>
              <w:t>9</w:t>
            </w:r>
            <w:r>
              <w:rPr>
                <w:rFonts w:ascii="Corbel"/>
                <w:smallCaps/>
                <w:sz w:val="18"/>
              </w:rPr>
              <w:t>1</w:t>
            </w:r>
            <w:r>
              <w:rPr>
                <w:rFonts w:ascii="Corbel"/>
                <w:smallCaps w:val="0"/>
                <w:sz w:val="18"/>
              </w:rPr>
              <w:t>,</w:t>
            </w:r>
            <w:r>
              <w:rPr>
                <w:rFonts w:ascii="Corbel"/>
                <w:smallCaps w:val="0"/>
                <w:spacing w:val="1"/>
                <w:sz w:val="18"/>
              </w:rPr>
              <w:t>0</w:t>
            </w:r>
            <w:r>
              <w:rPr>
                <w:rFonts w:ascii="Corbel"/>
                <w:smallCaps w:val="0"/>
                <w:spacing w:val="-1"/>
                <w:sz w:val="18"/>
              </w:rPr>
              <w:t>6</w:t>
            </w:r>
            <w:r>
              <w:rPr>
                <w:rFonts w:ascii="Corbel"/>
                <w:smallCaps/>
                <w:sz w:val="18"/>
              </w:rPr>
              <w:t>5,</w:t>
            </w:r>
            <w:r>
              <w:rPr>
                <w:rFonts w:ascii="Corbel"/>
                <w:smallCaps/>
                <w:spacing w:val="1"/>
                <w:sz w:val="18"/>
              </w:rPr>
              <w:t>1</w:t>
            </w:r>
            <w:r>
              <w:rPr>
                <w:rFonts w:ascii="Corbel"/>
                <w:smallCaps w:val="0"/>
                <w:sz w:val="18"/>
              </w:rPr>
              <w:t>54.</w:t>
            </w:r>
            <w:r>
              <w:rPr>
                <w:rFonts w:ascii="Corbel"/>
                <w:smallCaps/>
                <w:spacing w:val="-1"/>
                <w:sz w:val="18"/>
              </w:rPr>
              <w:t>2</w:t>
            </w:r>
            <w:r>
              <w:rPr>
                <w:rFonts w:ascii="Corbel"/>
                <w:smallCaps w:val="0"/>
                <w:sz w:val="18"/>
              </w:rPr>
              <w:t>9</w:t>
            </w:r>
          </w:p>
        </w:tc>
        <w:tc>
          <w:tcPr>
            <w:tcW w:w="965" w:type="dxa"/>
            <w:shd w:val="clear" w:color="auto" w:fill="DBE4F0"/>
          </w:tcPr>
          <w:p>
            <w:pPr>
              <w:pStyle w:val="TableParagraph"/>
              <w:spacing w:before="78"/>
              <w:ind w:left="162" w:right="266"/>
              <w:jc w:val="center"/>
              <w:rPr>
                <w:rFonts w:ascii="Corbel"/>
                <w:sz w:val="18"/>
              </w:rPr>
            </w:pPr>
            <w:r>
              <w:rPr>
                <w:rFonts w:ascii="Corbel"/>
                <w:smallCaps/>
                <w:sz w:val="18"/>
              </w:rPr>
              <w:t>1</w:t>
            </w:r>
            <w:r>
              <w:rPr>
                <w:rFonts w:ascii="Corbel"/>
                <w:smallCaps w:val="0"/>
                <w:sz w:val="18"/>
              </w:rPr>
              <w:t>0</w:t>
            </w:r>
            <w:r>
              <w:rPr>
                <w:rFonts w:ascii="Corbel"/>
                <w:smallCaps w:val="0"/>
                <w:spacing w:val="-2"/>
                <w:sz w:val="18"/>
              </w:rPr>
              <w:t>0</w:t>
            </w:r>
            <w:r>
              <w:rPr>
                <w:rFonts w:ascii="Corbel"/>
                <w:smallCaps w:val="0"/>
                <w:spacing w:val="-1"/>
                <w:sz w:val="18"/>
              </w:rPr>
              <w:t>.</w:t>
            </w:r>
            <w:r>
              <w:rPr>
                <w:rFonts w:ascii="Corbel"/>
                <w:smallCaps w:val="0"/>
                <w:spacing w:val="1"/>
                <w:sz w:val="18"/>
              </w:rPr>
              <w:t>0</w:t>
            </w:r>
            <w:r>
              <w:rPr>
                <w:rFonts w:ascii="Corbel"/>
                <w:smallCaps w:val="0"/>
                <w:sz w:val="18"/>
              </w:rPr>
              <w:t>0</w:t>
            </w:r>
          </w:p>
        </w:tc>
      </w:tr>
    </w:tbl>
    <w:p>
      <w:pPr>
        <w:pStyle w:val="BodyText"/>
        <w:rPr>
          <w:rFonts w:ascii="Corbel"/>
          <w:sz w:val="20"/>
        </w:rPr>
      </w:pPr>
    </w:p>
    <w:p>
      <w:pPr>
        <w:pStyle w:val="BodyText"/>
        <w:rPr>
          <w:rFonts w:ascii="Corbel"/>
          <w:sz w:val="20"/>
        </w:rPr>
      </w:pPr>
    </w:p>
    <w:p>
      <w:pPr>
        <w:pStyle w:val="BodyText"/>
        <w:spacing w:before="4"/>
        <w:rPr>
          <w:rFonts w:ascii="Corbel"/>
          <w:sz w:val="19"/>
        </w:rPr>
      </w:pPr>
    </w:p>
    <w:p>
      <w:pPr>
        <w:pStyle w:val="BodyText"/>
        <w:spacing w:line="276" w:lineRule="auto" w:before="101"/>
        <w:ind w:left="901" w:right="1156"/>
        <w:jc w:val="both"/>
      </w:pPr>
      <w:r>
        <w:rPr/>
        <w:t>A mediano plazo es importante seguir haciendo acciones como las enumeradas a continuación, para poder mejorar los ingresos municipales y aumentar la disponibilidad financiera municipal.</w:t>
      </w:r>
    </w:p>
    <w:p>
      <w:pPr>
        <w:pStyle w:val="BodyText"/>
        <w:spacing w:before="3"/>
        <w:rPr>
          <w:sz w:val="25"/>
        </w:rPr>
      </w:pPr>
    </w:p>
    <w:p>
      <w:pPr>
        <w:pStyle w:val="ListParagraph"/>
        <w:numPr>
          <w:ilvl w:val="0"/>
          <w:numId w:val="58"/>
        </w:numPr>
        <w:tabs>
          <w:tab w:pos="1622" w:val="left" w:leader="none"/>
        </w:tabs>
        <w:spacing w:line="276" w:lineRule="auto" w:before="1" w:after="0"/>
        <w:ind w:left="1621" w:right="1157" w:hanging="360"/>
        <w:jc w:val="both"/>
        <w:rPr>
          <w:sz w:val="22"/>
        </w:rPr>
      </w:pPr>
      <w:r>
        <w:rPr>
          <w:sz w:val="22"/>
        </w:rPr>
        <w:t>Actualizar el padrón de cuentas catastrales y combatir el rezago en la recaudación del impuesto predial mediante la invitación al contribuyente para la regularización de sus</w:t>
      </w:r>
      <w:r>
        <w:rPr>
          <w:spacing w:val="-2"/>
          <w:sz w:val="22"/>
        </w:rPr>
        <w:t> </w:t>
      </w:r>
      <w:r>
        <w:rPr>
          <w:sz w:val="22"/>
        </w:rPr>
        <w:t>adeudos.</w:t>
      </w:r>
    </w:p>
    <w:p>
      <w:pPr>
        <w:pStyle w:val="ListParagraph"/>
        <w:numPr>
          <w:ilvl w:val="0"/>
          <w:numId w:val="58"/>
        </w:numPr>
        <w:tabs>
          <w:tab w:pos="1622" w:val="left" w:leader="none"/>
        </w:tabs>
        <w:spacing w:line="276" w:lineRule="auto" w:before="0" w:after="0"/>
        <w:ind w:left="1621" w:right="1158" w:hanging="360"/>
        <w:jc w:val="both"/>
        <w:rPr>
          <w:sz w:val="22"/>
        </w:rPr>
      </w:pPr>
      <w:r>
        <w:rPr>
          <w:sz w:val="22"/>
        </w:rPr>
        <w:t>Mantener en constante revisión los nuevos fraccionamientos, las licencias </w:t>
      </w:r>
      <w:r>
        <w:rPr>
          <w:spacing w:val="-3"/>
          <w:sz w:val="22"/>
        </w:rPr>
        <w:t>de </w:t>
      </w:r>
      <w:r>
        <w:rPr>
          <w:sz w:val="22"/>
        </w:rPr>
        <w:t>construcción, licencias y permisos para espectáculos públicos y venta </w:t>
      </w:r>
      <w:r>
        <w:rPr>
          <w:spacing w:val="-3"/>
          <w:sz w:val="22"/>
        </w:rPr>
        <w:t>de </w:t>
      </w:r>
      <w:r>
        <w:rPr>
          <w:sz w:val="22"/>
        </w:rPr>
        <w:t>alcoholes actualizando continuamente el padrón de</w:t>
      </w:r>
      <w:r>
        <w:rPr>
          <w:spacing w:val="-11"/>
          <w:sz w:val="22"/>
        </w:rPr>
        <w:t> </w:t>
      </w:r>
      <w:r>
        <w:rPr>
          <w:sz w:val="22"/>
        </w:rPr>
        <w:t>contribuyentes.</w:t>
      </w:r>
    </w:p>
    <w:p>
      <w:pPr>
        <w:pStyle w:val="ListParagraph"/>
        <w:numPr>
          <w:ilvl w:val="0"/>
          <w:numId w:val="58"/>
        </w:numPr>
        <w:tabs>
          <w:tab w:pos="1622" w:val="left" w:leader="none"/>
        </w:tabs>
        <w:spacing w:line="276" w:lineRule="auto" w:before="1" w:after="0"/>
        <w:ind w:left="1621" w:right="1156" w:hanging="360"/>
        <w:jc w:val="both"/>
        <w:rPr>
          <w:sz w:val="22"/>
        </w:rPr>
      </w:pPr>
      <w:r>
        <w:rPr>
          <w:sz w:val="22"/>
        </w:rPr>
        <w:t>Hacer uso del procedimiento administrativo de ejecución si es necesario para disminuir la morosidad y fomentar la cultura</w:t>
      </w:r>
      <w:r>
        <w:rPr>
          <w:spacing w:val="-7"/>
          <w:sz w:val="22"/>
        </w:rPr>
        <w:t> </w:t>
      </w:r>
      <w:r>
        <w:rPr>
          <w:sz w:val="22"/>
        </w:rPr>
        <w:t>contributiva.</w:t>
      </w:r>
    </w:p>
    <w:p>
      <w:pPr>
        <w:pStyle w:val="ListParagraph"/>
        <w:numPr>
          <w:ilvl w:val="0"/>
          <w:numId w:val="58"/>
        </w:numPr>
        <w:tabs>
          <w:tab w:pos="1622" w:val="left" w:leader="none"/>
        </w:tabs>
        <w:spacing w:line="276" w:lineRule="auto" w:before="0" w:after="0"/>
        <w:ind w:left="1621" w:right="1155" w:hanging="360"/>
        <w:jc w:val="both"/>
        <w:rPr>
          <w:sz w:val="22"/>
        </w:rPr>
      </w:pPr>
      <w:r>
        <w:rPr>
          <w:sz w:val="22"/>
        </w:rPr>
        <w:t>Realizar sondeos constantes para evitar la evasión fiscal en construcciones sin licencia de</w:t>
      </w:r>
      <w:r>
        <w:rPr>
          <w:spacing w:val="-5"/>
          <w:sz w:val="22"/>
        </w:rPr>
        <w:t> </w:t>
      </w:r>
      <w:r>
        <w:rPr>
          <w:sz w:val="22"/>
        </w:rPr>
        <w:t>construcción.</w:t>
      </w:r>
    </w:p>
    <w:p>
      <w:pPr>
        <w:pStyle w:val="ListParagraph"/>
        <w:numPr>
          <w:ilvl w:val="0"/>
          <w:numId w:val="58"/>
        </w:numPr>
        <w:tabs>
          <w:tab w:pos="1622" w:val="left" w:leader="none"/>
        </w:tabs>
        <w:spacing w:line="276" w:lineRule="auto" w:before="1" w:after="0"/>
        <w:ind w:left="1621" w:right="1155" w:hanging="360"/>
        <w:jc w:val="both"/>
        <w:rPr>
          <w:sz w:val="22"/>
        </w:rPr>
      </w:pPr>
      <w:r>
        <w:rPr>
          <w:sz w:val="22"/>
        </w:rPr>
        <w:t>La reciente creación de un organismo público descentralizado para la administración y el mantenimiento del agua potable SAPASMAG (Sistema </w:t>
      </w:r>
      <w:r>
        <w:rPr>
          <w:spacing w:val="-3"/>
          <w:sz w:val="22"/>
        </w:rPr>
        <w:t>de </w:t>
      </w:r>
      <w:r>
        <w:rPr>
          <w:sz w:val="22"/>
        </w:rPr>
        <w:t>Agua Potable, Alcantarillado y Saneamiento de Magdalena); a mejorado la recaudación, sin embargo, es necesario vigilar que se apliquen los reglamentos y las leyes vigentes para hacerle más eficiente; aplicando los recursos en forma óptima e invitando al contribuyente a mantener actualizados sus</w:t>
      </w:r>
      <w:r>
        <w:rPr>
          <w:spacing w:val="-12"/>
          <w:sz w:val="22"/>
        </w:rPr>
        <w:t> </w:t>
      </w:r>
      <w:r>
        <w:rPr>
          <w:sz w:val="22"/>
        </w:rPr>
        <w:t>pagos.</w:t>
      </w:r>
    </w:p>
    <w:p>
      <w:pPr>
        <w:spacing w:after="0" w:line="276" w:lineRule="auto"/>
        <w:jc w:val="both"/>
        <w:rPr>
          <w:sz w:val="22"/>
        </w:rPr>
        <w:sectPr>
          <w:footerReference w:type="default" r:id="rId45"/>
          <w:pgSz w:w="12240" w:h="15840"/>
          <w:pgMar w:footer="1179" w:header="178" w:top="1120" w:bottom="1360" w:left="460" w:right="220"/>
          <w:pgNumType w:start="92"/>
        </w:sectPr>
      </w:pPr>
    </w:p>
    <w:p>
      <w:pPr>
        <w:pStyle w:val="BodyText"/>
        <w:rPr>
          <w:sz w:val="20"/>
        </w:rPr>
      </w:pPr>
    </w:p>
    <w:p>
      <w:pPr>
        <w:pStyle w:val="BodyText"/>
        <w:spacing w:before="3"/>
        <w:rPr>
          <w:sz w:val="21"/>
        </w:rPr>
      </w:pPr>
    </w:p>
    <w:p>
      <w:pPr>
        <w:pStyle w:val="Heading4"/>
      </w:pPr>
      <w:r>
        <w:rPr/>
        <w:t>Egresos</w:t>
      </w:r>
    </w:p>
    <w:p>
      <w:pPr>
        <w:pStyle w:val="BodyText"/>
        <w:spacing w:before="9"/>
        <w:rPr>
          <w:b/>
          <w:sz w:val="28"/>
        </w:rPr>
      </w:pPr>
    </w:p>
    <w:p>
      <w:pPr>
        <w:pStyle w:val="BodyText"/>
        <w:spacing w:line="276" w:lineRule="auto"/>
        <w:ind w:left="901" w:right="1156"/>
        <w:jc w:val="both"/>
      </w:pPr>
      <w:r>
        <w:rPr/>
        <w:t>Es importante destacar que el municipio ha contenido el gasto referente a servicios personales. El cual ha pasado de representar el 46.32% en el 2016 a 35.43% en 2018. Lo cual quiere decir, que el peso de la nómina respecto al gasto total del Ayuntamiento ha decrecido.</w:t>
      </w:r>
    </w:p>
    <w:p>
      <w:pPr>
        <w:pStyle w:val="BodyText"/>
        <w:spacing w:before="3"/>
        <w:rPr>
          <w:sz w:val="25"/>
        </w:rPr>
      </w:pPr>
    </w:p>
    <w:p>
      <w:pPr>
        <w:pStyle w:val="BodyText"/>
        <w:spacing w:line="276" w:lineRule="auto"/>
        <w:ind w:left="901" w:right="1156"/>
        <w:jc w:val="both"/>
      </w:pPr>
      <w:r>
        <w:rPr/>
        <w:t>En contraste, la inversión pública en obras y servicios a la población ha aumentado casi 10 puntos porcentuales, siendo 2018 el año con mayor inversión en los últimos años, con más de 40 millones de pesos para este rubro.</w:t>
      </w:r>
    </w:p>
    <w:p>
      <w:pPr>
        <w:pStyle w:val="BodyText"/>
      </w:pPr>
    </w:p>
    <w:p>
      <w:pPr>
        <w:pStyle w:val="BodyText"/>
        <w:ind w:left="1001" w:right="1260"/>
        <w:jc w:val="center"/>
      </w:pPr>
      <w:r>
        <w:rPr/>
        <w:pict>
          <v:shape style="position:absolute;margin-left:64.103996pt;margin-top:46.584438pt;width:531.7pt;height:422.95pt;mso-position-horizontal-relative:page;mso-position-vertical-relative:paragraph;z-index:25172070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51"/>
                    <w:gridCol w:w="1652"/>
                    <w:gridCol w:w="1226"/>
                    <w:gridCol w:w="1469"/>
                    <w:gridCol w:w="1279"/>
                    <w:gridCol w:w="1520"/>
                    <w:gridCol w:w="937"/>
                  </w:tblGrid>
                  <w:tr>
                    <w:trPr>
                      <w:trHeight w:val="485" w:hRule="atLeast"/>
                    </w:trPr>
                    <w:tc>
                      <w:tcPr>
                        <w:tcW w:w="2551" w:type="dxa"/>
                        <w:tcBorders>
                          <w:bottom w:val="single" w:sz="6" w:space="0" w:color="4F81BC"/>
                          <w:right w:val="single" w:sz="4" w:space="0" w:color="4F81BC"/>
                        </w:tcBorders>
                      </w:tcPr>
                      <w:p>
                        <w:pPr>
                          <w:pStyle w:val="TableParagraph"/>
                          <w:rPr>
                            <w:rFonts w:ascii="Times New Roman"/>
                            <w:sz w:val="18"/>
                          </w:rPr>
                        </w:pPr>
                      </w:p>
                    </w:tc>
                    <w:tc>
                      <w:tcPr>
                        <w:tcW w:w="1652" w:type="dxa"/>
                        <w:tcBorders>
                          <w:left w:val="single" w:sz="4" w:space="0" w:color="4F81BC"/>
                          <w:bottom w:val="single" w:sz="6" w:space="0" w:color="4F81BC"/>
                        </w:tcBorders>
                      </w:tcPr>
                      <w:p>
                        <w:pPr>
                          <w:pStyle w:val="TableParagraph"/>
                          <w:spacing w:before="1"/>
                          <w:ind w:right="107"/>
                          <w:jc w:val="right"/>
                          <w:rPr>
                            <w:rFonts w:ascii="Calibri"/>
                            <w:sz w:val="18"/>
                          </w:rPr>
                        </w:pPr>
                        <w:r>
                          <w:rPr>
                            <w:rFonts w:ascii="Calibri"/>
                            <w:sz w:val="18"/>
                          </w:rPr>
                          <w:t>Acumulado</w:t>
                        </w:r>
                      </w:p>
                    </w:tc>
                    <w:tc>
                      <w:tcPr>
                        <w:tcW w:w="1226" w:type="dxa"/>
                        <w:tcBorders>
                          <w:bottom w:val="single" w:sz="6" w:space="0" w:color="4F81BC"/>
                        </w:tcBorders>
                      </w:tcPr>
                      <w:p>
                        <w:pPr>
                          <w:pStyle w:val="TableParagraph"/>
                          <w:rPr>
                            <w:rFonts w:ascii="Times New Roman"/>
                            <w:sz w:val="18"/>
                          </w:rPr>
                        </w:pPr>
                      </w:p>
                    </w:tc>
                    <w:tc>
                      <w:tcPr>
                        <w:tcW w:w="1469" w:type="dxa"/>
                        <w:tcBorders>
                          <w:bottom w:val="single" w:sz="6" w:space="0" w:color="4F81BC"/>
                        </w:tcBorders>
                      </w:tcPr>
                      <w:p>
                        <w:pPr>
                          <w:pStyle w:val="TableParagraph"/>
                          <w:spacing w:before="1"/>
                          <w:ind w:right="106"/>
                          <w:jc w:val="right"/>
                          <w:rPr>
                            <w:rFonts w:ascii="Calibri"/>
                            <w:sz w:val="18"/>
                          </w:rPr>
                        </w:pPr>
                        <w:r>
                          <w:rPr>
                            <w:rFonts w:ascii="Calibri"/>
                            <w:sz w:val="18"/>
                          </w:rPr>
                          <w:t>Acumulado</w:t>
                        </w:r>
                      </w:p>
                    </w:tc>
                    <w:tc>
                      <w:tcPr>
                        <w:tcW w:w="1279" w:type="dxa"/>
                        <w:tcBorders>
                          <w:bottom w:val="single" w:sz="6" w:space="0" w:color="4F81BC"/>
                        </w:tcBorders>
                      </w:tcPr>
                      <w:p>
                        <w:pPr>
                          <w:pStyle w:val="TableParagraph"/>
                          <w:rPr>
                            <w:rFonts w:ascii="Times New Roman"/>
                            <w:sz w:val="18"/>
                          </w:rPr>
                        </w:pPr>
                      </w:p>
                    </w:tc>
                    <w:tc>
                      <w:tcPr>
                        <w:tcW w:w="1520" w:type="dxa"/>
                        <w:tcBorders>
                          <w:bottom w:val="single" w:sz="6" w:space="0" w:color="4F81BC"/>
                        </w:tcBorders>
                      </w:tcPr>
                      <w:p>
                        <w:pPr>
                          <w:pStyle w:val="TableParagraph"/>
                          <w:spacing w:before="1"/>
                          <w:ind w:right="104"/>
                          <w:jc w:val="right"/>
                          <w:rPr>
                            <w:rFonts w:ascii="Calibri"/>
                            <w:sz w:val="18"/>
                          </w:rPr>
                        </w:pPr>
                        <w:r>
                          <w:rPr>
                            <w:rFonts w:ascii="Calibri"/>
                            <w:sz w:val="18"/>
                          </w:rPr>
                          <w:t>Acumulado</w:t>
                        </w:r>
                      </w:p>
                    </w:tc>
                    <w:tc>
                      <w:tcPr>
                        <w:tcW w:w="937" w:type="dxa"/>
                        <w:tcBorders>
                          <w:bottom w:val="single" w:sz="6" w:space="0" w:color="4F81BC"/>
                        </w:tcBorders>
                      </w:tcPr>
                      <w:p>
                        <w:pPr>
                          <w:pStyle w:val="TableParagraph"/>
                          <w:rPr>
                            <w:rFonts w:ascii="Times New Roman"/>
                            <w:sz w:val="18"/>
                          </w:rPr>
                        </w:pPr>
                      </w:p>
                    </w:tc>
                  </w:tr>
                  <w:tr>
                    <w:trPr>
                      <w:trHeight w:val="1851" w:hRule="atLeast"/>
                    </w:trPr>
                    <w:tc>
                      <w:tcPr>
                        <w:tcW w:w="2551" w:type="dxa"/>
                        <w:tcBorders>
                          <w:top w:val="single" w:sz="6" w:space="0" w:color="4F81BC"/>
                          <w:right w:val="single" w:sz="4" w:space="0" w:color="4F81BC"/>
                        </w:tcBorders>
                      </w:tcPr>
                      <w:p>
                        <w:pPr>
                          <w:pStyle w:val="TableParagraph"/>
                          <w:rPr>
                            <w:rFonts w:ascii="Times New Roman"/>
                            <w:sz w:val="18"/>
                          </w:rPr>
                        </w:pPr>
                      </w:p>
                    </w:tc>
                    <w:tc>
                      <w:tcPr>
                        <w:tcW w:w="1652" w:type="dxa"/>
                        <w:tcBorders>
                          <w:top w:val="single" w:sz="6" w:space="0" w:color="4F81BC"/>
                          <w:left w:val="single" w:sz="4" w:space="0" w:color="4F81BC"/>
                        </w:tcBorders>
                        <w:shd w:val="clear" w:color="auto" w:fill="DBE4F0"/>
                      </w:tcPr>
                      <w:p>
                        <w:pPr>
                          <w:pStyle w:val="TableParagraph"/>
                          <w:spacing w:before="76"/>
                          <w:ind w:left="605" w:right="636"/>
                          <w:jc w:val="center"/>
                          <w:rPr>
                            <w:rFonts w:ascii="Calibri"/>
                            <w:sz w:val="18"/>
                          </w:rPr>
                        </w:pPr>
                        <w:r>
                          <w:rPr>
                            <w:rFonts w:ascii="Calibri"/>
                            <w:color w:val="365F91"/>
                            <w:sz w:val="18"/>
                          </w:rPr>
                          <w:t>2016</w:t>
                        </w:r>
                      </w:p>
                    </w:tc>
                    <w:tc>
                      <w:tcPr>
                        <w:tcW w:w="1226" w:type="dxa"/>
                        <w:tcBorders>
                          <w:top w:val="single" w:sz="6" w:space="0" w:color="4F81BC"/>
                        </w:tcBorders>
                        <w:shd w:val="clear" w:color="auto" w:fill="DBE4F0"/>
                      </w:tcPr>
                      <w:p>
                        <w:pPr>
                          <w:pStyle w:val="TableParagraph"/>
                          <w:spacing w:before="76"/>
                          <w:ind w:left="107" w:right="312" w:hanging="3"/>
                          <w:jc w:val="both"/>
                          <w:rPr>
                            <w:rFonts w:ascii="Calibri"/>
                            <w:sz w:val="18"/>
                          </w:rPr>
                        </w:pPr>
                        <w:r>
                          <w:rPr>
                            <w:rFonts w:ascii="Calibri"/>
                            <w:color w:val="365F91"/>
                            <w:sz w:val="18"/>
                          </w:rPr>
                          <w:t>% respecto a los ingre- sos totales</w:t>
                        </w:r>
                      </w:p>
                    </w:tc>
                    <w:tc>
                      <w:tcPr>
                        <w:tcW w:w="1469" w:type="dxa"/>
                        <w:tcBorders>
                          <w:top w:val="single" w:sz="6" w:space="0" w:color="4F81BC"/>
                        </w:tcBorders>
                        <w:shd w:val="clear" w:color="auto" w:fill="DBE4F0"/>
                      </w:tcPr>
                      <w:p>
                        <w:pPr>
                          <w:pStyle w:val="TableParagraph"/>
                          <w:spacing w:before="76"/>
                          <w:ind w:left="447"/>
                          <w:rPr>
                            <w:rFonts w:ascii="Calibri"/>
                            <w:sz w:val="18"/>
                          </w:rPr>
                        </w:pPr>
                        <w:r>
                          <w:rPr>
                            <w:rFonts w:ascii="Calibri"/>
                            <w:color w:val="365F91"/>
                            <w:sz w:val="18"/>
                          </w:rPr>
                          <w:t>2017</w:t>
                        </w:r>
                      </w:p>
                    </w:tc>
                    <w:tc>
                      <w:tcPr>
                        <w:tcW w:w="1279" w:type="dxa"/>
                        <w:tcBorders>
                          <w:top w:val="single" w:sz="6" w:space="0" w:color="4F81BC"/>
                        </w:tcBorders>
                        <w:shd w:val="clear" w:color="auto" w:fill="DBE4F0"/>
                      </w:tcPr>
                      <w:p>
                        <w:pPr>
                          <w:pStyle w:val="TableParagraph"/>
                          <w:spacing w:before="76"/>
                          <w:ind w:left="106" w:right="367" w:hanging="3"/>
                          <w:jc w:val="both"/>
                          <w:rPr>
                            <w:rFonts w:ascii="Calibri"/>
                            <w:sz w:val="18"/>
                          </w:rPr>
                        </w:pPr>
                        <w:r>
                          <w:rPr>
                            <w:rFonts w:ascii="Calibri"/>
                            <w:color w:val="365F91"/>
                            <w:sz w:val="18"/>
                          </w:rPr>
                          <w:t>% respecto a los ingre- sos totales</w:t>
                        </w:r>
                      </w:p>
                    </w:tc>
                    <w:tc>
                      <w:tcPr>
                        <w:tcW w:w="1520" w:type="dxa"/>
                        <w:tcBorders>
                          <w:top w:val="single" w:sz="6" w:space="0" w:color="4F81BC"/>
                        </w:tcBorders>
                        <w:shd w:val="clear" w:color="auto" w:fill="DBE4F0"/>
                      </w:tcPr>
                      <w:p>
                        <w:pPr>
                          <w:pStyle w:val="TableParagraph"/>
                          <w:spacing w:before="76"/>
                          <w:ind w:left="447"/>
                          <w:rPr>
                            <w:rFonts w:ascii="Calibri"/>
                            <w:sz w:val="18"/>
                          </w:rPr>
                        </w:pPr>
                        <w:r>
                          <w:rPr>
                            <w:rFonts w:ascii="Calibri"/>
                            <w:color w:val="365F91"/>
                            <w:sz w:val="18"/>
                          </w:rPr>
                          <w:t>2018</w:t>
                        </w:r>
                      </w:p>
                    </w:tc>
                    <w:tc>
                      <w:tcPr>
                        <w:tcW w:w="937" w:type="dxa"/>
                        <w:tcBorders>
                          <w:top w:val="single" w:sz="6" w:space="0" w:color="4F81BC"/>
                        </w:tcBorders>
                        <w:shd w:val="clear" w:color="auto" w:fill="DBE4F0"/>
                      </w:tcPr>
                      <w:p>
                        <w:pPr>
                          <w:pStyle w:val="TableParagraph"/>
                          <w:spacing w:before="76"/>
                          <w:ind w:left="101" w:right="128"/>
                          <w:jc w:val="center"/>
                          <w:rPr>
                            <w:rFonts w:ascii="Calibri"/>
                            <w:sz w:val="18"/>
                          </w:rPr>
                        </w:pPr>
                        <w:r>
                          <w:rPr>
                            <w:rFonts w:ascii="Calibri"/>
                            <w:color w:val="365F91"/>
                            <w:sz w:val="18"/>
                          </w:rPr>
                          <w:t>% respec- to a los ingresos totales</w:t>
                        </w:r>
                      </w:p>
                    </w:tc>
                  </w:tr>
                  <w:tr>
                    <w:trPr>
                      <w:trHeight w:val="569" w:hRule="atLeast"/>
                    </w:trPr>
                    <w:tc>
                      <w:tcPr>
                        <w:tcW w:w="2551" w:type="dxa"/>
                        <w:tcBorders>
                          <w:right w:val="single" w:sz="4" w:space="0" w:color="4F81BC"/>
                        </w:tcBorders>
                        <w:shd w:val="clear" w:color="auto" w:fill="B8CCE3"/>
                      </w:tcPr>
                      <w:p>
                        <w:pPr>
                          <w:pStyle w:val="TableParagraph"/>
                          <w:spacing w:before="81"/>
                          <w:ind w:left="851" w:right="850"/>
                          <w:jc w:val="center"/>
                          <w:rPr>
                            <w:rFonts w:ascii="Calibri"/>
                            <w:sz w:val="18"/>
                          </w:rPr>
                        </w:pPr>
                        <w:r>
                          <w:rPr>
                            <w:rFonts w:ascii="Calibri"/>
                            <w:sz w:val="18"/>
                          </w:rPr>
                          <w:t>E g r e s o s</w:t>
                        </w:r>
                      </w:p>
                    </w:tc>
                    <w:tc>
                      <w:tcPr>
                        <w:tcW w:w="8083" w:type="dxa"/>
                        <w:gridSpan w:val="6"/>
                        <w:tcBorders>
                          <w:left w:val="single" w:sz="4" w:space="0" w:color="4F81BC"/>
                        </w:tcBorders>
                      </w:tcPr>
                      <w:p>
                        <w:pPr>
                          <w:pStyle w:val="TableParagraph"/>
                          <w:rPr>
                            <w:rFonts w:ascii="Times New Roman"/>
                            <w:sz w:val="18"/>
                          </w:rPr>
                        </w:pPr>
                      </w:p>
                    </w:tc>
                  </w:tr>
                  <w:tr>
                    <w:trPr>
                      <w:trHeight w:val="566" w:hRule="atLeast"/>
                    </w:trPr>
                    <w:tc>
                      <w:tcPr>
                        <w:tcW w:w="2551" w:type="dxa"/>
                        <w:tcBorders>
                          <w:right w:val="single" w:sz="4" w:space="0" w:color="4F81BC"/>
                        </w:tcBorders>
                      </w:tcPr>
                      <w:p>
                        <w:pPr>
                          <w:pStyle w:val="TableParagraph"/>
                          <w:rPr>
                            <w:rFonts w:ascii="Times New Roman"/>
                            <w:sz w:val="18"/>
                          </w:rPr>
                        </w:pPr>
                      </w:p>
                    </w:tc>
                    <w:tc>
                      <w:tcPr>
                        <w:tcW w:w="8083" w:type="dxa"/>
                        <w:gridSpan w:val="6"/>
                        <w:tcBorders>
                          <w:left w:val="single" w:sz="4" w:space="0" w:color="4F81BC"/>
                        </w:tcBorders>
                        <w:shd w:val="clear" w:color="auto" w:fill="DBE4F0"/>
                      </w:tcPr>
                      <w:p>
                        <w:pPr>
                          <w:pStyle w:val="TableParagraph"/>
                          <w:rPr>
                            <w:rFonts w:ascii="Times New Roman"/>
                            <w:sz w:val="18"/>
                          </w:rPr>
                        </w:pPr>
                      </w:p>
                    </w:tc>
                  </w:tr>
                  <w:tr>
                    <w:trPr>
                      <w:trHeight w:val="741" w:hRule="atLeast"/>
                    </w:trPr>
                    <w:tc>
                      <w:tcPr>
                        <w:tcW w:w="2551" w:type="dxa"/>
                        <w:tcBorders>
                          <w:right w:val="single" w:sz="4" w:space="0" w:color="4F81BC"/>
                        </w:tcBorders>
                        <w:shd w:val="clear" w:color="auto" w:fill="B8CCE3"/>
                      </w:tcPr>
                      <w:p>
                        <w:pPr>
                          <w:pStyle w:val="TableParagraph"/>
                          <w:spacing w:line="219" w:lineRule="exact" w:before="80"/>
                          <w:ind w:right="77"/>
                          <w:jc w:val="right"/>
                          <w:rPr>
                            <w:rFonts w:ascii="Calibri"/>
                            <w:sz w:val="18"/>
                          </w:rPr>
                        </w:pPr>
                        <w:r>
                          <w:rPr>
                            <w:rFonts w:ascii="Calibri"/>
                            <w:sz w:val="18"/>
                          </w:rPr>
                          <w:t>GASTOS DE</w:t>
                        </w:r>
                        <w:r>
                          <w:rPr>
                            <w:rFonts w:ascii="Calibri"/>
                            <w:spacing w:val="-14"/>
                            <w:sz w:val="18"/>
                          </w:rPr>
                          <w:t> </w:t>
                        </w:r>
                        <w:r>
                          <w:rPr>
                            <w:rFonts w:ascii="Calibri"/>
                            <w:sz w:val="18"/>
                          </w:rPr>
                          <w:t>FUNCIONAMIEN-</w:t>
                        </w:r>
                      </w:p>
                      <w:p>
                        <w:pPr>
                          <w:pStyle w:val="TableParagraph"/>
                          <w:spacing w:line="219" w:lineRule="exact"/>
                          <w:ind w:right="71"/>
                          <w:jc w:val="right"/>
                          <w:rPr>
                            <w:rFonts w:ascii="Calibri"/>
                            <w:sz w:val="18"/>
                          </w:rPr>
                        </w:pPr>
                        <w:r>
                          <w:rPr>
                            <w:rFonts w:ascii="Calibri"/>
                            <w:sz w:val="18"/>
                          </w:rPr>
                          <w:t>TO</w:t>
                        </w:r>
                      </w:p>
                    </w:tc>
                    <w:tc>
                      <w:tcPr>
                        <w:tcW w:w="8083" w:type="dxa"/>
                        <w:gridSpan w:val="6"/>
                        <w:tcBorders>
                          <w:left w:val="single" w:sz="4" w:space="0" w:color="4F81BC"/>
                        </w:tcBorders>
                      </w:tcPr>
                      <w:p>
                        <w:pPr>
                          <w:pStyle w:val="TableParagraph"/>
                          <w:rPr>
                            <w:rFonts w:ascii="Times New Roman"/>
                            <w:sz w:val="18"/>
                          </w:rPr>
                        </w:pPr>
                      </w:p>
                    </w:tc>
                  </w:tr>
                  <w:tr>
                    <w:trPr>
                      <w:trHeight w:val="739" w:hRule="atLeast"/>
                    </w:trPr>
                    <w:tc>
                      <w:tcPr>
                        <w:tcW w:w="2551" w:type="dxa"/>
                        <w:tcBorders>
                          <w:right w:val="single" w:sz="4" w:space="0" w:color="4F81BC"/>
                        </w:tcBorders>
                        <w:shd w:val="clear" w:color="auto" w:fill="E4DFEB"/>
                      </w:tcPr>
                      <w:p>
                        <w:pPr>
                          <w:pStyle w:val="TableParagraph"/>
                          <w:spacing w:before="78"/>
                          <w:ind w:right="76"/>
                          <w:jc w:val="right"/>
                          <w:rPr>
                            <w:rFonts w:ascii="Calibri"/>
                            <w:sz w:val="18"/>
                          </w:rPr>
                        </w:pPr>
                        <w:r>
                          <w:rPr>
                            <w:rFonts w:ascii="Calibri"/>
                            <w:sz w:val="18"/>
                          </w:rPr>
                          <w:t>Servicios Personales</w:t>
                        </w:r>
                      </w:p>
                    </w:tc>
                    <w:tc>
                      <w:tcPr>
                        <w:tcW w:w="1652" w:type="dxa"/>
                        <w:tcBorders>
                          <w:left w:val="single" w:sz="4" w:space="0" w:color="4F81BC"/>
                        </w:tcBorders>
                        <w:shd w:val="clear" w:color="auto" w:fill="DBE4F0"/>
                      </w:tcPr>
                      <w:p>
                        <w:pPr>
                          <w:pStyle w:val="TableParagraph"/>
                          <w:spacing w:before="78"/>
                          <w:ind w:right="103"/>
                          <w:jc w:val="right"/>
                          <w:rPr>
                            <w:rFonts w:ascii="Calibri"/>
                            <w:sz w:val="18"/>
                          </w:rPr>
                        </w:pPr>
                        <w:r>
                          <w:rPr>
                            <w:rFonts w:ascii="Calibri"/>
                            <w:sz w:val="18"/>
                          </w:rPr>
                          <w:t>31,924,560.26</w:t>
                        </w:r>
                      </w:p>
                    </w:tc>
                    <w:tc>
                      <w:tcPr>
                        <w:tcW w:w="1226" w:type="dxa"/>
                        <w:shd w:val="clear" w:color="auto" w:fill="DBE4F0"/>
                      </w:tcPr>
                      <w:p>
                        <w:pPr>
                          <w:pStyle w:val="TableParagraph"/>
                          <w:spacing w:before="78"/>
                          <w:ind w:left="302"/>
                          <w:rPr>
                            <w:rFonts w:ascii="Calibri"/>
                            <w:sz w:val="18"/>
                          </w:rPr>
                        </w:pPr>
                        <w:r>
                          <w:rPr>
                            <w:rFonts w:ascii="Calibri"/>
                            <w:sz w:val="18"/>
                          </w:rPr>
                          <w:t>46.32</w:t>
                        </w:r>
                      </w:p>
                    </w:tc>
                    <w:tc>
                      <w:tcPr>
                        <w:tcW w:w="1469" w:type="dxa"/>
                        <w:shd w:val="clear" w:color="auto" w:fill="DBE4F0"/>
                      </w:tcPr>
                      <w:p>
                        <w:pPr>
                          <w:pStyle w:val="TableParagraph"/>
                          <w:spacing w:before="78"/>
                          <w:ind w:right="103"/>
                          <w:jc w:val="right"/>
                          <w:rPr>
                            <w:rFonts w:ascii="Calibri"/>
                            <w:sz w:val="18"/>
                          </w:rPr>
                        </w:pPr>
                        <w:r>
                          <w:rPr>
                            <w:rFonts w:ascii="Calibri"/>
                            <w:sz w:val="18"/>
                          </w:rPr>
                          <w:t>35,923,842.60</w:t>
                        </w:r>
                      </w:p>
                    </w:tc>
                    <w:tc>
                      <w:tcPr>
                        <w:tcW w:w="1279" w:type="dxa"/>
                        <w:shd w:val="clear" w:color="auto" w:fill="DBE4F0"/>
                      </w:tcPr>
                      <w:p>
                        <w:pPr>
                          <w:pStyle w:val="TableParagraph"/>
                          <w:spacing w:before="78"/>
                          <w:ind w:left="300"/>
                          <w:rPr>
                            <w:rFonts w:ascii="Calibri"/>
                            <w:sz w:val="18"/>
                          </w:rPr>
                        </w:pPr>
                        <w:r>
                          <w:rPr>
                            <w:rFonts w:ascii="Calibri"/>
                            <w:sz w:val="18"/>
                          </w:rPr>
                          <w:t>44.99</w:t>
                        </w:r>
                      </w:p>
                    </w:tc>
                    <w:tc>
                      <w:tcPr>
                        <w:tcW w:w="1520" w:type="dxa"/>
                        <w:shd w:val="clear" w:color="auto" w:fill="DBE4F0"/>
                      </w:tcPr>
                      <w:p>
                        <w:pPr>
                          <w:pStyle w:val="TableParagraph"/>
                          <w:spacing w:before="78"/>
                          <w:ind w:right="100"/>
                          <w:jc w:val="right"/>
                          <w:rPr>
                            <w:rFonts w:ascii="Calibri"/>
                            <w:sz w:val="18"/>
                          </w:rPr>
                        </w:pPr>
                        <w:r>
                          <w:rPr>
                            <w:rFonts w:ascii="Calibri"/>
                            <w:sz w:val="18"/>
                          </w:rPr>
                          <w:t>37,205,004.96</w:t>
                        </w:r>
                      </w:p>
                    </w:tc>
                    <w:tc>
                      <w:tcPr>
                        <w:tcW w:w="937" w:type="dxa"/>
                        <w:shd w:val="clear" w:color="auto" w:fill="DBE4F0"/>
                      </w:tcPr>
                      <w:p>
                        <w:pPr>
                          <w:pStyle w:val="TableParagraph"/>
                          <w:spacing w:before="78"/>
                          <w:ind w:left="250"/>
                          <w:rPr>
                            <w:rFonts w:ascii="Calibri"/>
                            <w:sz w:val="18"/>
                          </w:rPr>
                        </w:pPr>
                        <w:r>
                          <w:rPr>
                            <w:rFonts w:ascii="Calibri"/>
                            <w:sz w:val="18"/>
                          </w:rPr>
                          <w:t>35.43</w:t>
                        </w:r>
                      </w:p>
                    </w:tc>
                  </w:tr>
                  <w:tr>
                    <w:trPr>
                      <w:trHeight w:val="739" w:hRule="atLeast"/>
                    </w:trPr>
                    <w:tc>
                      <w:tcPr>
                        <w:tcW w:w="2551" w:type="dxa"/>
                        <w:tcBorders>
                          <w:right w:val="single" w:sz="4" w:space="0" w:color="4F81BC"/>
                        </w:tcBorders>
                        <w:shd w:val="clear" w:color="auto" w:fill="E4DFEB"/>
                      </w:tcPr>
                      <w:p>
                        <w:pPr>
                          <w:pStyle w:val="TableParagraph"/>
                          <w:spacing w:before="78"/>
                          <w:ind w:right="76"/>
                          <w:jc w:val="right"/>
                          <w:rPr>
                            <w:rFonts w:ascii="Calibri"/>
                            <w:sz w:val="18"/>
                          </w:rPr>
                        </w:pPr>
                        <w:r>
                          <w:rPr>
                            <w:rFonts w:ascii="Calibri"/>
                            <w:sz w:val="18"/>
                          </w:rPr>
                          <w:t>Materiales y Suministros</w:t>
                        </w:r>
                      </w:p>
                    </w:tc>
                    <w:tc>
                      <w:tcPr>
                        <w:tcW w:w="1652" w:type="dxa"/>
                        <w:tcBorders>
                          <w:left w:val="single" w:sz="4" w:space="0" w:color="4F81BC"/>
                        </w:tcBorders>
                      </w:tcPr>
                      <w:p>
                        <w:pPr>
                          <w:pStyle w:val="TableParagraph"/>
                          <w:spacing w:before="78"/>
                          <w:ind w:right="103"/>
                          <w:jc w:val="right"/>
                          <w:rPr>
                            <w:rFonts w:ascii="Calibri"/>
                            <w:sz w:val="18"/>
                          </w:rPr>
                        </w:pPr>
                        <w:r>
                          <w:rPr>
                            <w:rFonts w:ascii="Calibri"/>
                            <w:sz w:val="18"/>
                          </w:rPr>
                          <w:t>6,876,715.32</w:t>
                        </w:r>
                      </w:p>
                    </w:tc>
                    <w:tc>
                      <w:tcPr>
                        <w:tcW w:w="1226" w:type="dxa"/>
                      </w:tcPr>
                      <w:p>
                        <w:pPr>
                          <w:pStyle w:val="TableParagraph"/>
                          <w:spacing w:before="78"/>
                          <w:ind w:left="347"/>
                          <w:rPr>
                            <w:rFonts w:ascii="Calibri"/>
                            <w:sz w:val="18"/>
                          </w:rPr>
                        </w:pPr>
                        <w:r>
                          <w:rPr>
                            <w:rFonts w:ascii="Calibri"/>
                            <w:sz w:val="18"/>
                          </w:rPr>
                          <w:t>9.98</w:t>
                        </w:r>
                      </w:p>
                    </w:tc>
                    <w:tc>
                      <w:tcPr>
                        <w:tcW w:w="1469" w:type="dxa"/>
                      </w:tcPr>
                      <w:p>
                        <w:pPr>
                          <w:pStyle w:val="TableParagraph"/>
                          <w:spacing w:before="78"/>
                          <w:ind w:right="103"/>
                          <w:jc w:val="right"/>
                          <w:rPr>
                            <w:rFonts w:ascii="Calibri"/>
                            <w:sz w:val="18"/>
                          </w:rPr>
                        </w:pPr>
                        <w:r>
                          <w:rPr>
                            <w:rFonts w:ascii="Calibri"/>
                            <w:sz w:val="18"/>
                          </w:rPr>
                          <w:t>10,354,721.97</w:t>
                        </w:r>
                      </w:p>
                    </w:tc>
                    <w:tc>
                      <w:tcPr>
                        <w:tcW w:w="1279" w:type="dxa"/>
                      </w:tcPr>
                      <w:p>
                        <w:pPr>
                          <w:pStyle w:val="TableParagraph"/>
                          <w:spacing w:before="78"/>
                          <w:ind w:left="300"/>
                          <w:rPr>
                            <w:rFonts w:ascii="Calibri"/>
                            <w:sz w:val="18"/>
                          </w:rPr>
                        </w:pPr>
                        <w:r>
                          <w:rPr>
                            <w:rFonts w:ascii="Calibri"/>
                            <w:sz w:val="18"/>
                          </w:rPr>
                          <w:t>12.97</w:t>
                        </w:r>
                      </w:p>
                    </w:tc>
                    <w:tc>
                      <w:tcPr>
                        <w:tcW w:w="1520" w:type="dxa"/>
                      </w:tcPr>
                      <w:p>
                        <w:pPr>
                          <w:pStyle w:val="TableParagraph"/>
                          <w:spacing w:before="78"/>
                          <w:ind w:right="100"/>
                          <w:jc w:val="right"/>
                          <w:rPr>
                            <w:rFonts w:ascii="Calibri"/>
                            <w:sz w:val="18"/>
                          </w:rPr>
                        </w:pPr>
                        <w:r>
                          <w:rPr>
                            <w:rFonts w:ascii="Calibri"/>
                            <w:sz w:val="18"/>
                          </w:rPr>
                          <w:t>12,170,258.79</w:t>
                        </w:r>
                      </w:p>
                    </w:tc>
                    <w:tc>
                      <w:tcPr>
                        <w:tcW w:w="937" w:type="dxa"/>
                      </w:tcPr>
                      <w:p>
                        <w:pPr>
                          <w:pStyle w:val="TableParagraph"/>
                          <w:spacing w:before="78"/>
                          <w:ind w:left="250"/>
                          <w:rPr>
                            <w:rFonts w:ascii="Calibri"/>
                            <w:sz w:val="18"/>
                          </w:rPr>
                        </w:pPr>
                        <w:r>
                          <w:rPr>
                            <w:rFonts w:ascii="Calibri"/>
                            <w:sz w:val="18"/>
                          </w:rPr>
                          <w:t>11.59</w:t>
                        </w:r>
                      </w:p>
                    </w:tc>
                  </w:tr>
                  <w:tr>
                    <w:trPr>
                      <w:trHeight w:val="739" w:hRule="atLeast"/>
                    </w:trPr>
                    <w:tc>
                      <w:tcPr>
                        <w:tcW w:w="2551" w:type="dxa"/>
                        <w:tcBorders>
                          <w:right w:val="single" w:sz="4" w:space="0" w:color="4F81BC"/>
                        </w:tcBorders>
                        <w:shd w:val="clear" w:color="auto" w:fill="E4DFEB"/>
                      </w:tcPr>
                      <w:p>
                        <w:pPr>
                          <w:pStyle w:val="TableParagraph"/>
                          <w:spacing w:before="80"/>
                          <w:ind w:right="76"/>
                          <w:jc w:val="right"/>
                          <w:rPr>
                            <w:rFonts w:ascii="Calibri"/>
                            <w:sz w:val="18"/>
                          </w:rPr>
                        </w:pPr>
                        <w:r>
                          <w:rPr>
                            <w:rFonts w:ascii="Calibri"/>
                            <w:sz w:val="18"/>
                          </w:rPr>
                          <w:t>Servicios Generales</w:t>
                        </w:r>
                      </w:p>
                    </w:tc>
                    <w:tc>
                      <w:tcPr>
                        <w:tcW w:w="1652" w:type="dxa"/>
                        <w:tcBorders>
                          <w:left w:val="single" w:sz="4" w:space="0" w:color="4F81BC"/>
                        </w:tcBorders>
                        <w:shd w:val="clear" w:color="auto" w:fill="DBE4F0"/>
                      </w:tcPr>
                      <w:p>
                        <w:pPr>
                          <w:pStyle w:val="TableParagraph"/>
                          <w:spacing w:before="80"/>
                          <w:ind w:right="103"/>
                          <w:jc w:val="right"/>
                          <w:rPr>
                            <w:rFonts w:ascii="Calibri"/>
                            <w:sz w:val="18"/>
                          </w:rPr>
                        </w:pPr>
                        <w:r>
                          <w:rPr>
                            <w:rFonts w:ascii="Calibri"/>
                            <w:sz w:val="18"/>
                          </w:rPr>
                          <w:t>7,125,647.86</w:t>
                        </w:r>
                      </w:p>
                    </w:tc>
                    <w:tc>
                      <w:tcPr>
                        <w:tcW w:w="1226" w:type="dxa"/>
                        <w:shd w:val="clear" w:color="auto" w:fill="DBE4F0"/>
                      </w:tcPr>
                      <w:p>
                        <w:pPr>
                          <w:pStyle w:val="TableParagraph"/>
                          <w:spacing w:before="80"/>
                          <w:ind w:left="302"/>
                          <w:rPr>
                            <w:rFonts w:ascii="Calibri"/>
                            <w:sz w:val="18"/>
                          </w:rPr>
                        </w:pPr>
                        <w:r>
                          <w:rPr>
                            <w:rFonts w:ascii="Calibri"/>
                            <w:sz w:val="18"/>
                          </w:rPr>
                          <w:t>10.34</w:t>
                        </w:r>
                      </w:p>
                    </w:tc>
                    <w:tc>
                      <w:tcPr>
                        <w:tcW w:w="1469" w:type="dxa"/>
                        <w:shd w:val="clear" w:color="auto" w:fill="DBE4F0"/>
                      </w:tcPr>
                      <w:p>
                        <w:pPr>
                          <w:pStyle w:val="TableParagraph"/>
                          <w:spacing w:before="80"/>
                          <w:ind w:right="103"/>
                          <w:jc w:val="right"/>
                          <w:rPr>
                            <w:rFonts w:ascii="Calibri"/>
                            <w:sz w:val="18"/>
                          </w:rPr>
                        </w:pPr>
                        <w:r>
                          <w:rPr>
                            <w:rFonts w:ascii="Calibri"/>
                            <w:sz w:val="18"/>
                          </w:rPr>
                          <w:t>7,720,766.11</w:t>
                        </w:r>
                      </w:p>
                    </w:tc>
                    <w:tc>
                      <w:tcPr>
                        <w:tcW w:w="1279" w:type="dxa"/>
                        <w:shd w:val="clear" w:color="auto" w:fill="DBE4F0"/>
                      </w:tcPr>
                      <w:p>
                        <w:pPr>
                          <w:pStyle w:val="TableParagraph"/>
                          <w:spacing w:before="80"/>
                          <w:ind w:left="346"/>
                          <w:rPr>
                            <w:rFonts w:ascii="Calibri"/>
                            <w:sz w:val="18"/>
                          </w:rPr>
                        </w:pPr>
                        <w:r>
                          <w:rPr>
                            <w:rFonts w:ascii="Calibri"/>
                            <w:sz w:val="18"/>
                          </w:rPr>
                          <w:t>9.67</w:t>
                        </w:r>
                      </w:p>
                    </w:tc>
                    <w:tc>
                      <w:tcPr>
                        <w:tcW w:w="1520" w:type="dxa"/>
                        <w:shd w:val="clear" w:color="auto" w:fill="DBE4F0"/>
                      </w:tcPr>
                      <w:p>
                        <w:pPr>
                          <w:pStyle w:val="TableParagraph"/>
                          <w:spacing w:before="80"/>
                          <w:ind w:right="100"/>
                          <w:jc w:val="right"/>
                          <w:rPr>
                            <w:rFonts w:ascii="Calibri"/>
                            <w:sz w:val="18"/>
                          </w:rPr>
                        </w:pPr>
                        <w:r>
                          <w:rPr>
                            <w:rFonts w:ascii="Calibri"/>
                            <w:sz w:val="18"/>
                          </w:rPr>
                          <w:t>8,606,482.53</w:t>
                        </w:r>
                      </w:p>
                    </w:tc>
                    <w:tc>
                      <w:tcPr>
                        <w:tcW w:w="937" w:type="dxa"/>
                        <w:shd w:val="clear" w:color="auto" w:fill="DBE4F0"/>
                      </w:tcPr>
                      <w:p>
                        <w:pPr>
                          <w:pStyle w:val="TableParagraph"/>
                          <w:spacing w:before="80"/>
                          <w:ind w:left="295"/>
                          <w:rPr>
                            <w:rFonts w:ascii="Calibri"/>
                            <w:sz w:val="18"/>
                          </w:rPr>
                        </w:pPr>
                        <w:r>
                          <w:rPr>
                            <w:rFonts w:ascii="Calibri"/>
                            <w:sz w:val="18"/>
                          </w:rPr>
                          <w:t>8.20</w:t>
                        </w:r>
                      </w:p>
                    </w:tc>
                  </w:tr>
                  <w:tr>
                    <w:trPr>
                      <w:trHeight w:val="741" w:hRule="atLeast"/>
                    </w:trPr>
                    <w:tc>
                      <w:tcPr>
                        <w:tcW w:w="2551" w:type="dxa"/>
                        <w:tcBorders>
                          <w:right w:val="single" w:sz="4" w:space="0" w:color="4F81BC"/>
                        </w:tcBorders>
                        <w:shd w:val="clear" w:color="auto" w:fill="E4DFEB"/>
                      </w:tcPr>
                      <w:p>
                        <w:pPr>
                          <w:pStyle w:val="TableParagraph"/>
                          <w:spacing w:before="80"/>
                          <w:ind w:right="72"/>
                          <w:jc w:val="right"/>
                          <w:rPr>
                            <w:sz w:val="18"/>
                          </w:rPr>
                        </w:pPr>
                        <w:r>
                          <w:rPr>
                            <w:sz w:val="18"/>
                          </w:rPr>
                          <w:t>Subsidios y Subvenciones</w:t>
                        </w:r>
                      </w:p>
                    </w:tc>
                    <w:tc>
                      <w:tcPr>
                        <w:tcW w:w="1652" w:type="dxa"/>
                        <w:tcBorders>
                          <w:left w:val="single" w:sz="4" w:space="0" w:color="4F81BC"/>
                        </w:tcBorders>
                      </w:tcPr>
                      <w:p>
                        <w:pPr>
                          <w:pStyle w:val="TableParagraph"/>
                          <w:spacing w:before="80"/>
                          <w:ind w:right="103"/>
                          <w:jc w:val="right"/>
                          <w:rPr>
                            <w:sz w:val="18"/>
                          </w:rPr>
                        </w:pPr>
                        <w:r>
                          <w:rPr>
                            <w:sz w:val="18"/>
                          </w:rPr>
                          <w:t>2,368,719.00</w:t>
                        </w:r>
                      </w:p>
                    </w:tc>
                    <w:tc>
                      <w:tcPr>
                        <w:tcW w:w="1226" w:type="dxa"/>
                      </w:tcPr>
                      <w:p>
                        <w:pPr>
                          <w:pStyle w:val="TableParagraph"/>
                          <w:spacing w:before="80"/>
                          <w:ind w:left="333"/>
                          <w:rPr>
                            <w:sz w:val="18"/>
                          </w:rPr>
                        </w:pPr>
                        <w:r>
                          <w:rPr>
                            <w:sz w:val="18"/>
                          </w:rPr>
                          <w:t>3.44</w:t>
                        </w:r>
                      </w:p>
                    </w:tc>
                    <w:tc>
                      <w:tcPr>
                        <w:tcW w:w="1469" w:type="dxa"/>
                      </w:tcPr>
                      <w:p>
                        <w:pPr>
                          <w:pStyle w:val="TableParagraph"/>
                          <w:spacing w:before="80"/>
                          <w:ind w:right="102"/>
                          <w:jc w:val="right"/>
                          <w:rPr>
                            <w:sz w:val="18"/>
                          </w:rPr>
                        </w:pPr>
                        <w:r>
                          <w:rPr>
                            <w:sz w:val="18"/>
                          </w:rPr>
                          <w:t>3,488,758.96</w:t>
                        </w:r>
                      </w:p>
                    </w:tc>
                    <w:tc>
                      <w:tcPr>
                        <w:tcW w:w="1279" w:type="dxa"/>
                      </w:tcPr>
                      <w:p>
                        <w:pPr>
                          <w:pStyle w:val="TableParagraph"/>
                          <w:spacing w:before="80"/>
                          <w:ind w:left="331"/>
                          <w:rPr>
                            <w:sz w:val="18"/>
                          </w:rPr>
                        </w:pPr>
                        <w:r>
                          <w:rPr>
                            <w:sz w:val="18"/>
                          </w:rPr>
                          <w:t>4.37</w:t>
                        </w:r>
                      </w:p>
                    </w:tc>
                    <w:tc>
                      <w:tcPr>
                        <w:tcW w:w="1520" w:type="dxa"/>
                      </w:tcPr>
                      <w:p>
                        <w:pPr>
                          <w:pStyle w:val="TableParagraph"/>
                          <w:spacing w:before="80"/>
                          <w:ind w:right="100"/>
                          <w:jc w:val="right"/>
                          <w:rPr>
                            <w:sz w:val="18"/>
                          </w:rPr>
                        </w:pPr>
                        <w:r>
                          <w:rPr>
                            <w:sz w:val="18"/>
                          </w:rPr>
                          <w:t>2,541,959.92</w:t>
                        </w:r>
                      </w:p>
                    </w:tc>
                    <w:tc>
                      <w:tcPr>
                        <w:tcW w:w="937" w:type="dxa"/>
                      </w:tcPr>
                      <w:p>
                        <w:pPr>
                          <w:pStyle w:val="TableParagraph"/>
                          <w:spacing w:before="80"/>
                          <w:ind w:left="281"/>
                          <w:rPr>
                            <w:sz w:val="18"/>
                          </w:rPr>
                        </w:pPr>
                        <w:r>
                          <w:rPr>
                            <w:sz w:val="18"/>
                          </w:rPr>
                          <w:t>2.42</w:t>
                        </w:r>
                      </w:p>
                    </w:tc>
                  </w:tr>
                  <w:tr>
                    <w:trPr>
                      <w:trHeight w:val="458" w:hRule="atLeast"/>
                    </w:trPr>
                    <w:tc>
                      <w:tcPr>
                        <w:tcW w:w="2551" w:type="dxa"/>
                        <w:tcBorders>
                          <w:right w:val="single" w:sz="4" w:space="0" w:color="4F81BC"/>
                        </w:tcBorders>
                        <w:shd w:val="clear" w:color="auto" w:fill="E4DFEB"/>
                      </w:tcPr>
                      <w:p>
                        <w:pPr>
                          <w:pStyle w:val="TableParagraph"/>
                          <w:spacing w:before="78"/>
                          <w:ind w:right="74"/>
                          <w:jc w:val="right"/>
                          <w:rPr>
                            <w:sz w:val="18"/>
                          </w:rPr>
                        </w:pPr>
                        <w:r>
                          <w:rPr>
                            <w:sz w:val="18"/>
                          </w:rPr>
                          <w:t>Ayudas Sociales</w:t>
                        </w:r>
                      </w:p>
                    </w:tc>
                    <w:tc>
                      <w:tcPr>
                        <w:tcW w:w="1652" w:type="dxa"/>
                        <w:tcBorders>
                          <w:left w:val="single" w:sz="4" w:space="0" w:color="4F81BC"/>
                        </w:tcBorders>
                        <w:shd w:val="clear" w:color="auto" w:fill="DBE4F0"/>
                      </w:tcPr>
                      <w:p>
                        <w:pPr>
                          <w:pStyle w:val="TableParagraph"/>
                          <w:spacing w:before="78"/>
                          <w:ind w:right="103"/>
                          <w:jc w:val="right"/>
                          <w:rPr>
                            <w:sz w:val="18"/>
                          </w:rPr>
                        </w:pPr>
                        <w:r>
                          <w:rPr>
                            <w:sz w:val="18"/>
                          </w:rPr>
                          <w:t>298,512.70</w:t>
                        </w:r>
                      </w:p>
                    </w:tc>
                    <w:tc>
                      <w:tcPr>
                        <w:tcW w:w="1226" w:type="dxa"/>
                        <w:shd w:val="clear" w:color="auto" w:fill="DBE4F0"/>
                      </w:tcPr>
                      <w:p>
                        <w:pPr>
                          <w:pStyle w:val="TableParagraph"/>
                          <w:spacing w:before="78"/>
                          <w:ind w:left="333"/>
                          <w:rPr>
                            <w:sz w:val="18"/>
                          </w:rPr>
                        </w:pPr>
                        <w:r>
                          <w:rPr>
                            <w:sz w:val="18"/>
                          </w:rPr>
                          <w:t>0.43</w:t>
                        </w:r>
                      </w:p>
                    </w:tc>
                    <w:tc>
                      <w:tcPr>
                        <w:tcW w:w="1469" w:type="dxa"/>
                        <w:shd w:val="clear" w:color="auto" w:fill="DBE4F0"/>
                      </w:tcPr>
                      <w:p>
                        <w:pPr>
                          <w:pStyle w:val="TableParagraph"/>
                          <w:spacing w:before="78"/>
                          <w:ind w:right="102"/>
                          <w:jc w:val="right"/>
                          <w:rPr>
                            <w:sz w:val="18"/>
                          </w:rPr>
                        </w:pPr>
                        <w:r>
                          <w:rPr>
                            <w:sz w:val="18"/>
                          </w:rPr>
                          <w:t>596,429.60</w:t>
                        </w:r>
                      </w:p>
                    </w:tc>
                    <w:tc>
                      <w:tcPr>
                        <w:tcW w:w="1279" w:type="dxa"/>
                        <w:shd w:val="clear" w:color="auto" w:fill="DBE4F0"/>
                      </w:tcPr>
                      <w:p>
                        <w:pPr>
                          <w:pStyle w:val="TableParagraph"/>
                          <w:spacing w:before="78"/>
                          <w:ind w:left="331"/>
                          <w:rPr>
                            <w:sz w:val="18"/>
                          </w:rPr>
                        </w:pPr>
                        <w:r>
                          <w:rPr>
                            <w:sz w:val="18"/>
                          </w:rPr>
                          <w:t>0.75</w:t>
                        </w:r>
                      </w:p>
                    </w:tc>
                    <w:tc>
                      <w:tcPr>
                        <w:tcW w:w="1520" w:type="dxa"/>
                        <w:shd w:val="clear" w:color="auto" w:fill="DBE4F0"/>
                      </w:tcPr>
                      <w:p>
                        <w:pPr>
                          <w:pStyle w:val="TableParagraph"/>
                          <w:spacing w:before="78"/>
                          <w:ind w:right="100"/>
                          <w:jc w:val="right"/>
                          <w:rPr>
                            <w:sz w:val="18"/>
                          </w:rPr>
                        </w:pPr>
                        <w:r>
                          <w:rPr>
                            <w:sz w:val="18"/>
                          </w:rPr>
                          <w:t>620,425.26</w:t>
                        </w:r>
                      </w:p>
                    </w:tc>
                    <w:tc>
                      <w:tcPr>
                        <w:tcW w:w="937" w:type="dxa"/>
                        <w:shd w:val="clear" w:color="auto" w:fill="DBE4F0"/>
                      </w:tcPr>
                      <w:p>
                        <w:pPr>
                          <w:pStyle w:val="TableParagraph"/>
                          <w:spacing w:before="78"/>
                          <w:ind w:left="281"/>
                          <w:rPr>
                            <w:sz w:val="18"/>
                          </w:rPr>
                        </w:pPr>
                        <w:r>
                          <w:rPr>
                            <w:sz w:val="18"/>
                          </w:rPr>
                          <w:t>0.59</w:t>
                        </w:r>
                      </w:p>
                    </w:tc>
                  </w:tr>
                  <w:tr>
                    <w:trPr>
                      <w:trHeight w:val="734" w:hRule="atLeast"/>
                    </w:trPr>
                    <w:tc>
                      <w:tcPr>
                        <w:tcW w:w="2551" w:type="dxa"/>
                        <w:tcBorders>
                          <w:bottom w:val="single" w:sz="34" w:space="0" w:color="FFFFFF"/>
                          <w:right w:val="single" w:sz="4" w:space="0" w:color="4F81BC"/>
                        </w:tcBorders>
                        <w:shd w:val="clear" w:color="auto" w:fill="E4DFEB"/>
                      </w:tcPr>
                      <w:p>
                        <w:pPr>
                          <w:pStyle w:val="TableParagraph"/>
                          <w:spacing w:before="80"/>
                          <w:ind w:right="72"/>
                          <w:jc w:val="right"/>
                          <w:rPr>
                            <w:sz w:val="18"/>
                          </w:rPr>
                        </w:pPr>
                        <w:r>
                          <w:rPr>
                            <w:sz w:val="18"/>
                          </w:rPr>
                          <w:t>Pensiones y Jubilaciones</w:t>
                        </w:r>
                      </w:p>
                    </w:tc>
                    <w:tc>
                      <w:tcPr>
                        <w:tcW w:w="1652" w:type="dxa"/>
                        <w:tcBorders>
                          <w:left w:val="single" w:sz="4" w:space="0" w:color="4F81BC"/>
                          <w:bottom w:val="single" w:sz="34" w:space="0" w:color="FFFFFF"/>
                        </w:tcBorders>
                      </w:tcPr>
                      <w:p>
                        <w:pPr>
                          <w:pStyle w:val="TableParagraph"/>
                          <w:rPr>
                            <w:rFonts w:ascii="Times New Roman"/>
                            <w:sz w:val="18"/>
                          </w:rPr>
                        </w:pPr>
                      </w:p>
                    </w:tc>
                    <w:tc>
                      <w:tcPr>
                        <w:tcW w:w="1226" w:type="dxa"/>
                        <w:tcBorders>
                          <w:bottom w:val="single" w:sz="34" w:space="0" w:color="FFFFFF"/>
                        </w:tcBorders>
                      </w:tcPr>
                      <w:p>
                        <w:pPr>
                          <w:pStyle w:val="TableParagraph"/>
                          <w:rPr>
                            <w:rFonts w:ascii="Times New Roman"/>
                            <w:sz w:val="18"/>
                          </w:rPr>
                        </w:pPr>
                      </w:p>
                    </w:tc>
                    <w:tc>
                      <w:tcPr>
                        <w:tcW w:w="1469" w:type="dxa"/>
                        <w:tcBorders>
                          <w:bottom w:val="single" w:sz="34" w:space="0" w:color="FFFFFF"/>
                        </w:tcBorders>
                      </w:tcPr>
                      <w:p>
                        <w:pPr>
                          <w:pStyle w:val="TableParagraph"/>
                          <w:rPr>
                            <w:rFonts w:ascii="Times New Roman"/>
                            <w:sz w:val="18"/>
                          </w:rPr>
                        </w:pPr>
                      </w:p>
                    </w:tc>
                    <w:tc>
                      <w:tcPr>
                        <w:tcW w:w="1279" w:type="dxa"/>
                        <w:tcBorders>
                          <w:bottom w:val="single" w:sz="34" w:space="0" w:color="FFFFFF"/>
                        </w:tcBorders>
                      </w:tcPr>
                      <w:p>
                        <w:pPr>
                          <w:pStyle w:val="TableParagraph"/>
                          <w:rPr>
                            <w:rFonts w:ascii="Times New Roman"/>
                            <w:sz w:val="18"/>
                          </w:rPr>
                        </w:pPr>
                      </w:p>
                    </w:tc>
                    <w:tc>
                      <w:tcPr>
                        <w:tcW w:w="1520" w:type="dxa"/>
                        <w:tcBorders>
                          <w:bottom w:val="single" w:sz="34" w:space="0" w:color="FFFFFF"/>
                        </w:tcBorders>
                      </w:tcPr>
                      <w:p>
                        <w:pPr>
                          <w:pStyle w:val="TableParagraph"/>
                          <w:spacing w:before="80"/>
                          <w:ind w:right="100"/>
                          <w:jc w:val="right"/>
                          <w:rPr>
                            <w:sz w:val="18"/>
                          </w:rPr>
                        </w:pPr>
                        <w:r>
                          <w:rPr>
                            <w:sz w:val="18"/>
                          </w:rPr>
                          <w:t>691,005.77</w:t>
                        </w:r>
                      </w:p>
                    </w:tc>
                    <w:tc>
                      <w:tcPr>
                        <w:tcW w:w="937" w:type="dxa"/>
                        <w:tcBorders>
                          <w:bottom w:val="single" w:sz="34" w:space="0" w:color="FFFFFF"/>
                        </w:tcBorders>
                      </w:tcPr>
                      <w:p>
                        <w:pPr>
                          <w:pStyle w:val="TableParagraph"/>
                          <w:spacing w:before="80"/>
                          <w:ind w:left="281"/>
                          <w:rPr>
                            <w:sz w:val="18"/>
                          </w:rPr>
                        </w:pPr>
                        <w:r>
                          <w:rPr>
                            <w:sz w:val="18"/>
                          </w:rPr>
                          <w:t>0.66</w:t>
                        </w:r>
                      </w:p>
                    </w:tc>
                  </w:tr>
                </w:tbl>
                <w:p>
                  <w:pPr>
                    <w:pStyle w:val="BodyText"/>
                  </w:pPr>
                </w:p>
              </w:txbxContent>
            </v:textbox>
            <w10:wrap type="none"/>
          </v:shape>
        </w:pict>
      </w:r>
      <w:r>
        <w:rPr/>
        <w:t>TABLA 10. EGRESOS MUNICIPALES</w:t>
      </w:r>
    </w:p>
    <w:p>
      <w:pPr>
        <w:spacing w:after="0"/>
        <w:jc w:val="center"/>
        <w:sectPr>
          <w:pgSz w:w="12240" w:h="15840"/>
          <w:pgMar w:header="178" w:footer="1179" w:top="1120" w:bottom="1500" w:left="460" w:right="220"/>
        </w:sectPr>
      </w:pPr>
    </w:p>
    <w:p>
      <w:pPr>
        <w:pStyle w:val="BodyText"/>
        <w:rPr>
          <w:sz w:val="20"/>
        </w:rPr>
      </w:pPr>
    </w:p>
    <w:p>
      <w:pPr>
        <w:pStyle w:val="BodyText"/>
        <w:spacing w:before="1"/>
        <w:rPr>
          <w:sz w:val="21"/>
        </w:rPr>
      </w:pPr>
    </w:p>
    <w:tbl>
      <w:tblPr>
        <w:tblW w:w="0" w:type="auto"/>
        <w:jc w:val="left"/>
        <w:tblInd w:w="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51"/>
        <w:gridCol w:w="1717"/>
        <w:gridCol w:w="1050"/>
        <w:gridCol w:w="1646"/>
        <w:gridCol w:w="1052"/>
        <w:gridCol w:w="1724"/>
        <w:gridCol w:w="898"/>
      </w:tblGrid>
      <w:tr>
        <w:trPr>
          <w:trHeight w:val="739" w:hRule="atLeast"/>
        </w:trPr>
        <w:tc>
          <w:tcPr>
            <w:tcW w:w="2551" w:type="dxa"/>
          </w:tcPr>
          <w:p>
            <w:pPr>
              <w:pStyle w:val="TableParagraph"/>
              <w:spacing w:before="78"/>
              <w:ind w:right="77"/>
              <w:jc w:val="right"/>
              <w:rPr>
                <w:sz w:val="18"/>
              </w:rPr>
            </w:pPr>
            <w:r>
              <w:rPr>
                <w:sz w:val="18"/>
              </w:rPr>
              <w:t>Inversión publica</w:t>
            </w:r>
          </w:p>
        </w:tc>
        <w:tc>
          <w:tcPr>
            <w:tcW w:w="1717" w:type="dxa"/>
            <w:shd w:val="clear" w:color="auto" w:fill="DBE4F0"/>
          </w:tcPr>
          <w:p>
            <w:pPr>
              <w:pStyle w:val="TableParagraph"/>
              <w:spacing w:before="78"/>
              <w:ind w:right="168"/>
              <w:jc w:val="right"/>
              <w:rPr>
                <w:sz w:val="18"/>
              </w:rPr>
            </w:pPr>
            <w:r>
              <w:rPr>
                <w:sz w:val="18"/>
              </w:rPr>
              <w:t>18,898,401.27</w:t>
            </w:r>
          </w:p>
        </w:tc>
        <w:tc>
          <w:tcPr>
            <w:tcW w:w="1050" w:type="dxa"/>
            <w:shd w:val="clear" w:color="auto" w:fill="DBE4F0"/>
          </w:tcPr>
          <w:p>
            <w:pPr>
              <w:pStyle w:val="TableParagraph"/>
              <w:spacing w:before="78"/>
              <w:ind w:left="149" w:right="311"/>
              <w:jc w:val="center"/>
              <w:rPr>
                <w:sz w:val="18"/>
              </w:rPr>
            </w:pPr>
            <w:r>
              <w:rPr>
                <w:sz w:val="18"/>
              </w:rPr>
              <w:t>27.42</w:t>
            </w:r>
          </w:p>
        </w:tc>
        <w:tc>
          <w:tcPr>
            <w:tcW w:w="1646" w:type="dxa"/>
            <w:shd w:val="clear" w:color="auto" w:fill="DBE4F0"/>
          </w:tcPr>
          <w:p>
            <w:pPr>
              <w:pStyle w:val="TableParagraph"/>
              <w:spacing w:before="78"/>
              <w:ind w:right="168"/>
              <w:jc w:val="right"/>
              <w:rPr>
                <w:sz w:val="18"/>
              </w:rPr>
            </w:pPr>
            <w:r>
              <w:rPr>
                <w:sz w:val="18"/>
              </w:rPr>
              <w:t>19,119,906.85</w:t>
            </w:r>
          </w:p>
        </w:tc>
        <w:tc>
          <w:tcPr>
            <w:tcW w:w="1052" w:type="dxa"/>
            <w:shd w:val="clear" w:color="auto" w:fill="DBE4F0"/>
          </w:tcPr>
          <w:p>
            <w:pPr>
              <w:pStyle w:val="TableParagraph"/>
              <w:spacing w:before="78"/>
              <w:ind w:left="147" w:right="316"/>
              <w:jc w:val="center"/>
              <w:rPr>
                <w:sz w:val="18"/>
              </w:rPr>
            </w:pPr>
            <w:r>
              <w:rPr>
                <w:sz w:val="18"/>
              </w:rPr>
              <w:t>23.94</w:t>
            </w:r>
          </w:p>
        </w:tc>
        <w:tc>
          <w:tcPr>
            <w:tcW w:w="1724" w:type="dxa"/>
            <w:shd w:val="clear" w:color="auto" w:fill="DBE4F0"/>
          </w:tcPr>
          <w:p>
            <w:pPr>
              <w:pStyle w:val="TableParagraph"/>
              <w:spacing w:before="78"/>
              <w:ind w:right="143"/>
              <w:jc w:val="right"/>
              <w:rPr>
                <w:sz w:val="18"/>
              </w:rPr>
            </w:pPr>
            <w:r>
              <w:rPr>
                <w:sz w:val="18"/>
              </w:rPr>
              <w:t>40,327,974.61</w:t>
            </w:r>
          </w:p>
        </w:tc>
        <w:tc>
          <w:tcPr>
            <w:tcW w:w="898" w:type="dxa"/>
            <w:shd w:val="clear" w:color="auto" w:fill="DBE4F0"/>
          </w:tcPr>
          <w:p>
            <w:pPr>
              <w:pStyle w:val="TableParagraph"/>
              <w:spacing w:before="78"/>
              <w:ind w:left="119" w:right="189"/>
              <w:jc w:val="center"/>
              <w:rPr>
                <w:sz w:val="18"/>
              </w:rPr>
            </w:pPr>
            <w:r>
              <w:rPr>
                <w:sz w:val="18"/>
              </w:rPr>
              <w:t>38.40</w:t>
            </w:r>
          </w:p>
        </w:tc>
      </w:tr>
      <w:tr>
        <w:trPr>
          <w:trHeight w:val="741" w:hRule="atLeast"/>
        </w:trPr>
        <w:tc>
          <w:tcPr>
            <w:tcW w:w="2551" w:type="dxa"/>
          </w:tcPr>
          <w:p>
            <w:pPr>
              <w:pStyle w:val="TableParagraph"/>
              <w:spacing w:before="80"/>
              <w:ind w:right="80"/>
              <w:jc w:val="right"/>
              <w:rPr>
                <w:sz w:val="18"/>
              </w:rPr>
            </w:pPr>
            <w:r>
              <w:rPr>
                <w:sz w:val="18"/>
              </w:rPr>
              <w:t>Bienes muebles e</w:t>
            </w:r>
            <w:r>
              <w:rPr>
                <w:spacing w:val="-11"/>
                <w:sz w:val="18"/>
              </w:rPr>
              <w:t> </w:t>
            </w:r>
            <w:r>
              <w:rPr>
                <w:sz w:val="18"/>
              </w:rPr>
              <w:t>inmue-</w:t>
            </w:r>
          </w:p>
          <w:p>
            <w:pPr>
              <w:pStyle w:val="TableParagraph"/>
              <w:ind w:right="79"/>
              <w:jc w:val="right"/>
              <w:rPr>
                <w:sz w:val="18"/>
              </w:rPr>
            </w:pPr>
            <w:r>
              <w:rPr>
                <w:spacing w:val="-1"/>
                <w:sz w:val="18"/>
              </w:rPr>
              <w:t>bles</w:t>
            </w:r>
          </w:p>
        </w:tc>
        <w:tc>
          <w:tcPr>
            <w:tcW w:w="1717" w:type="dxa"/>
          </w:tcPr>
          <w:p>
            <w:pPr>
              <w:pStyle w:val="TableParagraph"/>
              <w:spacing w:before="80"/>
              <w:ind w:right="168"/>
              <w:jc w:val="right"/>
              <w:rPr>
                <w:sz w:val="18"/>
              </w:rPr>
            </w:pPr>
            <w:r>
              <w:rPr>
                <w:sz w:val="18"/>
              </w:rPr>
              <w:t>144,406.26</w:t>
            </w:r>
          </w:p>
        </w:tc>
        <w:tc>
          <w:tcPr>
            <w:tcW w:w="1050" w:type="dxa"/>
          </w:tcPr>
          <w:p>
            <w:pPr>
              <w:pStyle w:val="TableParagraph"/>
              <w:spacing w:before="80"/>
              <w:ind w:left="149" w:right="310"/>
              <w:jc w:val="center"/>
              <w:rPr>
                <w:sz w:val="18"/>
              </w:rPr>
            </w:pPr>
            <w:r>
              <w:rPr>
                <w:sz w:val="18"/>
              </w:rPr>
              <w:t>0.21</w:t>
            </w:r>
          </w:p>
        </w:tc>
        <w:tc>
          <w:tcPr>
            <w:tcW w:w="1646" w:type="dxa"/>
          </w:tcPr>
          <w:p>
            <w:pPr>
              <w:pStyle w:val="TableParagraph"/>
              <w:spacing w:before="80"/>
              <w:ind w:right="168"/>
              <w:jc w:val="right"/>
              <w:rPr>
                <w:sz w:val="18"/>
              </w:rPr>
            </w:pPr>
            <w:r>
              <w:rPr>
                <w:sz w:val="18"/>
              </w:rPr>
              <w:t>1,306,432.01</w:t>
            </w:r>
          </w:p>
        </w:tc>
        <w:tc>
          <w:tcPr>
            <w:tcW w:w="1052" w:type="dxa"/>
          </w:tcPr>
          <w:p>
            <w:pPr>
              <w:pStyle w:val="TableParagraph"/>
              <w:spacing w:before="80"/>
              <w:ind w:left="147" w:right="316"/>
              <w:jc w:val="center"/>
              <w:rPr>
                <w:sz w:val="18"/>
              </w:rPr>
            </w:pPr>
            <w:r>
              <w:rPr>
                <w:sz w:val="18"/>
              </w:rPr>
              <w:t>1.64</w:t>
            </w:r>
          </w:p>
        </w:tc>
        <w:tc>
          <w:tcPr>
            <w:tcW w:w="1724" w:type="dxa"/>
          </w:tcPr>
          <w:p>
            <w:pPr>
              <w:pStyle w:val="TableParagraph"/>
              <w:spacing w:before="80"/>
              <w:ind w:right="143"/>
              <w:jc w:val="right"/>
              <w:rPr>
                <w:sz w:val="18"/>
              </w:rPr>
            </w:pPr>
            <w:r>
              <w:rPr>
                <w:sz w:val="18"/>
              </w:rPr>
              <w:t>534,007.59</w:t>
            </w:r>
          </w:p>
        </w:tc>
        <w:tc>
          <w:tcPr>
            <w:tcW w:w="898" w:type="dxa"/>
          </w:tcPr>
          <w:p>
            <w:pPr>
              <w:pStyle w:val="TableParagraph"/>
              <w:spacing w:before="80"/>
              <w:ind w:left="119" w:right="189"/>
              <w:jc w:val="center"/>
              <w:rPr>
                <w:sz w:val="18"/>
              </w:rPr>
            </w:pPr>
            <w:r>
              <w:rPr>
                <w:sz w:val="18"/>
              </w:rPr>
              <w:t>0.51</w:t>
            </w:r>
          </w:p>
        </w:tc>
      </w:tr>
      <w:tr>
        <w:trPr>
          <w:trHeight w:val="739" w:hRule="atLeast"/>
        </w:trPr>
        <w:tc>
          <w:tcPr>
            <w:tcW w:w="2551" w:type="dxa"/>
          </w:tcPr>
          <w:p>
            <w:pPr>
              <w:pStyle w:val="TableParagraph"/>
              <w:spacing w:before="78"/>
              <w:ind w:right="79"/>
              <w:jc w:val="right"/>
              <w:rPr>
                <w:sz w:val="18"/>
              </w:rPr>
            </w:pPr>
            <w:r>
              <w:rPr>
                <w:sz w:val="18"/>
              </w:rPr>
              <w:t>Deuda</w:t>
            </w:r>
          </w:p>
        </w:tc>
        <w:tc>
          <w:tcPr>
            <w:tcW w:w="1717" w:type="dxa"/>
            <w:shd w:val="clear" w:color="auto" w:fill="DBE4F0"/>
          </w:tcPr>
          <w:p>
            <w:pPr>
              <w:pStyle w:val="TableParagraph"/>
              <w:spacing w:before="78"/>
              <w:ind w:right="168"/>
              <w:jc w:val="right"/>
              <w:rPr>
                <w:sz w:val="18"/>
              </w:rPr>
            </w:pPr>
            <w:r>
              <w:rPr>
                <w:sz w:val="18"/>
              </w:rPr>
              <w:t>1,286,628.90</w:t>
            </w:r>
          </w:p>
        </w:tc>
        <w:tc>
          <w:tcPr>
            <w:tcW w:w="1050" w:type="dxa"/>
            <w:shd w:val="clear" w:color="auto" w:fill="DBE4F0"/>
          </w:tcPr>
          <w:p>
            <w:pPr>
              <w:pStyle w:val="TableParagraph"/>
              <w:spacing w:before="78"/>
              <w:ind w:left="149" w:right="310"/>
              <w:jc w:val="center"/>
              <w:rPr>
                <w:sz w:val="18"/>
              </w:rPr>
            </w:pPr>
            <w:r>
              <w:rPr>
                <w:sz w:val="18"/>
              </w:rPr>
              <w:t>1.87</w:t>
            </w:r>
          </w:p>
        </w:tc>
        <w:tc>
          <w:tcPr>
            <w:tcW w:w="1646" w:type="dxa"/>
            <w:shd w:val="clear" w:color="auto" w:fill="DBE4F0"/>
          </w:tcPr>
          <w:p>
            <w:pPr>
              <w:pStyle w:val="TableParagraph"/>
              <w:spacing w:before="78"/>
              <w:ind w:right="168"/>
              <w:jc w:val="right"/>
              <w:rPr>
                <w:sz w:val="18"/>
              </w:rPr>
            </w:pPr>
            <w:r>
              <w:rPr>
                <w:sz w:val="18"/>
              </w:rPr>
              <w:t>1,340,799.61</w:t>
            </w:r>
          </w:p>
        </w:tc>
        <w:tc>
          <w:tcPr>
            <w:tcW w:w="1052" w:type="dxa"/>
            <w:shd w:val="clear" w:color="auto" w:fill="DBE4F0"/>
          </w:tcPr>
          <w:p>
            <w:pPr>
              <w:pStyle w:val="TableParagraph"/>
              <w:spacing w:before="78"/>
              <w:ind w:left="147" w:right="316"/>
              <w:jc w:val="center"/>
              <w:rPr>
                <w:sz w:val="18"/>
              </w:rPr>
            </w:pPr>
            <w:r>
              <w:rPr>
                <w:sz w:val="18"/>
              </w:rPr>
              <w:t>1.68</w:t>
            </w:r>
          </w:p>
        </w:tc>
        <w:tc>
          <w:tcPr>
            <w:tcW w:w="1724" w:type="dxa"/>
            <w:shd w:val="clear" w:color="auto" w:fill="DBE4F0"/>
          </w:tcPr>
          <w:p>
            <w:pPr>
              <w:pStyle w:val="TableParagraph"/>
              <w:spacing w:before="78"/>
              <w:ind w:right="143"/>
              <w:jc w:val="right"/>
              <w:rPr>
                <w:sz w:val="18"/>
              </w:rPr>
            </w:pPr>
            <w:r>
              <w:rPr>
                <w:sz w:val="18"/>
              </w:rPr>
              <w:t>2,310,664.68</w:t>
            </w:r>
          </w:p>
        </w:tc>
        <w:tc>
          <w:tcPr>
            <w:tcW w:w="898" w:type="dxa"/>
            <w:shd w:val="clear" w:color="auto" w:fill="DBE4F0"/>
          </w:tcPr>
          <w:p>
            <w:pPr>
              <w:pStyle w:val="TableParagraph"/>
              <w:spacing w:before="78"/>
              <w:ind w:left="119" w:right="189"/>
              <w:jc w:val="center"/>
              <w:rPr>
                <w:sz w:val="18"/>
              </w:rPr>
            </w:pPr>
            <w:r>
              <w:rPr>
                <w:sz w:val="18"/>
              </w:rPr>
              <w:t>2.20</w:t>
            </w:r>
          </w:p>
        </w:tc>
      </w:tr>
      <w:tr>
        <w:trPr>
          <w:trHeight w:val="460" w:hRule="atLeast"/>
        </w:trPr>
        <w:tc>
          <w:tcPr>
            <w:tcW w:w="2551" w:type="dxa"/>
          </w:tcPr>
          <w:p>
            <w:pPr>
              <w:pStyle w:val="TableParagraph"/>
              <w:rPr>
                <w:rFonts w:ascii="Times New Roman"/>
                <w:sz w:val="20"/>
              </w:rPr>
            </w:pPr>
          </w:p>
        </w:tc>
        <w:tc>
          <w:tcPr>
            <w:tcW w:w="1717" w:type="dxa"/>
          </w:tcPr>
          <w:p>
            <w:pPr>
              <w:pStyle w:val="TableParagraph"/>
              <w:rPr>
                <w:rFonts w:ascii="Times New Roman"/>
                <w:sz w:val="20"/>
              </w:rPr>
            </w:pPr>
          </w:p>
        </w:tc>
        <w:tc>
          <w:tcPr>
            <w:tcW w:w="1050" w:type="dxa"/>
          </w:tcPr>
          <w:p>
            <w:pPr>
              <w:pStyle w:val="TableParagraph"/>
              <w:rPr>
                <w:rFonts w:ascii="Times New Roman"/>
                <w:sz w:val="20"/>
              </w:rPr>
            </w:pPr>
          </w:p>
        </w:tc>
        <w:tc>
          <w:tcPr>
            <w:tcW w:w="1646" w:type="dxa"/>
          </w:tcPr>
          <w:p>
            <w:pPr>
              <w:pStyle w:val="TableParagraph"/>
              <w:rPr>
                <w:rFonts w:ascii="Times New Roman"/>
                <w:sz w:val="20"/>
              </w:rPr>
            </w:pPr>
          </w:p>
        </w:tc>
        <w:tc>
          <w:tcPr>
            <w:tcW w:w="1052" w:type="dxa"/>
          </w:tcPr>
          <w:p>
            <w:pPr>
              <w:pStyle w:val="TableParagraph"/>
              <w:rPr>
                <w:rFonts w:ascii="Times New Roman"/>
                <w:sz w:val="20"/>
              </w:rPr>
            </w:pPr>
          </w:p>
        </w:tc>
        <w:tc>
          <w:tcPr>
            <w:tcW w:w="1724" w:type="dxa"/>
          </w:tcPr>
          <w:p>
            <w:pPr>
              <w:pStyle w:val="TableParagraph"/>
              <w:rPr>
                <w:rFonts w:ascii="Times New Roman"/>
                <w:sz w:val="20"/>
              </w:rPr>
            </w:pPr>
          </w:p>
        </w:tc>
        <w:tc>
          <w:tcPr>
            <w:tcW w:w="898" w:type="dxa"/>
          </w:tcPr>
          <w:p>
            <w:pPr>
              <w:pStyle w:val="TableParagraph"/>
              <w:rPr>
                <w:rFonts w:ascii="Times New Roman"/>
                <w:sz w:val="20"/>
              </w:rPr>
            </w:pPr>
          </w:p>
        </w:tc>
      </w:tr>
      <w:tr>
        <w:trPr>
          <w:trHeight w:val="1200" w:hRule="atLeast"/>
        </w:trPr>
        <w:tc>
          <w:tcPr>
            <w:tcW w:w="2551" w:type="dxa"/>
          </w:tcPr>
          <w:p>
            <w:pPr>
              <w:pStyle w:val="TableParagraph"/>
              <w:spacing w:before="78"/>
              <w:ind w:right="79"/>
              <w:jc w:val="right"/>
              <w:rPr>
                <w:sz w:val="18"/>
              </w:rPr>
            </w:pPr>
            <w:r>
              <w:rPr>
                <w:sz w:val="18"/>
              </w:rPr>
              <w:t>Total Egresos</w:t>
            </w:r>
          </w:p>
        </w:tc>
        <w:tc>
          <w:tcPr>
            <w:tcW w:w="1717" w:type="dxa"/>
          </w:tcPr>
          <w:p>
            <w:pPr>
              <w:pStyle w:val="TableParagraph"/>
              <w:spacing w:before="78"/>
              <w:ind w:right="168"/>
              <w:jc w:val="right"/>
              <w:rPr>
                <w:sz w:val="18"/>
              </w:rPr>
            </w:pPr>
            <w:r>
              <w:rPr>
                <w:sz w:val="18"/>
              </w:rPr>
              <w:t>68,923,591.57</w:t>
            </w:r>
          </w:p>
        </w:tc>
        <w:tc>
          <w:tcPr>
            <w:tcW w:w="1050" w:type="dxa"/>
          </w:tcPr>
          <w:p>
            <w:pPr>
              <w:pStyle w:val="TableParagraph"/>
              <w:spacing w:before="78"/>
              <w:ind w:left="149" w:right="311"/>
              <w:jc w:val="center"/>
              <w:rPr>
                <w:sz w:val="18"/>
              </w:rPr>
            </w:pPr>
            <w:r>
              <w:rPr>
                <w:sz w:val="18"/>
              </w:rPr>
              <w:t>100.00</w:t>
            </w:r>
          </w:p>
        </w:tc>
        <w:tc>
          <w:tcPr>
            <w:tcW w:w="1646" w:type="dxa"/>
          </w:tcPr>
          <w:p>
            <w:pPr>
              <w:pStyle w:val="TableParagraph"/>
              <w:spacing w:before="78"/>
              <w:ind w:right="168"/>
              <w:jc w:val="right"/>
              <w:rPr>
                <w:sz w:val="18"/>
              </w:rPr>
            </w:pPr>
            <w:r>
              <w:rPr>
                <w:sz w:val="18"/>
              </w:rPr>
              <w:t>79,851,657.71</w:t>
            </w:r>
          </w:p>
        </w:tc>
        <w:tc>
          <w:tcPr>
            <w:tcW w:w="1052" w:type="dxa"/>
          </w:tcPr>
          <w:p>
            <w:pPr>
              <w:pStyle w:val="TableParagraph"/>
              <w:spacing w:before="78"/>
              <w:ind w:left="147" w:right="316"/>
              <w:jc w:val="center"/>
              <w:rPr>
                <w:sz w:val="18"/>
              </w:rPr>
            </w:pPr>
            <w:r>
              <w:rPr>
                <w:sz w:val="18"/>
              </w:rPr>
              <w:t>100.00</w:t>
            </w:r>
          </w:p>
        </w:tc>
        <w:tc>
          <w:tcPr>
            <w:tcW w:w="1724" w:type="dxa"/>
          </w:tcPr>
          <w:p>
            <w:pPr>
              <w:pStyle w:val="TableParagraph"/>
              <w:spacing w:before="78"/>
              <w:ind w:right="143"/>
              <w:jc w:val="right"/>
              <w:rPr>
                <w:sz w:val="18"/>
              </w:rPr>
            </w:pPr>
            <w:r>
              <w:rPr>
                <w:sz w:val="18"/>
              </w:rPr>
              <w:t>105,007,784.11</w:t>
            </w:r>
          </w:p>
        </w:tc>
        <w:tc>
          <w:tcPr>
            <w:tcW w:w="898" w:type="dxa"/>
          </w:tcPr>
          <w:p>
            <w:pPr>
              <w:pStyle w:val="TableParagraph"/>
              <w:spacing w:before="78"/>
              <w:ind w:left="119" w:right="189"/>
              <w:jc w:val="center"/>
              <w:rPr>
                <w:sz w:val="18"/>
              </w:rPr>
            </w:pPr>
            <w:r>
              <w:rPr>
                <w:sz w:val="18"/>
              </w:rPr>
              <w:t>100.00</w:t>
            </w:r>
          </w:p>
        </w:tc>
      </w:tr>
    </w:tbl>
    <w:p>
      <w:pPr>
        <w:pStyle w:val="BodyText"/>
        <w:rPr>
          <w:sz w:val="20"/>
        </w:rPr>
      </w:pPr>
    </w:p>
    <w:p>
      <w:pPr>
        <w:pStyle w:val="BodyText"/>
        <w:spacing w:before="8"/>
        <w:rPr>
          <w:sz w:val="19"/>
        </w:rPr>
      </w:pPr>
    </w:p>
    <w:p>
      <w:pPr>
        <w:pStyle w:val="BodyText"/>
        <w:spacing w:before="101"/>
        <w:ind w:left="901" w:right="1156"/>
        <w:jc w:val="both"/>
      </w:pPr>
      <w:r>
        <w:rPr/>
        <w:pict>
          <v:group style="position:absolute;margin-left:64.103996pt;margin-top:-218.395538pt;width:531.7pt;height:194.1pt;mso-position-horizontal-relative:page;mso-position-vertical-relative:paragraph;z-index:-262311936" coordorigin="1282,-4368" coordsize="10634,3882">
            <v:rect style="position:absolute;left:1282;top:-1688;width:2547;height:740" filled="true" fillcolor="#b8cce3" stroked="false">
              <v:fill type="solid"/>
            </v:rect>
            <v:shape style="position:absolute;left:3838;top:-1688;width:8079;height:740" coordorigin="3838,-1687" coordsize="8079,740" path="m5461,-1687l3838,-1687,3838,-948,5461,-948,5461,-1687m9223,-1687l8154,-1687,8154,-1687,6527,-1687,5461,-1687,5461,-948,6527,-948,8154,-948,8154,-948,9223,-948,9223,-1687m11916,-1687l10956,-1687,9223,-1687,9223,-948,10956,-948,11916,-948,11916,-1687e" filled="true" fillcolor="#dbe4f0" stroked="false">
              <v:path arrowok="t"/>
              <v:fill type="solid"/>
            </v:shape>
            <v:rect style="position:absolute;left:1282;top:-1688;width:2547;height:80" filled="true" fillcolor="#b8cce3" stroked="false">
              <v:fill type="solid"/>
            </v:rect>
            <v:shape style="position:absolute;left:3838;top:-1688;width:8079;height:80" coordorigin="3838,-1687" coordsize="8079,80" path="m5461,-1687l3838,-1687,3838,-1608,5461,-1608,5461,-1687m9223,-1687l8154,-1687,8154,-1687,6527,-1687,5461,-1687,5461,-1608,6527,-1608,8154,-1608,8154,-1608,9223,-1608,9223,-1687m11916,-1687l10956,-1687,9223,-1687,9223,-1608,10956,-1608,11916,-1608,11916,-1687e" filled="true" fillcolor="#dbe4f0" stroked="false">
              <v:path arrowok="t"/>
              <v:fill type="solid"/>
            </v:shape>
            <v:rect style="position:absolute;left:1282;top:-1028;width:2549;height:80" filled="true" fillcolor="#b8cce3" stroked="false">
              <v:fill type="solid"/>
            </v:rect>
            <v:shape style="position:absolute;left:3833;top:-1028;width:8081;height:80" coordorigin="3833,-1027" coordsize="8081,80" path="m5458,-1027l3833,-1027,3833,-948,5458,-948,5458,-1027m9220,-1027l8154,-1027,8154,-1027,6527,-1027,5461,-1027,5461,-948,6527,-948,8154,-948,8154,-948,9220,-948,9220,-1027m11914,-1027l10956,-1027,9223,-1027,9223,-948,10956,-948,11914,-948,11914,-1027e" filled="true" fillcolor="#dbe4f0" stroked="false">
              <v:path arrowok="t"/>
              <v:fill type="solid"/>
            </v:shape>
            <v:line style="position:absolute" from="3833,-4368" to="3833,-487" stroked="true" strokeweight=".48001pt" strokecolor="#4f81bc">
              <v:stroke dashstyle="solid"/>
            </v:line>
            <w10:wrap type="none"/>
          </v:group>
        </w:pict>
      </w:r>
      <w:r>
        <w:rPr/>
        <w:t>NOTA: Es importante señalar que en él gasto total 2018, se está sumando la inversión pública que fue financiada mediante préstamo.</w:t>
      </w:r>
    </w:p>
    <w:p>
      <w:pPr>
        <w:pStyle w:val="BodyText"/>
        <w:spacing w:before="3"/>
        <w:rPr>
          <w:sz w:val="25"/>
        </w:rPr>
      </w:pPr>
    </w:p>
    <w:p>
      <w:pPr>
        <w:pStyle w:val="BodyText"/>
        <w:spacing w:line="276" w:lineRule="auto" w:before="1"/>
        <w:ind w:left="901" w:right="1156"/>
        <w:jc w:val="both"/>
      </w:pPr>
      <w:r>
        <w:rPr/>
        <w:t>Para avanzar en las mejoras del sistema de administración financiera municipal, es preciso avanzar en las siguientes acciones:</w:t>
      </w:r>
    </w:p>
    <w:p>
      <w:pPr>
        <w:pStyle w:val="BodyText"/>
        <w:spacing w:before="4"/>
        <w:rPr>
          <w:sz w:val="25"/>
        </w:rPr>
      </w:pPr>
    </w:p>
    <w:p>
      <w:pPr>
        <w:pStyle w:val="ListParagraph"/>
        <w:numPr>
          <w:ilvl w:val="0"/>
          <w:numId w:val="59"/>
        </w:numPr>
        <w:tabs>
          <w:tab w:pos="1622" w:val="left" w:leader="none"/>
        </w:tabs>
        <w:spacing w:line="276" w:lineRule="auto" w:before="0" w:after="0"/>
        <w:ind w:left="1621" w:right="1155" w:hanging="360"/>
        <w:jc w:val="both"/>
        <w:rPr>
          <w:sz w:val="22"/>
        </w:rPr>
      </w:pPr>
      <w:r>
        <w:rPr>
          <w:sz w:val="22"/>
        </w:rPr>
        <w:t>Sistemas de cómputo para la administración y manejo adecuado de los recursos que faciliten el flujo de la información que debe ser utilizada en la elaboración de planes y proyectos para la ejecución del gasto tales</w:t>
      </w:r>
      <w:r>
        <w:rPr>
          <w:spacing w:val="-18"/>
          <w:sz w:val="22"/>
        </w:rPr>
        <w:t> </w:t>
      </w:r>
      <w:r>
        <w:rPr>
          <w:sz w:val="22"/>
        </w:rPr>
        <w:t>como.</w:t>
      </w:r>
    </w:p>
    <w:p>
      <w:pPr>
        <w:pStyle w:val="ListParagraph"/>
        <w:numPr>
          <w:ilvl w:val="0"/>
          <w:numId w:val="59"/>
        </w:numPr>
        <w:tabs>
          <w:tab w:pos="1622" w:val="left" w:leader="none"/>
        </w:tabs>
        <w:spacing w:line="268" w:lineRule="exact" w:before="0" w:after="0"/>
        <w:ind w:left="1621" w:right="0" w:hanging="361"/>
        <w:jc w:val="both"/>
        <w:rPr>
          <w:sz w:val="22"/>
        </w:rPr>
      </w:pPr>
      <w:r>
        <w:rPr>
          <w:sz w:val="22"/>
        </w:rPr>
        <w:t>Distribución del gasto de acuerdo a metas y objetivos</w:t>
      </w:r>
      <w:r>
        <w:rPr>
          <w:spacing w:val="-15"/>
          <w:sz w:val="22"/>
        </w:rPr>
        <w:t> </w:t>
      </w:r>
      <w:r>
        <w:rPr>
          <w:sz w:val="22"/>
        </w:rPr>
        <w:t>definidos.</w:t>
      </w:r>
    </w:p>
    <w:p>
      <w:pPr>
        <w:pStyle w:val="ListParagraph"/>
        <w:numPr>
          <w:ilvl w:val="0"/>
          <w:numId w:val="59"/>
        </w:numPr>
        <w:tabs>
          <w:tab w:pos="1622" w:val="left" w:leader="none"/>
        </w:tabs>
        <w:spacing w:line="276" w:lineRule="auto" w:before="42" w:after="0"/>
        <w:ind w:left="1621" w:right="1155" w:hanging="360"/>
        <w:jc w:val="both"/>
        <w:rPr>
          <w:sz w:val="22"/>
        </w:rPr>
      </w:pPr>
      <w:r>
        <w:rPr>
          <w:sz w:val="22"/>
        </w:rPr>
        <w:t>Las diferentes direcciones y dependencias involucradas en la aplicación de los recursos; deberán ser las principales promotoras de la programación por objeto del</w:t>
      </w:r>
      <w:r>
        <w:rPr>
          <w:spacing w:val="-1"/>
          <w:sz w:val="22"/>
        </w:rPr>
        <w:t> </w:t>
      </w:r>
      <w:r>
        <w:rPr>
          <w:sz w:val="22"/>
        </w:rPr>
        <w:t>gasto.</w:t>
      </w:r>
    </w:p>
    <w:p>
      <w:pPr>
        <w:pStyle w:val="ListParagraph"/>
        <w:numPr>
          <w:ilvl w:val="0"/>
          <w:numId w:val="59"/>
        </w:numPr>
        <w:tabs>
          <w:tab w:pos="1622" w:val="left" w:leader="none"/>
        </w:tabs>
        <w:spacing w:line="276" w:lineRule="auto" w:before="0" w:after="0"/>
        <w:ind w:left="1621" w:right="1156" w:hanging="360"/>
        <w:jc w:val="both"/>
        <w:rPr>
          <w:sz w:val="22"/>
        </w:rPr>
      </w:pPr>
      <w:r>
        <w:rPr>
          <w:sz w:val="22"/>
        </w:rPr>
        <w:t>La sociedad debe de trabajar en forma conjunta con municipio para la selección, distribución y priorización de obras; facilitando con ello la clasificación por objeto del</w:t>
      </w:r>
      <w:r>
        <w:rPr>
          <w:spacing w:val="-4"/>
          <w:sz w:val="22"/>
        </w:rPr>
        <w:t> </w:t>
      </w:r>
      <w:r>
        <w:rPr>
          <w:sz w:val="22"/>
        </w:rPr>
        <w:t>gasto.</w:t>
      </w:r>
    </w:p>
    <w:p>
      <w:pPr>
        <w:pStyle w:val="BodyText"/>
        <w:spacing w:before="2"/>
        <w:rPr>
          <w:sz w:val="25"/>
        </w:rPr>
      </w:pPr>
    </w:p>
    <w:p>
      <w:pPr>
        <w:pStyle w:val="BodyText"/>
        <w:spacing w:line="276" w:lineRule="auto"/>
        <w:ind w:left="901" w:right="1153"/>
        <w:jc w:val="both"/>
      </w:pPr>
      <w:r>
        <w:rPr/>
        <w:t>Esta información se deberá tomar como referencia para sostener un crecimiento significativo en la aplicación de los recursos destinados a las inversiones y una disminución importante en lo que se refiere al gasto corriente; haciendo cada día más eficiente el uso de los recursos y mejorando la distribución del gasto.</w:t>
      </w:r>
    </w:p>
    <w:p>
      <w:pPr>
        <w:pStyle w:val="BodyText"/>
        <w:spacing w:before="6"/>
        <w:rPr>
          <w:sz w:val="25"/>
        </w:rPr>
      </w:pPr>
    </w:p>
    <w:p>
      <w:pPr>
        <w:pStyle w:val="BodyText"/>
        <w:spacing w:line="276" w:lineRule="auto"/>
        <w:ind w:left="901" w:right="1155"/>
        <w:jc w:val="both"/>
      </w:pPr>
      <w:r>
        <w:rPr/>
        <w:t>Cabe señalar que para lograr los objetivos debe realizarse una planeación consiente y analítica; diseñar nuevos esquemas tributarios que permitan acrecentar  la captación de recursos y convocar a la población a una participación activa en los mismos sin dejar de lado el uso de programas de apoyo que el Gobierno Federal y Estatal proporcionan para impulsar el desarrollo económico; con el objeto de poder</w:t>
      </w:r>
      <w:r>
        <w:rPr>
          <w:spacing w:val="16"/>
        </w:rPr>
        <w:t> </w:t>
      </w:r>
      <w:r>
        <w:rPr/>
        <w:t>brindar</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resultados concretos a las demandas, necesidades y exigencias de los habitantes del municipio.</w:t>
      </w:r>
    </w:p>
    <w:p>
      <w:pPr>
        <w:pStyle w:val="BodyText"/>
        <w:spacing w:before="6"/>
        <w:rPr>
          <w:sz w:val="25"/>
        </w:rPr>
      </w:pPr>
    </w:p>
    <w:p>
      <w:pPr>
        <w:pStyle w:val="Heading2"/>
        <w:jc w:val="both"/>
        <w:rPr>
          <w:rFonts w:ascii="Century Gothic" w:hAnsi="Century Gothic"/>
        </w:rPr>
      </w:pPr>
      <w:r>
        <w:rPr>
          <w:rFonts w:ascii="Century Gothic" w:hAnsi="Century Gothic"/>
        </w:rPr>
        <w:t>Planeación municipal</w:t>
      </w:r>
    </w:p>
    <w:p>
      <w:pPr>
        <w:pStyle w:val="BodyText"/>
        <w:spacing w:before="2"/>
        <w:rPr>
          <w:b/>
          <w:sz w:val="25"/>
        </w:rPr>
      </w:pPr>
    </w:p>
    <w:p>
      <w:pPr>
        <w:pStyle w:val="BodyText"/>
        <w:spacing w:line="276" w:lineRule="auto" w:before="1"/>
        <w:ind w:left="901" w:right="1152"/>
        <w:jc w:val="both"/>
      </w:pPr>
      <w:r>
        <w:rPr/>
        <w:t>Durante el ejercicio de construcción y actualización del Plan Municipal de Desarrollo y Gobernanza para el periodo 2018 -2021, se buscó articular los esfuerzos del gobierno y de la sociedad civil, mediante la participación y el involucramiento de actores sociales y gobierno, con el fin de encauzar el desarrollo de Magdalena de una forma justa, equilibrada y armónica a partir de los objetivos, metas, programas y proyectos que del Plan se habrán de derivar, y con la convicción que este plan no se archive, sino que por el contrario, sea ampliamente socializado entre la comunidad y los ciudadanos </w:t>
      </w:r>
      <w:r>
        <w:rPr>
          <w:spacing w:val="-3"/>
        </w:rPr>
        <w:t>de </w:t>
      </w:r>
      <w:r>
        <w:rPr/>
        <w:t>Magdalena y sea la hoja de ruta para todo el personal del Ayuntamiento, que deberá ajustarse a los lineamientos que el mismo PMDyG establecerá. Y lo más importante, que sea puesto en práctica por las dependencias de los diferentes niveles de gobierno y por la sociedad misma de Magdalena, que será quién debe utilizarlo, enriquecerlo, mejorarlo y actualizarlo</w:t>
      </w:r>
      <w:r>
        <w:rPr>
          <w:spacing w:val="-6"/>
        </w:rPr>
        <w:t> </w:t>
      </w:r>
      <w:r>
        <w:rPr/>
        <w:t>periódicamente.</w:t>
      </w:r>
    </w:p>
    <w:p>
      <w:pPr>
        <w:pStyle w:val="BodyText"/>
        <w:spacing w:before="10"/>
        <w:rPr>
          <w:sz w:val="24"/>
        </w:rPr>
      </w:pPr>
    </w:p>
    <w:p>
      <w:pPr>
        <w:pStyle w:val="Heading4"/>
        <w:spacing w:before="1"/>
        <w:jc w:val="both"/>
        <w:rPr>
          <w:rFonts w:ascii="Corbel" w:hAnsi="Corbel"/>
        </w:rPr>
      </w:pPr>
      <w:r>
        <w:rPr>
          <w:rFonts w:ascii="Corbel" w:hAnsi="Corbel"/>
        </w:rPr>
        <w:t>Participación Ciudadana</w:t>
      </w:r>
    </w:p>
    <w:p>
      <w:pPr>
        <w:pStyle w:val="BodyText"/>
        <w:spacing w:before="9"/>
        <w:rPr>
          <w:rFonts w:ascii="Corbel"/>
          <w:b/>
          <w:sz w:val="25"/>
        </w:rPr>
      </w:pPr>
    </w:p>
    <w:p>
      <w:pPr>
        <w:pStyle w:val="BodyText"/>
        <w:spacing w:line="276" w:lineRule="auto"/>
        <w:ind w:left="901" w:right="1156"/>
        <w:jc w:val="both"/>
      </w:pPr>
      <w:r>
        <w:rPr/>
        <w:t>La actitud tradicional del municipio como proveedor de servicios y único agente del desarrollo local, y la comunidad receptora pasiva del trabajo municipal, como en muchos otros municipios, ya no tiene cabida en la realidad actual de Magdalena, por lo que; los beneficios deben provenir de un esfuerzo conjunto de todos los actores locales: públicos y</w:t>
      </w:r>
      <w:r>
        <w:rPr>
          <w:spacing w:val="-6"/>
        </w:rPr>
        <w:t> </w:t>
      </w:r>
      <w:r>
        <w:rPr/>
        <w:t>privados.</w:t>
      </w:r>
    </w:p>
    <w:p>
      <w:pPr>
        <w:pStyle w:val="BodyText"/>
        <w:spacing w:before="3"/>
        <w:rPr>
          <w:sz w:val="25"/>
        </w:rPr>
      </w:pPr>
    </w:p>
    <w:p>
      <w:pPr>
        <w:pStyle w:val="BodyText"/>
        <w:spacing w:line="276" w:lineRule="auto"/>
        <w:ind w:left="901" w:right="1155"/>
        <w:jc w:val="both"/>
      </w:pPr>
      <w:r>
        <w:rPr/>
        <w:t>La participación social del municipio, actualmente se sustenta en consejos, comisiones y patronatos de participación ciudadana que operan en muchos de los casos sin interrelación alguna y tal vez sus objetivos puedan estar carentes de una visión de largo plazo, sin embargo, debemos de procurar y considerar que el </w:t>
      </w:r>
      <w:r>
        <w:rPr>
          <w:b/>
        </w:rPr>
        <w:t>PLAN MUNICIPAL DE DESARROLLO Y GOBERNANZA </w:t>
      </w:r>
      <w:r>
        <w:rPr/>
        <w:t>sea el marco que los una, los motive para integrarse a ésta nueva dinámica participativa, abra sus perspectivas y guíe sus acciones.</w:t>
      </w:r>
    </w:p>
    <w:p>
      <w:pPr>
        <w:pStyle w:val="BodyText"/>
        <w:spacing w:before="5"/>
        <w:rPr>
          <w:sz w:val="25"/>
        </w:rPr>
      </w:pPr>
    </w:p>
    <w:p>
      <w:pPr>
        <w:pStyle w:val="BodyText"/>
        <w:spacing w:line="276" w:lineRule="auto"/>
        <w:ind w:left="901" w:right="1156"/>
        <w:jc w:val="both"/>
      </w:pPr>
      <w:r>
        <w:rPr/>
        <w:t>De las entrevistas con funcionarios de primer nivel del Ayuntamiento pudimos establecer que existían los consejos y comités mencionados anteriormente por lo que consideramos que se debe tener en la sindicatura un padrón de los diferentes consejos o comités en el municipio con los nombres de los integrantes, para la  pronta localización de estos organismos que son de vital importancia para el desarrollo del municipio. Con el objetivo de que trabajen en red y colaboración en los distintos espacios de</w:t>
      </w:r>
      <w:r>
        <w:rPr>
          <w:spacing w:val="-3"/>
        </w:rPr>
        <w:t> </w:t>
      </w:r>
      <w:r>
        <w:rPr/>
        <w:t>participación.</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154"/>
        <w:jc w:val="both"/>
      </w:pPr>
      <w:r>
        <w:rPr/>
        <w:t>En la actualidad, la participación social juega un papel importante en el desarrollo municipal, por ello será necesario articular e integrar los esfuerzos que realizan las diferentes instituciones públicas y privadas existentes en el municipio, en el COPPLADEMUN, órgano establecido en Magdalena, para que promueva con todo el peso que la ley le concede, el desarrollo económico, social y ambiental del municipio.</w:t>
      </w:r>
    </w:p>
    <w:p>
      <w:pPr>
        <w:pStyle w:val="BodyText"/>
        <w:spacing w:before="8"/>
        <w:rPr>
          <w:sz w:val="23"/>
        </w:rPr>
      </w:pPr>
    </w:p>
    <w:p>
      <w:pPr>
        <w:pStyle w:val="Heading2"/>
        <w:jc w:val="both"/>
      </w:pPr>
      <w:r>
        <w:rPr/>
        <w:t>Desarrollo Político</w:t>
      </w:r>
    </w:p>
    <w:p>
      <w:pPr>
        <w:pStyle w:val="BodyText"/>
        <w:spacing w:before="2"/>
        <w:rPr>
          <w:rFonts w:ascii="Corbel"/>
          <w:b/>
          <w:sz w:val="24"/>
        </w:rPr>
      </w:pPr>
    </w:p>
    <w:p>
      <w:pPr>
        <w:pStyle w:val="BodyText"/>
        <w:spacing w:line="276" w:lineRule="auto"/>
        <w:ind w:left="901" w:right="1154"/>
        <w:jc w:val="both"/>
      </w:pPr>
      <w:r>
        <w:rPr/>
        <w:t>Hoy en día la composición del cuerpo edilicio de Magdalena se integra por siete regi- dores. Compuesta de la siguiente forma: La planilla que obtuvo el triunfo en la última elección municipal y que correspondió al Partido Revolucionario Institucional, al Partido Acción Nacional; como segunda mayoría; y dos regidores de representación propor- cional, uno del Partido de morena y un independiente.</w:t>
      </w:r>
    </w:p>
    <w:p>
      <w:pPr>
        <w:pStyle w:val="BodyText"/>
        <w:spacing w:before="5"/>
        <w:rPr>
          <w:sz w:val="25"/>
        </w:rPr>
      </w:pPr>
    </w:p>
    <w:p>
      <w:pPr>
        <w:pStyle w:val="BodyText"/>
        <w:spacing w:line="276" w:lineRule="auto" w:before="1"/>
        <w:ind w:left="901" w:right="1156"/>
        <w:jc w:val="both"/>
      </w:pPr>
      <w:r>
        <w:rPr/>
        <w:t>Con el fin de dar transparencia a las gestiones y labores del municipio, se han llevado a cabo sesiones de Ayuntamiento abiertas con la presencia y en su caso participación de los ciudadanos.</w:t>
      </w:r>
    </w:p>
    <w:p>
      <w:pPr>
        <w:pStyle w:val="BodyText"/>
        <w:spacing w:before="3"/>
        <w:rPr>
          <w:sz w:val="25"/>
        </w:rPr>
      </w:pPr>
    </w:p>
    <w:p>
      <w:pPr>
        <w:pStyle w:val="BodyText"/>
        <w:spacing w:line="276" w:lineRule="auto"/>
        <w:ind w:left="901" w:right="1156"/>
        <w:jc w:val="both"/>
      </w:pPr>
      <w:r>
        <w:rPr/>
        <w:t>En este sentido, es importante fortalecer más mecanismos de cabildo abierto e invitar a sectores específicos de la población, para escuchar sus demandas y sugerencias, tan importantes para consolidar y ampliar la base de participación para el desarrollo local.</w:t>
      </w:r>
    </w:p>
    <w:p>
      <w:pPr>
        <w:pStyle w:val="BodyText"/>
        <w:spacing w:before="4"/>
        <w:rPr>
          <w:sz w:val="25"/>
        </w:rPr>
      </w:pPr>
    </w:p>
    <w:p>
      <w:pPr>
        <w:pStyle w:val="BodyText"/>
        <w:spacing w:line="276" w:lineRule="auto"/>
        <w:ind w:left="901" w:right="1156"/>
        <w:jc w:val="both"/>
      </w:pPr>
      <w:r>
        <w:rPr/>
        <w:t>También se recomienda retomar programa de televisión ya que dejo de trasmitir aproximadamente desde el 2002. Sería conveniente abrir una tribuna plural que de acceso directo a todos los representes de los sectores de la población y no solo al Ayuntamiento, por lo que convendría invitar a universitarios, académicos, líderes sindicales, y personas que tanto pueden dar a conocer y poner en contacto con la sociedad, quienes hablen de un tema en especial en que sean expertos.</w:t>
      </w:r>
    </w:p>
    <w:p>
      <w:pPr>
        <w:pStyle w:val="BodyText"/>
        <w:spacing w:before="10"/>
        <w:rPr>
          <w:sz w:val="23"/>
        </w:rPr>
      </w:pPr>
    </w:p>
    <w:p>
      <w:pPr>
        <w:pStyle w:val="Heading2"/>
        <w:jc w:val="both"/>
      </w:pPr>
      <w:r>
        <w:rPr/>
        <w:t>Índice de desarrollo municipal institucional</w:t>
      </w:r>
    </w:p>
    <w:p>
      <w:pPr>
        <w:pStyle w:val="BodyText"/>
        <w:spacing w:before="2"/>
        <w:rPr>
          <w:rFonts w:ascii="Corbel"/>
          <w:b/>
          <w:sz w:val="24"/>
        </w:rPr>
      </w:pPr>
    </w:p>
    <w:p>
      <w:pPr>
        <w:pStyle w:val="BodyText"/>
        <w:spacing w:line="276" w:lineRule="auto"/>
        <w:ind w:left="901" w:right="1154"/>
        <w:jc w:val="both"/>
      </w:pPr>
      <w:r>
        <w:rPr/>
        <w:t>El índice de Desarrollo Municipal Institucional (IDM-I) mide el desempeño de las instituciones gubernamentales de un municipio a través de cinco rubros que contemplan el esfuerzo tributario, la transparencia, la participación electoral, el número de empleados municipales per cápita y la</w:t>
      </w:r>
      <w:r>
        <w:rPr>
          <w:spacing w:val="-12"/>
        </w:rPr>
        <w:t> </w:t>
      </w:r>
      <w:r>
        <w:rPr/>
        <w:t>seguridad.</w:t>
      </w:r>
    </w:p>
    <w:p>
      <w:pPr>
        <w:pStyle w:val="BodyText"/>
        <w:spacing w:before="4"/>
        <w:rPr>
          <w:sz w:val="25"/>
        </w:rPr>
      </w:pPr>
    </w:p>
    <w:p>
      <w:pPr>
        <w:pStyle w:val="BodyText"/>
        <w:spacing w:line="276" w:lineRule="auto"/>
        <w:ind w:left="901" w:right="1156"/>
        <w:jc w:val="both"/>
      </w:pPr>
      <w:r>
        <w:rPr/>
        <w:t>En la construcción del IDM-I se decidió incluir cinco variables para medir el desarrollo institucional de los municipios de Jalisco, tal y como se muestra en las dos tablas siguientes, por medio del porcentaje de participación ciudadana en elecciones; la evaluación del cumplimiento de la publicación de información fundamental y de la obligación de la atención a las solicitudes de información; la tasa de empleados</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210"/>
      </w:pPr>
      <w:r>
        <w:rPr/>
        <w:t>municipales por cada mil habitantes; el porcentaje de ingresos propios por municipio y el número de delitos del fuero común por cada mil</w:t>
      </w:r>
      <w:r>
        <w:rPr>
          <w:spacing w:val="-10"/>
        </w:rPr>
        <w:t> </w:t>
      </w:r>
      <w:r>
        <w:rPr/>
        <w:t>habitantes.</w:t>
      </w:r>
    </w:p>
    <w:p>
      <w:pPr>
        <w:pStyle w:val="BodyText"/>
      </w:pPr>
    </w:p>
    <w:p>
      <w:pPr>
        <w:pStyle w:val="BodyText"/>
        <w:ind w:left="1001" w:right="1260"/>
        <w:jc w:val="center"/>
      </w:pPr>
      <w:r>
        <w:rPr/>
        <w:t>TABLA 11. DESARROLLO INSTITUCIONAL DE LOS MUNICIPIOS EN EL CONTEXTO</w:t>
      </w:r>
      <w:r>
        <w:rPr>
          <w:spacing w:val="-35"/>
        </w:rPr>
        <w:t> </w:t>
      </w:r>
      <w:r>
        <w:rPr/>
        <w:t>ESTATAL CON BASE EN CINCO</w:t>
      </w:r>
      <w:r>
        <w:rPr>
          <w:spacing w:val="-9"/>
        </w:rPr>
        <w:t> </w:t>
      </w:r>
      <w:r>
        <w:rPr/>
        <w:t>INDICADORES</w:t>
      </w:r>
    </w:p>
    <w:p>
      <w:pPr>
        <w:pStyle w:val="Heading3"/>
        <w:spacing w:line="291" w:lineRule="exact"/>
        <w:ind w:left="1001" w:right="1257"/>
        <w:rPr>
          <w:rFonts w:ascii="Corbel" w:hAnsi="Corbel"/>
        </w:rPr>
      </w:pPr>
      <w:r>
        <w:rPr>
          <w:rFonts w:ascii="Corbel" w:hAnsi="Corbel"/>
        </w:rPr>
        <w:t>Ma</w:t>
      </w:r>
      <w:r>
        <w:rPr>
          <w:rFonts w:ascii="Corbel" w:hAnsi="Corbel"/>
          <w:spacing w:val="-1"/>
        </w:rPr>
        <w:t>g</w:t>
      </w:r>
      <w:r>
        <w:rPr>
          <w:rFonts w:ascii="Corbel" w:hAnsi="Corbel"/>
        </w:rPr>
        <w:t>dalena regi</w:t>
      </w:r>
      <w:r>
        <w:rPr>
          <w:rFonts w:ascii="Corbel" w:hAnsi="Corbel"/>
          <w:spacing w:val="-1"/>
        </w:rPr>
        <w:t>ó</w:t>
      </w:r>
      <w:r>
        <w:rPr>
          <w:rFonts w:ascii="Corbel" w:hAnsi="Corbel"/>
        </w:rPr>
        <w:t>n va</w:t>
      </w:r>
      <w:r>
        <w:rPr>
          <w:rFonts w:ascii="Corbel" w:hAnsi="Corbel"/>
          <w:spacing w:val="-1"/>
        </w:rPr>
        <w:t>l</w:t>
      </w:r>
      <w:r>
        <w:rPr>
          <w:rFonts w:ascii="Corbel" w:hAnsi="Corbel"/>
        </w:rPr>
        <w:t>les</w:t>
      </w:r>
      <w:r>
        <w:rPr>
          <w:rFonts w:ascii="Corbel" w:hAnsi="Corbel"/>
          <w:spacing w:val="-1"/>
        </w:rPr>
        <w:t> </w:t>
      </w:r>
      <w:r>
        <w:rPr>
          <w:rFonts w:ascii="Corbel" w:hAnsi="Corbel"/>
          <w:smallCaps/>
        </w:rPr>
        <w:t>2</w:t>
      </w:r>
      <w:r>
        <w:rPr>
          <w:rFonts w:ascii="Corbel" w:hAnsi="Corbel"/>
          <w:smallCaps/>
          <w:spacing w:val="-2"/>
        </w:rPr>
        <w:t>0</w:t>
      </w:r>
      <w:r>
        <w:rPr>
          <w:rFonts w:ascii="Corbel" w:hAnsi="Corbel"/>
          <w:smallCaps/>
          <w:spacing w:val="-1"/>
        </w:rPr>
        <w:t>1</w:t>
      </w:r>
      <w:r>
        <w:rPr>
          <w:rFonts w:ascii="Corbel" w:hAnsi="Corbel"/>
          <w:smallCaps/>
        </w:rPr>
        <w:t>1</w:t>
      </w:r>
      <w:r>
        <w:rPr>
          <w:rFonts w:ascii="Corbel" w:hAnsi="Corbel"/>
          <w:smallCaps w:val="0"/>
        </w:rPr>
        <w:t> (par</w:t>
      </w:r>
      <w:r>
        <w:rPr>
          <w:rFonts w:ascii="Corbel" w:hAnsi="Corbel"/>
          <w:smallCaps w:val="0"/>
          <w:spacing w:val="-1"/>
        </w:rPr>
        <w:t>t</w:t>
      </w:r>
      <w:r>
        <w:rPr>
          <w:rFonts w:ascii="Corbel" w:hAnsi="Corbel"/>
          <w:smallCaps w:val="0"/>
        </w:rPr>
        <w:t>e</w:t>
      </w:r>
      <w:r>
        <w:rPr>
          <w:rFonts w:ascii="Corbel" w:hAnsi="Corbel"/>
          <w:smallCaps w:val="0"/>
          <w:spacing w:val="1"/>
        </w:rPr>
        <w:t> </w:t>
      </w:r>
      <w:r>
        <w:rPr>
          <w:rFonts w:ascii="Corbel" w:hAnsi="Corbel"/>
          <w:smallCaps/>
        </w:rPr>
        <w:t>1)</w:t>
      </w:r>
    </w:p>
    <w:p>
      <w:pPr>
        <w:pStyle w:val="BodyText"/>
        <w:spacing w:before="9"/>
        <w:rPr>
          <w:rFonts w:ascii="Corbel"/>
          <w:sz w:val="15"/>
        </w:rPr>
      </w:pPr>
      <w:r>
        <w:rPr/>
        <w:drawing>
          <wp:anchor distT="0" distB="0" distL="0" distR="0" allowOverlap="1" layoutInCell="1" locked="0" behindDoc="0" simplePos="0" relativeHeight="63">
            <wp:simplePos x="0" y="0"/>
            <wp:positionH relativeFrom="page">
              <wp:posOffset>865632</wp:posOffset>
            </wp:positionH>
            <wp:positionV relativeFrom="paragraph">
              <wp:posOffset>146762</wp:posOffset>
            </wp:positionV>
            <wp:extent cx="6033985" cy="3491103"/>
            <wp:effectExtent l="0" t="0" r="0" b="0"/>
            <wp:wrapTopAndBottom/>
            <wp:docPr id="29" name="image32.jpeg"/>
            <wp:cNvGraphicFramePr>
              <a:graphicFrameLocks noChangeAspect="1"/>
            </wp:cNvGraphicFramePr>
            <a:graphic>
              <a:graphicData uri="http://schemas.openxmlformats.org/drawingml/2006/picture">
                <pic:pic>
                  <pic:nvPicPr>
                    <pic:cNvPr id="30" name="image32.jpeg"/>
                    <pic:cNvPicPr/>
                  </pic:nvPicPr>
                  <pic:blipFill>
                    <a:blip r:embed="rId46" cstate="print"/>
                    <a:stretch>
                      <a:fillRect/>
                    </a:stretch>
                  </pic:blipFill>
                  <pic:spPr>
                    <a:xfrm>
                      <a:off x="0" y="0"/>
                      <a:ext cx="6033985" cy="3491103"/>
                    </a:xfrm>
                    <a:prstGeom prst="rect">
                      <a:avLst/>
                    </a:prstGeom>
                  </pic:spPr>
                </pic:pic>
              </a:graphicData>
            </a:graphic>
          </wp:anchor>
        </w:drawing>
      </w:r>
    </w:p>
    <w:p>
      <w:pPr>
        <w:spacing w:before="103"/>
        <w:ind w:left="1001" w:right="1253" w:firstLine="0"/>
        <w:jc w:val="center"/>
        <w:rPr>
          <w:sz w:val="15"/>
        </w:rPr>
      </w:pPr>
      <w:r>
        <w:rPr>
          <w:b/>
          <w:sz w:val="15"/>
        </w:rPr>
        <w:t>Fuente</w:t>
      </w:r>
      <w:r>
        <w:rPr>
          <w:sz w:val="15"/>
        </w:rPr>
        <w:t>: Ficha Municipal de Magdalena, Jalisco. INSTITUTO DE INFORMACIÓN ESTADÍSTICA Y GEOGRÁFICA https://iieg.gob.mx/contenido/Municipios/Magdalena.pdf</w:t>
      </w:r>
    </w:p>
    <w:p>
      <w:pPr>
        <w:spacing w:after="0"/>
        <w:jc w:val="center"/>
        <w:rPr>
          <w:sz w:val="15"/>
        </w:rPr>
        <w:sectPr>
          <w:pgSz w:w="12240" w:h="15840"/>
          <w:pgMar w:header="178" w:footer="1179" w:top="1120" w:bottom="1360" w:left="460" w:right="220"/>
        </w:sectPr>
      </w:pPr>
    </w:p>
    <w:p>
      <w:pPr>
        <w:pStyle w:val="BodyText"/>
        <w:rPr>
          <w:sz w:val="20"/>
        </w:rPr>
      </w:pPr>
    </w:p>
    <w:p>
      <w:pPr>
        <w:pStyle w:val="BodyText"/>
        <w:rPr>
          <w:sz w:val="20"/>
        </w:rPr>
      </w:pPr>
    </w:p>
    <w:p>
      <w:pPr>
        <w:pStyle w:val="BodyText"/>
        <w:spacing w:before="3"/>
        <w:rPr>
          <w:sz w:val="20"/>
        </w:rPr>
      </w:pPr>
    </w:p>
    <w:p>
      <w:pPr>
        <w:pStyle w:val="BodyText"/>
        <w:spacing w:before="55"/>
        <w:ind w:left="1001" w:right="1260"/>
        <w:jc w:val="center"/>
        <w:rPr>
          <w:rFonts w:ascii="Corbel"/>
        </w:rPr>
      </w:pPr>
      <w:r>
        <w:rPr>
          <w:rFonts w:ascii="Corbel"/>
        </w:rPr>
        <w:t>DESARROLLO INSTITUCIONAL DE LOS MUNICIPIOS EN EL CONTEXTO ESTATAL CON BASE EN CINCO INDICADORES</w:t>
      </w:r>
    </w:p>
    <w:p>
      <w:pPr>
        <w:pStyle w:val="BodyText"/>
        <w:spacing w:before="1" w:after="3"/>
        <w:ind w:left="1001" w:right="1261"/>
        <w:jc w:val="center"/>
        <w:rPr>
          <w:rFonts w:ascii="Corbel" w:hAnsi="Corbel"/>
        </w:rPr>
      </w:pPr>
      <w:r>
        <w:rPr>
          <w:rFonts w:ascii="Corbel" w:hAnsi="Corbel"/>
          <w:w w:val="100"/>
        </w:rPr>
        <w:t>Magd</w:t>
      </w:r>
      <w:r>
        <w:rPr>
          <w:rFonts w:ascii="Corbel" w:hAnsi="Corbel"/>
          <w:spacing w:val="-1"/>
          <w:w w:val="100"/>
        </w:rPr>
        <w:t>al</w:t>
      </w:r>
      <w:r>
        <w:rPr>
          <w:rFonts w:ascii="Corbel" w:hAnsi="Corbel"/>
          <w:spacing w:val="-2"/>
          <w:w w:val="100"/>
        </w:rPr>
        <w:t>e</w:t>
      </w:r>
      <w:r>
        <w:rPr>
          <w:rFonts w:ascii="Corbel" w:hAnsi="Corbel"/>
          <w:spacing w:val="1"/>
          <w:w w:val="100"/>
        </w:rPr>
        <w:t>n</w:t>
      </w:r>
      <w:r>
        <w:rPr>
          <w:rFonts w:ascii="Corbel" w:hAnsi="Corbel"/>
          <w:w w:val="100"/>
        </w:rPr>
        <w:t>a</w:t>
      </w:r>
      <w:r>
        <w:rPr>
          <w:rFonts w:ascii="Corbel" w:hAnsi="Corbel"/>
          <w:spacing w:val="-1"/>
        </w:rPr>
        <w:t> </w:t>
      </w:r>
      <w:r>
        <w:rPr>
          <w:rFonts w:ascii="Corbel" w:hAnsi="Corbel"/>
          <w:w w:val="100"/>
        </w:rPr>
        <w:t>r</w:t>
      </w:r>
      <w:r>
        <w:rPr>
          <w:rFonts w:ascii="Corbel" w:hAnsi="Corbel"/>
          <w:spacing w:val="-2"/>
          <w:w w:val="100"/>
        </w:rPr>
        <w:t>e</w:t>
      </w:r>
      <w:r>
        <w:rPr>
          <w:rFonts w:ascii="Corbel" w:hAnsi="Corbel"/>
          <w:w w:val="100"/>
        </w:rPr>
        <w:t>gión</w:t>
      </w:r>
      <w:r>
        <w:rPr>
          <w:rFonts w:ascii="Corbel" w:hAnsi="Corbel"/>
          <w:spacing w:val="-1"/>
        </w:rPr>
        <w:t> </w:t>
      </w:r>
      <w:r>
        <w:rPr>
          <w:rFonts w:ascii="Corbel" w:hAnsi="Corbel"/>
          <w:spacing w:val="-2"/>
          <w:w w:val="100"/>
        </w:rPr>
        <w:t>v</w:t>
      </w:r>
      <w:r>
        <w:rPr>
          <w:rFonts w:ascii="Corbel" w:hAnsi="Corbel"/>
          <w:w w:val="100"/>
        </w:rPr>
        <w:t>a</w:t>
      </w:r>
      <w:r>
        <w:rPr>
          <w:rFonts w:ascii="Corbel" w:hAnsi="Corbel"/>
          <w:spacing w:val="-2"/>
          <w:w w:val="100"/>
        </w:rPr>
        <w:t>l</w:t>
      </w:r>
      <w:r>
        <w:rPr>
          <w:rFonts w:ascii="Corbel" w:hAnsi="Corbel"/>
          <w:spacing w:val="-1"/>
          <w:w w:val="100"/>
        </w:rPr>
        <w:t>l</w:t>
      </w:r>
      <w:r>
        <w:rPr>
          <w:rFonts w:ascii="Corbel" w:hAnsi="Corbel"/>
          <w:w w:val="100"/>
        </w:rPr>
        <w:t>es</w:t>
      </w:r>
      <w:r>
        <w:rPr>
          <w:rFonts w:ascii="Corbel" w:hAnsi="Corbel"/>
          <w:spacing w:val="-1"/>
        </w:rPr>
        <w:t> </w:t>
      </w:r>
      <w:r>
        <w:rPr>
          <w:rFonts w:ascii="Corbel" w:hAnsi="Corbel"/>
          <w:smallCaps/>
          <w:w w:val="100"/>
        </w:rPr>
        <w:t>2</w:t>
      </w:r>
      <w:r>
        <w:rPr>
          <w:rFonts w:ascii="Corbel" w:hAnsi="Corbel"/>
          <w:smallCaps/>
          <w:spacing w:val="-1"/>
          <w:w w:val="100"/>
        </w:rPr>
        <w:t>01</w:t>
      </w:r>
      <w:r>
        <w:rPr>
          <w:rFonts w:ascii="Corbel" w:hAnsi="Corbel"/>
          <w:smallCaps/>
          <w:w w:val="100"/>
        </w:rPr>
        <w:t>1</w:t>
      </w:r>
      <w:r>
        <w:rPr>
          <w:rFonts w:ascii="Corbel" w:hAnsi="Corbel"/>
          <w:smallCaps w:val="0"/>
          <w:spacing w:val="-2"/>
        </w:rPr>
        <w:t> </w:t>
      </w:r>
      <w:r>
        <w:rPr>
          <w:rFonts w:ascii="Corbel" w:hAnsi="Corbel"/>
          <w:smallCaps w:val="0"/>
          <w:w w:val="100"/>
        </w:rPr>
        <w:t>(parte</w:t>
      </w:r>
      <w:r>
        <w:rPr>
          <w:rFonts w:ascii="Corbel" w:hAnsi="Corbel"/>
          <w:smallCaps w:val="0"/>
          <w:spacing w:val="-1"/>
        </w:rPr>
        <w:t> </w:t>
      </w:r>
      <w:r>
        <w:rPr>
          <w:rFonts w:ascii="Corbel" w:hAnsi="Corbel"/>
          <w:smallCaps/>
          <w:spacing w:val="-3"/>
          <w:w w:val="100"/>
        </w:rPr>
        <w:t>2)</w:t>
      </w:r>
    </w:p>
    <w:p>
      <w:pPr>
        <w:pStyle w:val="BodyText"/>
        <w:ind w:left="936"/>
        <w:rPr>
          <w:rFonts w:ascii="Corbel"/>
          <w:sz w:val="20"/>
        </w:rPr>
      </w:pPr>
      <w:r>
        <w:rPr>
          <w:rFonts w:ascii="Corbel"/>
          <w:sz w:val="20"/>
        </w:rPr>
        <w:drawing>
          <wp:inline distT="0" distB="0" distL="0" distR="0">
            <wp:extent cx="5930837" cy="3210020"/>
            <wp:effectExtent l="0" t="0" r="0" b="0"/>
            <wp:docPr id="31" name="image33.jpeg"/>
            <wp:cNvGraphicFramePr>
              <a:graphicFrameLocks noChangeAspect="1"/>
            </wp:cNvGraphicFramePr>
            <a:graphic>
              <a:graphicData uri="http://schemas.openxmlformats.org/drawingml/2006/picture">
                <pic:pic>
                  <pic:nvPicPr>
                    <pic:cNvPr id="32" name="image33.jpeg"/>
                    <pic:cNvPicPr/>
                  </pic:nvPicPr>
                  <pic:blipFill>
                    <a:blip r:embed="rId47" cstate="print"/>
                    <a:stretch>
                      <a:fillRect/>
                    </a:stretch>
                  </pic:blipFill>
                  <pic:spPr>
                    <a:xfrm>
                      <a:off x="0" y="0"/>
                      <a:ext cx="5930837" cy="3210020"/>
                    </a:xfrm>
                    <a:prstGeom prst="rect">
                      <a:avLst/>
                    </a:prstGeom>
                  </pic:spPr>
                </pic:pic>
              </a:graphicData>
            </a:graphic>
          </wp:inline>
        </w:drawing>
      </w:r>
      <w:r>
        <w:rPr>
          <w:rFonts w:ascii="Corbel"/>
          <w:sz w:val="20"/>
        </w:rPr>
      </w:r>
    </w:p>
    <w:p>
      <w:pPr>
        <w:spacing w:before="47"/>
        <w:ind w:left="1001" w:right="1253" w:firstLine="0"/>
        <w:jc w:val="center"/>
        <w:rPr>
          <w:sz w:val="15"/>
        </w:rPr>
      </w:pPr>
      <w:r>
        <w:rPr>
          <w:b/>
          <w:sz w:val="15"/>
        </w:rPr>
        <w:t>Fuente</w:t>
      </w:r>
      <w:r>
        <w:rPr>
          <w:sz w:val="15"/>
        </w:rPr>
        <w:t>: Ficha Municipal de Magdalena, Jalisco. INSTITUTO DE INFORMACIÓN ESTADÍSTICA Y GEOGRÁFICA https://iieg.gob.mx/contenido/Municipios/Magdalena.pdf</w:t>
      </w:r>
    </w:p>
    <w:p>
      <w:pPr>
        <w:pStyle w:val="BodyText"/>
        <w:rPr>
          <w:sz w:val="18"/>
        </w:rPr>
      </w:pPr>
    </w:p>
    <w:p>
      <w:pPr>
        <w:pStyle w:val="BodyText"/>
        <w:rPr>
          <w:sz w:val="18"/>
        </w:rPr>
      </w:pPr>
    </w:p>
    <w:p>
      <w:pPr>
        <w:pStyle w:val="BodyText"/>
        <w:spacing w:before="10"/>
        <w:rPr>
          <w:sz w:val="14"/>
        </w:rPr>
      </w:pPr>
    </w:p>
    <w:p>
      <w:pPr>
        <w:pStyle w:val="ListParagraph"/>
        <w:numPr>
          <w:ilvl w:val="1"/>
          <w:numId w:val="39"/>
        </w:numPr>
        <w:tabs>
          <w:tab w:pos="1291" w:val="left" w:leader="none"/>
        </w:tabs>
        <w:spacing w:line="240" w:lineRule="auto" w:before="0" w:after="0"/>
        <w:ind w:left="1290" w:right="0" w:hanging="390"/>
        <w:jc w:val="left"/>
        <w:rPr>
          <w:rFonts w:ascii="Corbel" w:hAnsi="Corbel"/>
          <w:color w:val="365F91"/>
          <w:sz w:val="26"/>
        </w:rPr>
      </w:pPr>
      <w:bookmarkStart w:name="_bookmark13" w:id="21"/>
      <w:bookmarkEnd w:id="21"/>
      <w:r>
        <w:rPr/>
      </w:r>
      <w:bookmarkStart w:name="_bookmark13" w:id="22"/>
      <w:bookmarkEnd w:id="22"/>
      <w:r>
        <w:rPr>
          <w:rFonts w:ascii="Corbel" w:hAnsi="Corbel"/>
          <w:smallCaps w:val="0"/>
          <w:color w:val="365F91"/>
          <w:sz w:val="26"/>
        </w:rPr>
        <w:t>C</w:t>
      </w:r>
      <w:r>
        <w:rPr>
          <w:rFonts w:ascii="Corbel" w:hAnsi="Corbel"/>
          <w:smallCaps w:val="0"/>
          <w:color w:val="365F91"/>
          <w:sz w:val="26"/>
        </w:rPr>
        <w:t>OMPONENTE</w:t>
      </w:r>
      <w:r>
        <w:rPr>
          <w:rFonts w:ascii="Corbel" w:hAnsi="Corbel"/>
          <w:smallCaps w:val="0"/>
          <w:color w:val="365F91"/>
          <w:spacing w:val="1"/>
          <w:sz w:val="26"/>
        </w:rPr>
        <w:t> </w:t>
      </w:r>
      <w:r>
        <w:rPr>
          <w:rFonts w:ascii="Corbel" w:hAnsi="Corbel"/>
          <w:smallCaps w:val="0"/>
          <w:color w:val="365F91"/>
          <w:sz w:val="26"/>
        </w:rPr>
        <w:t>ESTRATÉGICO</w:t>
      </w:r>
    </w:p>
    <w:p>
      <w:pPr>
        <w:pStyle w:val="BodyText"/>
        <w:spacing w:before="2"/>
        <w:rPr>
          <w:rFonts w:ascii="Corbel"/>
          <w:sz w:val="24"/>
        </w:rPr>
      </w:pPr>
    </w:p>
    <w:p>
      <w:pPr>
        <w:pStyle w:val="Heading2"/>
      </w:pPr>
      <w:r>
        <w:rPr/>
        <w:t>VISIÓN</w:t>
      </w:r>
    </w:p>
    <w:p>
      <w:pPr>
        <w:pStyle w:val="BodyText"/>
        <w:spacing w:before="2"/>
        <w:rPr>
          <w:rFonts w:ascii="Corbel"/>
          <w:b/>
          <w:sz w:val="24"/>
        </w:rPr>
      </w:pPr>
    </w:p>
    <w:p>
      <w:pPr>
        <w:pStyle w:val="BodyText"/>
        <w:ind w:left="901" w:right="1154"/>
        <w:jc w:val="both"/>
      </w:pPr>
      <w:r>
        <w:rPr/>
        <w:t>Magdalena es un municipio plural incluyente, con instituciones sólidas y eficientes, gestoras y promotoras del desarrollo municipal; que promueve la sana convivencia y la integración de grupos sociales y vulnerables.</w:t>
      </w:r>
    </w:p>
    <w:p>
      <w:pPr>
        <w:pStyle w:val="BodyText"/>
        <w:spacing w:before="12"/>
        <w:rPr>
          <w:sz w:val="23"/>
        </w:rPr>
      </w:pPr>
    </w:p>
    <w:p>
      <w:pPr>
        <w:pStyle w:val="Heading2"/>
        <w:rPr>
          <w:rFonts w:ascii="Century Gothic"/>
        </w:rPr>
      </w:pPr>
      <w:r>
        <w:rPr>
          <w:rFonts w:ascii="Century Gothic"/>
        </w:rPr>
        <w:t>OBJETIVOS</w:t>
      </w:r>
    </w:p>
    <w:p>
      <w:pPr>
        <w:pStyle w:val="BodyText"/>
        <w:spacing w:before="11"/>
        <w:rPr>
          <w:b/>
          <w:sz w:val="21"/>
        </w:rPr>
      </w:pPr>
    </w:p>
    <w:p>
      <w:pPr>
        <w:pStyle w:val="ListParagraph"/>
        <w:numPr>
          <w:ilvl w:val="2"/>
          <w:numId w:val="39"/>
        </w:numPr>
        <w:tabs>
          <w:tab w:pos="1622" w:val="left" w:leader="none"/>
        </w:tabs>
        <w:spacing w:line="240" w:lineRule="auto" w:before="0" w:after="0"/>
        <w:ind w:left="1621" w:right="0" w:hanging="361"/>
        <w:jc w:val="left"/>
        <w:rPr>
          <w:sz w:val="22"/>
        </w:rPr>
      </w:pPr>
      <w:r>
        <w:rPr>
          <w:sz w:val="22"/>
        </w:rPr>
        <w:t>Consolidar una Administración Pública</w:t>
      </w:r>
      <w:r>
        <w:rPr>
          <w:spacing w:val="-1"/>
          <w:sz w:val="22"/>
        </w:rPr>
        <w:t> </w:t>
      </w:r>
      <w:r>
        <w:rPr>
          <w:sz w:val="22"/>
        </w:rPr>
        <w:t>eficiente.</w:t>
      </w:r>
    </w:p>
    <w:p>
      <w:pPr>
        <w:pStyle w:val="ListParagraph"/>
        <w:numPr>
          <w:ilvl w:val="2"/>
          <w:numId w:val="39"/>
        </w:numPr>
        <w:tabs>
          <w:tab w:pos="1622" w:val="left" w:leader="none"/>
        </w:tabs>
        <w:spacing w:line="240" w:lineRule="auto" w:before="2" w:after="0"/>
        <w:ind w:left="1621" w:right="1156" w:hanging="360"/>
        <w:jc w:val="left"/>
        <w:rPr>
          <w:sz w:val="22"/>
        </w:rPr>
      </w:pPr>
      <w:r>
        <w:rPr>
          <w:sz w:val="22"/>
        </w:rPr>
        <w:t>Fortalecer las instituciones y las capacidades de la gestión en la administración pública.</w:t>
      </w:r>
    </w:p>
    <w:p>
      <w:pPr>
        <w:pStyle w:val="ListParagraph"/>
        <w:numPr>
          <w:ilvl w:val="2"/>
          <w:numId w:val="39"/>
        </w:numPr>
        <w:tabs>
          <w:tab w:pos="1622" w:val="left" w:leader="none"/>
        </w:tabs>
        <w:spacing w:line="269" w:lineRule="exact" w:before="0" w:after="0"/>
        <w:ind w:left="1621" w:right="0" w:hanging="361"/>
        <w:jc w:val="left"/>
        <w:rPr>
          <w:sz w:val="22"/>
        </w:rPr>
      </w:pPr>
      <w:r>
        <w:rPr>
          <w:sz w:val="22"/>
        </w:rPr>
        <w:t>Optimizar la administración de la Hacienda Pública</w:t>
      </w:r>
      <w:r>
        <w:rPr>
          <w:spacing w:val="-8"/>
          <w:sz w:val="22"/>
        </w:rPr>
        <w:t> </w:t>
      </w:r>
      <w:r>
        <w:rPr>
          <w:sz w:val="22"/>
        </w:rPr>
        <w:t>Municipal.</w:t>
      </w:r>
    </w:p>
    <w:p>
      <w:pPr>
        <w:pStyle w:val="ListParagraph"/>
        <w:numPr>
          <w:ilvl w:val="2"/>
          <w:numId w:val="39"/>
        </w:numPr>
        <w:tabs>
          <w:tab w:pos="1622" w:val="left" w:leader="none"/>
        </w:tabs>
        <w:spacing w:line="269" w:lineRule="exact" w:before="0" w:after="0"/>
        <w:ind w:left="1621" w:right="0" w:hanging="361"/>
        <w:jc w:val="left"/>
        <w:rPr>
          <w:sz w:val="22"/>
        </w:rPr>
      </w:pPr>
      <w:r>
        <w:rPr>
          <w:sz w:val="22"/>
        </w:rPr>
        <w:t>Impulsar la participación de la sociedad en la toma de</w:t>
      </w:r>
      <w:r>
        <w:rPr>
          <w:spacing w:val="-14"/>
          <w:sz w:val="22"/>
        </w:rPr>
        <w:t> </w:t>
      </w:r>
      <w:r>
        <w:rPr>
          <w:sz w:val="22"/>
        </w:rPr>
        <w:t>decisiones.</w:t>
      </w:r>
    </w:p>
    <w:p>
      <w:pPr>
        <w:spacing w:after="0" w:line="269" w:lineRule="exact"/>
        <w:jc w:val="left"/>
        <w:rPr>
          <w:sz w:val="22"/>
        </w:rPr>
        <w:sectPr>
          <w:pgSz w:w="12240" w:h="15840"/>
          <w:pgMar w:header="178" w:footer="1179" w:top="1120" w:bottom="1360" w:left="460" w:right="220"/>
        </w:sectPr>
      </w:pPr>
    </w:p>
    <w:p>
      <w:pPr>
        <w:pStyle w:val="BodyText"/>
        <w:rPr>
          <w:sz w:val="20"/>
        </w:rPr>
      </w:pPr>
    </w:p>
    <w:p>
      <w:pPr>
        <w:pStyle w:val="BodyText"/>
        <w:rPr>
          <w:sz w:val="20"/>
        </w:rPr>
      </w:pPr>
    </w:p>
    <w:p>
      <w:pPr>
        <w:pStyle w:val="BodyText"/>
        <w:rPr>
          <w:sz w:val="20"/>
        </w:rPr>
      </w:pPr>
    </w:p>
    <w:p>
      <w:pPr>
        <w:pStyle w:val="BodyText"/>
        <w:rPr>
          <w:sz w:val="21"/>
        </w:rPr>
      </w:pPr>
    </w:p>
    <w:p>
      <w:pPr>
        <w:pStyle w:val="Heading2"/>
        <w:spacing w:before="100"/>
        <w:rPr>
          <w:rFonts w:ascii="Century Gothic" w:hAnsi="Century Gothic"/>
        </w:rPr>
      </w:pPr>
      <w:r>
        <w:rPr>
          <w:rFonts w:ascii="Century Gothic" w:hAnsi="Century Gothic"/>
          <w:color w:val="A6A6A6"/>
        </w:rPr>
        <w:t>LÍNEAS ESTRATÉGICAS, PROGRAMAS Y PROYECTOS</w:t>
      </w:r>
    </w:p>
    <w:p>
      <w:pPr>
        <w:pStyle w:val="BodyText"/>
        <w:spacing w:before="5"/>
        <w:rPr>
          <w:b/>
          <w:sz w:val="23"/>
        </w:rPr>
      </w:pPr>
    </w:p>
    <w:p>
      <w:pPr>
        <w:spacing w:before="1"/>
        <w:ind w:left="901" w:right="0" w:firstLine="0"/>
        <w:jc w:val="left"/>
        <w:rPr>
          <w:rFonts w:ascii="Tw Cen MT Condensed Extra Bold"/>
          <w:sz w:val="66"/>
        </w:rPr>
      </w:pPr>
      <w:r>
        <w:rPr/>
        <w:drawing>
          <wp:anchor distT="0" distB="0" distL="0" distR="0" allowOverlap="1" layoutInCell="1" locked="0" behindDoc="0" simplePos="0" relativeHeight="251723776">
            <wp:simplePos x="0" y="0"/>
            <wp:positionH relativeFrom="page">
              <wp:posOffset>5369442</wp:posOffset>
            </wp:positionH>
            <wp:positionV relativeFrom="paragraph">
              <wp:posOffset>-32056</wp:posOffset>
            </wp:positionV>
            <wp:extent cx="497603" cy="350165"/>
            <wp:effectExtent l="0" t="0" r="0" b="0"/>
            <wp:wrapNone/>
            <wp:docPr id="33" name="image34.png"/>
            <wp:cNvGraphicFramePr>
              <a:graphicFrameLocks noChangeAspect="1"/>
            </wp:cNvGraphicFramePr>
            <a:graphic>
              <a:graphicData uri="http://schemas.openxmlformats.org/drawingml/2006/picture">
                <pic:pic>
                  <pic:nvPicPr>
                    <pic:cNvPr id="34" name="image34.png"/>
                    <pic:cNvPicPr/>
                  </pic:nvPicPr>
                  <pic:blipFill>
                    <a:blip r:embed="rId48" cstate="print"/>
                    <a:stretch>
                      <a:fillRect/>
                    </a:stretch>
                  </pic:blipFill>
                  <pic:spPr>
                    <a:xfrm>
                      <a:off x="0" y="0"/>
                      <a:ext cx="497603" cy="350165"/>
                    </a:xfrm>
                    <a:prstGeom prst="rect">
                      <a:avLst/>
                    </a:prstGeom>
                  </pic:spPr>
                </pic:pic>
              </a:graphicData>
            </a:graphic>
          </wp:anchor>
        </w:drawing>
      </w:r>
      <w:r>
        <w:rPr>
          <w:rFonts w:ascii="Tw Cen MT Condensed Extra Bold"/>
          <w:color w:val="00AF50"/>
          <w:sz w:val="66"/>
        </w:rPr>
        <w:t>Gobierno</w:t>
      </w:r>
    </w:p>
    <w:p>
      <w:pPr>
        <w:pStyle w:val="BodyText"/>
        <w:spacing w:before="8"/>
        <w:rPr>
          <w:rFonts w:ascii="Tw Cen MT Condensed Extra Bold"/>
          <w:sz w:val="7"/>
        </w:rPr>
      </w:pPr>
    </w:p>
    <w:tbl>
      <w:tblPr>
        <w:tblCellSpacing w:w="5" w:type="dxa"/>
        <w:tblW w:w="0" w:type="auto"/>
        <w:jc w:val="left"/>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40"/>
        <w:gridCol w:w="4738"/>
      </w:tblGrid>
      <w:tr>
        <w:trPr>
          <w:trHeight w:val="1815" w:hRule="atLeast"/>
        </w:trPr>
        <w:tc>
          <w:tcPr>
            <w:tcW w:w="4740" w:type="dxa"/>
            <w:tcBorders>
              <w:right w:val="nil"/>
            </w:tcBorders>
            <w:shd w:val="clear" w:color="auto" w:fill="00AF50"/>
          </w:tcPr>
          <w:p>
            <w:pPr>
              <w:pStyle w:val="TableParagraph"/>
              <w:rPr>
                <w:rFonts w:ascii="Tw Cen MT Condensed Extra Bold"/>
                <w:sz w:val="48"/>
              </w:rPr>
            </w:pPr>
          </w:p>
          <w:p>
            <w:pPr>
              <w:pStyle w:val="TableParagraph"/>
              <w:spacing w:before="391"/>
              <w:ind w:left="1401"/>
              <w:rPr>
                <w:rFonts w:ascii="Corbel"/>
                <w:sz w:val="48"/>
              </w:rPr>
            </w:pPr>
            <w:r>
              <w:rPr>
                <w:rFonts w:ascii="Corbel"/>
                <w:color w:val="FFFFFF"/>
                <w:sz w:val="48"/>
              </w:rPr>
              <w:t>Problema</w:t>
            </w:r>
          </w:p>
        </w:tc>
        <w:tc>
          <w:tcPr>
            <w:tcW w:w="4738" w:type="dxa"/>
            <w:tcBorders>
              <w:left w:val="nil"/>
            </w:tcBorders>
            <w:shd w:val="clear" w:color="auto" w:fill="00AF50"/>
          </w:tcPr>
          <w:p>
            <w:pPr>
              <w:pStyle w:val="TableParagraph"/>
              <w:rPr>
                <w:rFonts w:ascii="Tw Cen MT Condensed Extra Bold"/>
                <w:sz w:val="48"/>
              </w:rPr>
            </w:pPr>
          </w:p>
          <w:p>
            <w:pPr>
              <w:pStyle w:val="TableParagraph"/>
              <w:spacing w:before="391"/>
              <w:ind w:left="89" w:right="90"/>
              <w:jc w:val="center"/>
              <w:rPr>
                <w:rFonts w:ascii="Corbel" w:hAnsi="Corbel"/>
                <w:sz w:val="48"/>
              </w:rPr>
            </w:pPr>
            <w:r>
              <w:rPr>
                <w:rFonts w:ascii="Corbel" w:hAnsi="Corbel"/>
                <w:color w:val="FFFFFF"/>
                <w:sz w:val="48"/>
              </w:rPr>
              <w:t>Línea Estratégica</w:t>
            </w:r>
          </w:p>
        </w:tc>
      </w:tr>
      <w:tr>
        <w:trPr>
          <w:trHeight w:val="8778" w:hRule="atLeast"/>
        </w:trPr>
        <w:tc>
          <w:tcPr>
            <w:tcW w:w="4740" w:type="dxa"/>
            <w:tcBorders>
              <w:right w:val="nil"/>
            </w:tcBorders>
            <w:shd w:val="clear" w:color="auto" w:fill="EAF0DD"/>
          </w:tcPr>
          <w:p>
            <w:pPr>
              <w:pStyle w:val="TableParagraph"/>
              <w:rPr>
                <w:rFonts w:ascii="Tw Cen MT Condensed Extra Bold"/>
                <w:sz w:val="20"/>
              </w:rPr>
            </w:pPr>
          </w:p>
          <w:p>
            <w:pPr>
              <w:pStyle w:val="TableParagraph"/>
              <w:spacing w:before="2"/>
              <w:rPr>
                <w:rFonts w:ascii="Tw Cen MT Condensed Extra Bold"/>
                <w:sz w:val="29"/>
              </w:rPr>
            </w:pPr>
          </w:p>
          <w:p>
            <w:pPr>
              <w:pStyle w:val="TableParagraph"/>
              <w:numPr>
                <w:ilvl w:val="0"/>
                <w:numId w:val="60"/>
              </w:numPr>
              <w:tabs>
                <w:tab w:pos="823" w:val="left" w:leader="none"/>
                <w:tab w:pos="824" w:val="left" w:leader="none"/>
              </w:tabs>
              <w:spacing w:line="276" w:lineRule="auto" w:before="0" w:after="0"/>
              <w:ind w:left="823" w:right="183" w:hanging="360"/>
              <w:jc w:val="left"/>
              <w:rPr>
                <w:rFonts w:ascii="Corbel" w:hAnsi="Corbel"/>
                <w:sz w:val="21"/>
              </w:rPr>
            </w:pPr>
            <w:r>
              <w:rPr>
                <w:rFonts w:ascii="Corbel" w:hAnsi="Corbel"/>
                <w:smallCaps w:val="0"/>
                <w:sz w:val="21"/>
              </w:rPr>
              <w:t>Se carece de algunos manuales </w:t>
            </w:r>
            <w:r>
              <w:rPr>
                <w:rFonts w:ascii="Corbel" w:hAnsi="Corbel"/>
                <w:smallCaps w:val="0"/>
                <w:spacing w:val="-3"/>
                <w:sz w:val="21"/>
              </w:rPr>
              <w:t>de </w:t>
            </w:r>
            <w:r>
              <w:rPr>
                <w:rFonts w:ascii="Corbel" w:hAnsi="Corbel"/>
                <w:smallCaps w:val="0"/>
                <w:sz w:val="21"/>
              </w:rPr>
              <w:t>organización que definan y delimiten las funciones específicas de todos y cada uno de sus departamentos, esto ha ocasionado desconocimiento de cuáles son los trabajos específicos que se deben realizar en los departamentos o direcciones</w:t>
            </w:r>
            <w:r>
              <w:rPr>
                <w:rFonts w:ascii="Corbel" w:hAnsi="Corbel"/>
                <w:smallCaps w:val="0"/>
                <w:spacing w:val="-6"/>
                <w:sz w:val="21"/>
              </w:rPr>
              <w:t> </w:t>
            </w:r>
            <w:r>
              <w:rPr>
                <w:rFonts w:ascii="Corbel" w:hAnsi="Corbel"/>
                <w:smallCaps w:val="0"/>
                <w:sz w:val="21"/>
              </w:rPr>
              <w:t>existentes.</w:t>
            </w:r>
          </w:p>
          <w:p>
            <w:pPr>
              <w:pStyle w:val="TableParagraph"/>
              <w:spacing w:before="1"/>
              <w:rPr>
                <w:rFonts w:ascii="Tw Cen MT Condensed Extra Bold"/>
                <w:sz w:val="27"/>
              </w:rPr>
            </w:pPr>
          </w:p>
          <w:p>
            <w:pPr>
              <w:pStyle w:val="TableParagraph"/>
              <w:numPr>
                <w:ilvl w:val="0"/>
                <w:numId w:val="60"/>
              </w:numPr>
              <w:tabs>
                <w:tab w:pos="824" w:val="left" w:leader="none"/>
              </w:tabs>
              <w:spacing w:line="276" w:lineRule="auto" w:before="0" w:after="0"/>
              <w:ind w:left="823" w:right="239" w:hanging="360"/>
              <w:jc w:val="left"/>
              <w:rPr>
                <w:rFonts w:ascii="Corbel" w:hAnsi="Corbel"/>
                <w:sz w:val="21"/>
              </w:rPr>
            </w:pPr>
            <w:r>
              <w:rPr>
                <w:rFonts w:ascii="Corbel" w:hAnsi="Corbel"/>
                <w:smallCaps w:val="0"/>
                <w:sz w:val="21"/>
              </w:rPr>
              <w:t>Tramites y servicios del Ayuntamiento que no se han modernizado para aprovechar la tecnología y hacerlos más agiles y simplificarlos para el</w:t>
            </w:r>
            <w:r>
              <w:rPr>
                <w:rFonts w:ascii="Corbel" w:hAnsi="Corbel"/>
                <w:smallCaps w:val="0"/>
                <w:spacing w:val="-7"/>
                <w:sz w:val="21"/>
              </w:rPr>
              <w:t> </w:t>
            </w:r>
            <w:r>
              <w:rPr>
                <w:rFonts w:ascii="Corbel" w:hAnsi="Corbel"/>
                <w:smallCaps w:val="0"/>
                <w:sz w:val="21"/>
              </w:rPr>
              <w:t>ciudadano.</w:t>
            </w:r>
          </w:p>
          <w:p>
            <w:pPr>
              <w:pStyle w:val="TableParagraph"/>
              <w:spacing w:before="3"/>
              <w:rPr>
                <w:rFonts w:ascii="Tw Cen MT Condensed Extra Bold"/>
                <w:sz w:val="24"/>
              </w:rPr>
            </w:pPr>
          </w:p>
          <w:p>
            <w:pPr>
              <w:pStyle w:val="TableParagraph"/>
              <w:numPr>
                <w:ilvl w:val="0"/>
                <w:numId w:val="60"/>
              </w:numPr>
              <w:tabs>
                <w:tab w:pos="824" w:val="left" w:leader="none"/>
              </w:tabs>
              <w:spacing w:line="276" w:lineRule="auto" w:before="0" w:after="0"/>
              <w:ind w:left="823" w:right="315" w:hanging="360"/>
              <w:jc w:val="left"/>
              <w:rPr>
                <w:rFonts w:ascii="Tw Cen MT Condensed Extra Bold"/>
                <w:sz w:val="21"/>
              </w:rPr>
            </w:pPr>
            <w:r>
              <w:rPr>
                <w:rFonts w:ascii="Corbel"/>
                <w:sz w:val="21"/>
              </w:rPr>
              <w:t>Los ingresos propios del municipio han permanecido entre el </w:t>
            </w:r>
            <w:r>
              <w:rPr>
                <w:rFonts w:ascii="Corbel"/>
                <w:smallCaps/>
                <w:sz w:val="21"/>
              </w:rPr>
              <w:t>14</w:t>
            </w:r>
            <w:r>
              <w:rPr>
                <w:rFonts w:ascii="Corbel"/>
                <w:smallCaps w:val="0"/>
                <w:sz w:val="21"/>
              </w:rPr>
              <w:t> y el </w:t>
            </w:r>
            <w:r>
              <w:rPr>
                <w:rFonts w:ascii="Corbel"/>
                <w:smallCaps/>
                <w:sz w:val="21"/>
              </w:rPr>
              <w:t>1</w:t>
            </w:r>
            <w:r>
              <w:rPr>
                <w:rFonts w:ascii="Corbel"/>
                <w:smallCaps w:val="0"/>
                <w:sz w:val="21"/>
              </w:rPr>
              <w:t>5% del total de ingresos.</w:t>
            </w:r>
          </w:p>
          <w:p>
            <w:pPr>
              <w:pStyle w:val="TableParagraph"/>
              <w:spacing w:before="1"/>
              <w:rPr>
                <w:rFonts w:ascii="Tw Cen MT Condensed Extra Bold"/>
                <w:sz w:val="24"/>
              </w:rPr>
            </w:pPr>
          </w:p>
          <w:p>
            <w:pPr>
              <w:pStyle w:val="TableParagraph"/>
              <w:numPr>
                <w:ilvl w:val="0"/>
                <w:numId w:val="60"/>
              </w:numPr>
              <w:tabs>
                <w:tab w:pos="824" w:val="left" w:leader="none"/>
              </w:tabs>
              <w:spacing w:line="276" w:lineRule="auto" w:before="0" w:after="0"/>
              <w:ind w:left="823" w:right="120" w:hanging="360"/>
              <w:jc w:val="left"/>
              <w:rPr>
                <w:rFonts w:ascii="Corbel" w:hAnsi="Corbel"/>
                <w:sz w:val="21"/>
              </w:rPr>
            </w:pPr>
            <w:r>
              <w:rPr>
                <w:rFonts w:ascii="Corbel" w:hAnsi="Corbel"/>
                <w:sz w:val="21"/>
              </w:rPr>
              <w:t>No existe un sistema de evaluación del desempeño en el municipio que garantice la eficacia y eficiencia de la gestión</w:t>
            </w:r>
            <w:r>
              <w:rPr>
                <w:rFonts w:ascii="Corbel" w:hAnsi="Corbel"/>
                <w:spacing w:val="-16"/>
                <w:sz w:val="21"/>
              </w:rPr>
              <w:t> </w:t>
            </w:r>
            <w:r>
              <w:rPr>
                <w:rFonts w:ascii="Corbel" w:hAnsi="Corbel"/>
                <w:sz w:val="21"/>
              </w:rPr>
              <w:t>municipal.</w:t>
            </w:r>
          </w:p>
          <w:p>
            <w:pPr>
              <w:pStyle w:val="TableParagraph"/>
              <w:spacing w:before="3"/>
              <w:rPr>
                <w:rFonts w:ascii="Tw Cen MT Condensed Extra Bold"/>
                <w:sz w:val="24"/>
              </w:rPr>
            </w:pPr>
          </w:p>
          <w:p>
            <w:pPr>
              <w:pStyle w:val="TableParagraph"/>
              <w:numPr>
                <w:ilvl w:val="0"/>
                <w:numId w:val="60"/>
              </w:numPr>
              <w:tabs>
                <w:tab w:pos="823" w:val="left" w:leader="none"/>
                <w:tab w:pos="824" w:val="left" w:leader="none"/>
              </w:tabs>
              <w:spacing w:line="276" w:lineRule="auto" w:before="0" w:after="0"/>
              <w:ind w:left="823" w:right="270" w:hanging="360"/>
              <w:jc w:val="left"/>
              <w:rPr>
                <w:rFonts w:ascii="Corbel" w:hAnsi="Corbel"/>
                <w:sz w:val="21"/>
              </w:rPr>
            </w:pPr>
            <w:r>
              <w:rPr>
                <w:rFonts w:ascii="Corbel" w:hAnsi="Corbel"/>
                <w:sz w:val="21"/>
              </w:rPr>
              <w:t>No existe un área de atención ciudadana que le pueda dar atención y seguimiento a las solicitudes y demandas de la población que acude al gobierno municipal, ni las dependencias públicas cuentan con personal capacitado para el área </w:t>
            </w:r>
            <w:r>
              <w:rPr>
                <w:rFonts w:ascii="Corbel" w:hAnsi="Corbel"/>
                <w:spacing w:val="-3"/>
                <w:sz w:val="21"/>
              </w:rPr>
              <w:t>de </w:t>
            </w:r>
            <w:r>
              <w:rPr>
                <w:rFonts w:ascii="Corbel" w:hAnsi="Corbel"/>
                <w:sz w:val="21"/>
              </w:rPr>
              <w:t>atención al</w:t>
            </w:r>
            <w:r>
              <w:rPr>
                <w:rFonts w:ascii="Corbel" w:hAnsi="Corbel"/>
                <w:spacing w:val="-4"/>
                <w:sz w:val="21"/>
              </w:rPr>
              <w:t> </w:t>
            </w:r>
            <w:r>
              <w:rPr>
                <w:rFonts w:ascii="Corbel" w:hAnsi="Corbel"/>
                <w:sz w:val="21"/>
              </w:rPr>
              <w:t>público.</w:t>
            </w:r>
          </w:p>
        </w:tc>
        <w:tc>
          <w:tcPr>
            <w:tcW w:w="4738" w:type="dxa"/>
            <w:tcBorders>
              <w:left w:val="nil"/>
            </w:tcBorders>
            <w:shd w:val="clear" w:color="auto" w:fill="EAF0DD"/>
          </w:tcPr>
          <w:p>
            <w:pPr>
              <w:pStyle w:val="TableParagraph"/>
              <w:rPr>
                <w:rFonts w:ascii="Tw Cen MT Condensed Extra Bold"/>
                <w:sz w:val="20"/>
              </w:rPr>
            </w:pPr>
          </w:p>
          <w:p>
            <w:pPr>
              <w:pStyle w:val="TableParagraph"/>
              <w:rPr>
                <w:rFonts w:ascii="Tw Cen MT Condensed Extra Bold"/>
                <w:sz w:val="20"/>
              </w:rPr>
            </w:pPr>
          </w:p>
          <w:p>
            <w:pPr>
              <w:pStyle w:val="TableParagraph"/>
              <w:spacing w:before="114"/>
              <w:ind w:left="89" w:right="174"/>
              <w:jc w:val="center"/>
              <w:rPr>
                <w:rFonts w:ascii="Corbel"/>
                <w:sz w:val="21"/>
              </w:rPr>
            </w:pPr>
            <w:r>
              <w:rPr>
                <w:rFonts w:ascii="Corbel"/>
                <w:sz w:val="21"/>
              </w:rPr>
              <w:t>Eficientar y modernizar la estructura administrativa</w:t>
            </w:r>
          </w:p>
        </w:tc>
      </w:tr>
    </w:tbl>
    <w:p>
      <w:pPr>
        <w:spacing w:after="0"/>
        <w:jc w:val="center"/>
        <w:rPr>
          <w:rFonts w:ascii="Corbel"/>
          <w:sz w:val="21"/>
        </w:rPr>
        <w:sectPr>
          <w:pgSz w:w="12240" w:h="15840"/>
          <w:pgMar w:header="178" w:footer="1179" w:top="1120" w:bottom="1360" w:left="460" w:right="220"/>
        </w:sectPr>
      </w:pPr>
    </w:p>
    <w:p>
      <w:pPr>
        <w:pStyle w:val="BodyText"/>
        <w:rPr>
          <w:rFonts w:ascii="Times New Roman"/>
          <w:sz w:val="20"/>
        </w:rPr>
      </w:pPr>
    </w:p>
    <w:p>
      <w:pPr>
        <w:pStyle w:val="BodyText"/>
        <w:spacing w:before="7" w:after="1"/>
        <w:rPr>
          <w:rFonts w:ascii="Times New Roman"/>
          <w:sz w:val="24"/>
        </w:rPr>
      </w:pPr>
    </w:p>
    <w:tbl>
      <w:tblPr>
        <w:tblW w:w="0" w:type="auto"/>
        <w:jc w:val="left"/>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40"/>
        <w:gridCol w:w="4738"/>
      </w:tblGrid>
      <w:tr>
        <w:trPr>
          <w:trHeight w:val="3184" w:hRule="atLeast"/>
        </w:trPr>
        <w:tc>
          <w:tcPr>
            <w:tcW w:w="4740" w:type="dxa"/>
            <w:tcBorders>
              <w:right w:val="single" w:sz="4" w:space="0" w:color="FFFFFF"/>
            </w:tcBorders>
            <w:shd w:val="clear" w:color="auto" w:fill="EAF0DD"/>
          </w:tcPr>
          <w:p>
            <w:pPr>
              <w:pStyle w:val="TableParagraph"/>
              <w:spacing w:before="4"/>
              <w:rPr>
                <w:rFonts w:ascii="Times New Roman"/>
                <w:sz w:val="25"/>
              </w:rPr>
            </w:pPr>
          </w:p>
          <w:p>
            <w:pPr>
              <w:pStyle w:val="TableParagraph"/>
              <w:numPr>
                <w:ilvl w:val="0"/>
                <w:numId w:val="61"/>
              </w:numPr>
              <w:tabs>
                <w:tab w:pos="824" w:val="left" w:leader="none"/>
              </w:tabs>
              <w:spacing w:line="276" w:lineRule="auto" w:before="0" w:after="0"/>
              <w:ind w:left="823" w:right="462" w:hanging="360"/>
              <w:jc w:val="left"/>
              <w:rPr>
                <w:rFonts w:ascii="Corbel" w:hAnsi="Corbel"/>
                <w:sz w:val="21"/>
              </w:rPr>
            </w:pPr>
            <w:r>
              <w:rPr>
                <w:rFonts w:ascii="Corbel" w:hAnsi="Corbel"/>
                <w:sz w:val="21"/>
              </w:rPr>
              <w:t>Reglamentos pendientes de actualizar y áreas como la de control animal sin normativa</w:t>
            </w:r>
            <w:r>
              <w:rPr>
                <w:rFonts w:ascii="Corbel" w:hAnsi="Corbel"/>
                <w:spacing w:val="-3"/>
                <w:sz w:val="21"/>
              </w:rPr>
              <w:t> </w:t>
            </w:r>
            <w:r>
              <w:rPr>
                <w:rFonts w:ascii="Corbel" w:hAnsi="Corbel"/>
                <w:sz w:val="21"/>
              </w:rPr>
              <w:t>municipal.</w:t>
            </w:r>
          </w:p>
          <w:p>
            <w:pPr>
              <w:pStyle w:val="TableParagraph"/>
              <w:spacing w:before="7"/>
              <w:rPr>
                <w:rFonts w:ascii="Times New Roman"/>
                <w:sz w:val="25"/>
              </w:rPr>
            </w:pPr>
          </w:p>
          <w:p>
            <w:pPr>
              <w:pStyle w:val="TableParagraph"/>
              <w:numPr>
                <w:ilvl w:val="0"/>
                <w:numId w:val="61"/>
              </w:numPr>
              <w:tabs>
                <w:tab w:pos="824" w:val="left" w:leader="none"/>
              </w:tabs>
              <w:spacing w:line="276" w:lineRule="auto" w:before="0" w:after="0"/>
              <w:ind w:left="823" w:right="169" w:hanging="360"/>
              <w:jc w:val="left"/>
              <w:rPr>
                <w:rFonts w:ascii="Tw Cen MT Condensed Extra Bold" w:hAnsi="Tw Cen MT Condensed Extra Bold"/>
                <w:sz w:val="21"/>
              </w:rPr>
            </w:pPr>
            <w:r>
              <w:rPr>
                <w:rFonts w:ascii="Corbel" w:hAnsi="Corbel"/>
                <w:sz w:val="21"/>
              </w:rPr>
              <w:t>Aproximadamente el 40% de los inmuebles municipales carecen de documentación legal que acredite la propiedad de los mismos.</w:t>
            </w:r>
          </w:p>
        </w:tc>
        <w:tc>
          <w:tcPr>
            <w:tcW w:w="4738" w:type="dxa"/>
            <w:tcBorders>
              <w:left w:val="single" w:sz="4" w:space="0" w:color="FFFFFF"/>
            </w:tcBorders>
            <w:shd w:val="clear" w:color="auto" w:fill="EAF0DD"/>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35"/>
              <w:ind w:left="103" w:right="230"/>
              <w:rPr>
                <w:rFonts w:ascii="Corbel" w:hAnsi="Corbel"/>
                <w:sz w:val="21"/>
              </w:rPr>
            </w:pPr>
            <w:r>
              <w:rPr>
                <w:rFonts w:ascii="Corbel" w:hAnsi="Corbel"/>
                <w:sz w:val="21"/>
              </w:rPr>
              <w:t>Fortalecimiento del marco jurídico institucional del municipio.</w:t>
            </w:r>
          </w:p>
        </w:tc>
      </w:tr>
      <w:tr>
        <w:trPr>
          <w:trHeight w:val="574" w:hRule="atLeast"/>
        </w:trPr>
        <w:tc>
          <w:tcPr>
            <w:tcW w:w="4740" w:type="dxa"/>
            <w:tcBorders>
              <w:right w:val="single" w:sz="4" w:space="0" w:color="FFFFFF"/>
            </w:tcBorders>
          </w:tcPr>
          <w:p>
            <w:pPr>
              <w:pStyle w:val="TableParagraph"/>
              <w:rPr>
                <w:rFonts w:ascii="Times New Roman"/>
                <w:sz w:val="22"/>
              </w:rPr>
            </w:pPr>
          </w:p>
        </w:tc>
        <w:tc>
          <w:tcPr>
            <w:tcW w:w="4738" w:type="dxa"/>
            <w:tcBorders>
              <w:left w:val="single" w:sz="4" w:space="0" w:color="FFFFFF"/>
            </w:tcBorders>
          </w:tcPr>
          <w:p>
            <w:pPr>
              <w:pStyle w:val="TableParagraph"/>
              <w:rPr>
                <w:rFonts w:ascii="Times New Roman"/>
                <w:sz w:val="22"/>
              </w:rPr>
            </w:pPr>
          </w:p>
        </w:tc>
      </w:tr>
      <w:tr>
        <w:trPr>
          <w:trHeight w:val="1170" w:hRule="atLeast"/>
        </w:trPr>
        <w:tc>
          <w:tcPr>
            <w:tcW w:w="4740" w:type="dxa"/>
            <w:tcBorders>
              <w:bottom w:val="single" w:sz="4" w:space="0" w:color="FFFFFF"/>
              <w:right w:val="single" w:sz="4" w:space="0" w:color="FFFFFF"/>
            </w:tcBorders>
            <w:shd w:val="clear" w:color="auto" w:fill="00AF50"/>
          </w:tcPr>
          <w:p>
            <w:pPr>
              <w:pStyle w:val="TableParagraph"/>
              <w:spacing w:line="585" w:lineRule="exact"/>
              <w:ind w:left="1283"/>
              <w:rPr>
                <w:rFonts w:ascii="Corbel"/>
                <w:sz w:val="48"/>
              </w:rPr>
            </w:pPr>
            <w:r>
              <w:rPr>
                <w:rFonts w:ascii="Corbel"/>
                <w:color w:val="FFFFFF"/>
                <w:sz w:val="48"/>
              </w:rPr>
              <w:t>Programas</w:t>
            </w:r>
          </w:p>
        </w:tc>
        <w:tc>
          <w:tcPr>
            <w:tcW w:w="4738" w:type="dxa"/>
            <w:tcBorders>
              <w:left w:val="single" w:sz="4" w:space="0" w:color="FFFFFF"/>
              <w:bottom w:val="single" w:sz="4" w:space="0" w:color="FFFFFF"/>
            </w:tcBorders>
            <w:shd w:val="clear" w:color="auto" w:fill="00AF50"/>
          </w:tcPr>
          <w:p>
            <w:pPr>
              <w:pStyle w:val="TableParagraph"/>
              <w:spacing w:line="585" w:lineRule="exact"/>
              <w:ind w:left="1373"/>
              <w:rPr>
                <w:rFonts w:ascii="Corbel"/>
                <w:sz w:val="48"/>
              </w:rPr>
            </w:pPr>
            <w:r>
              <w:rPr>
                <w:rFonts w:ascii="Corbel"/>
                <w:color w:val="FFFFFF"/>
                <w:sz w:val="48"/>
              </w:rPr>
              <w:t>Proyectos</w:t>
            </w:r>
          </w:p>
        </w:tc>
      </w:tr>
      <w:tr>
        <w:trPr>
          <w:trHeight w:val="7697" w:hRule="atLeast"/>
        </w:trPr>
        <w:tc>
          <w:tcPr>
            <w:tcW w:w="4740" w:type="dxa"/>
            <w:tcBorders>
              <w:top w:val="single" w:sz="4" w:space="0" w:color="FFFFFF"/>
              <w:bottom w:val="single" w:sz="48" w:space="0" w:color="FFFFFF"/>
              <w:right w:val="single" w:sz="4" w:space="0" w:color="FFFFFF"/>
            </w:tcBorders>
            <w:shd w:val="clear" w:color="auto" w:fill="EAF0DD"/>
          </w:tcPr>
          <w:p>
            <w:pPr>
              <w:pStyle w:val="TableParagraph"/>
              <w:rPr>
                <w:rFonts w:ascii="Times New Roman"/>
                <w:sz w:val="22"/>
              </w:rPr>
            </w:pPr>
          </w:p>
          <w:p>
            <w:pPr>
              <w:pStyle w:val="TableParagraph"/>
              <w:spacing w:before="7"/>
              <w:rPr>
                <w:rFonts w:ascii="Times New Roman"/>
                <w:sz w:val="28"/>
              </w:rPr>
            </w:pPr>
          </w:p>
          <w:p>
            <w:pPr>
              <w:pStyle w:val="TableParagraph"/>
              <w:tabs>
                <w:tab w:pos="823" w:val="left" w:leader="none"/>
              </w:tabs>
              <w:spacing w:line="276" w:lineRule="auto"/>
              <w:ind w:left="823" w:right="1236" w:hanging="360"/>
              <w:rPr>
                <w:rFonts w:ascii="Corbel" w:hAnsi="Corbel"/>
                <w:sz w:val="22"/>
              </w:rPr>
            </w:pPr>
            <w:r>
              <w:rPr>
                <w:rFonts w:ascii="Corbel" w:hAnsi="Corbel"/>
                <w:smallCaps/>
                <w:spacing w:val="-1"/>
                <w:w w:val="100"/>
                <w:sz w:val="22"/>
              </w:rPr>
              <w:t>1</w:t>
            </w:r>
            <w:r>
              <w:rPr>
                <w:rFonts w:ascii="Corbel" w:hAnsi="Corbel"/>
                <w:smallCaps/>
                <w:w w:val="100"/>
                <w:sz w:val="22"/>
              </w:rPr>
              <w:t>.</w:t>
            </w:r>
            <w:r>
              <w:rPr>
                <w:rFonts w:ascii="Corbel" w:hAnsi="Corbel"/>
                <w:smallCaps w:val="0"/>
                <w:sz w:val="22"/>
              </w:rPr>
              <w:tab/>
            </w:r>
            <w:r>
              <w:rPr>
                <w:rFonts w:ascii="Corbel" w:hAnsi="Corbel"/>
                <w:smallCaps w:val="0"/>
                <w:spacing w:val="-2"/>
                <w:w w:val="100"/>
                <w:sz w:val="22"/>
              </w:rPr>
              <w:t>A</w:t>
            </w:r>
            <w:r>
              <w:rPr>
                <w:rFonts w:ascii="Corbel" w:hAnsi="Corbel"/>
                <w:smallCaps w:val="0"/>
                <w:spacing w:val="-1"/>
                <w:w w:val="100"/>
                <w:sz w:val="22"/>
              </w:rPr>
              <w:t>ct</w:t>
            </w:r>
            <w:r>
              <w:rPr>
                <w:rFonts w:ascii="Corbel" w:hAnsi="Corbel"/>
                <w:smallCaps w:val="0"/>
                <w:w w:val="100"/>
                <w:sz w:val="22"/>
              </w:rPr>
              <w:t>ua</w:t>
            </w:r>
            <w:r>
              <w:rPr>
                <w:rFonts w:ascii="Corbel" w:hAnsi="Corbel"/>
                <w:smallCaps w:val="0"/>
                <w:spacing w:val="-2"/>
                <w:w w:val="100"/>
                <w:sz w:val="22"/>
              </w:rPr>
              <w:t>l</w:t>
            </w:r>
            <w:r>
              <w:rPr>
                <w:rFonts w:ascii="Corbel" w:hAnsi="Corbel"/>
                <w:smallCaps w:val="0"/>
                <w:spacing w:val="-1"/>
                <w:w w:val="100"/>
                <w:sz w:val="22"/>
              </w:rPr>
              <w:t>izac</w:t>
            </w:r>
            <w:r>
              <w:rPr>
                <w:rFonts w:ascii="Corbel" w:hAnsi="Corbel"/>
                <w:smallCaps w:val="0"/>
                <w:spacing w:val="-2"/>
                <w:w w:val="100"/>
                <w:sz w:val="22"/>
              </w:rPr>
              <w:t>i</w:t>
            </w:r>
            <w:r>
              <w:rPr>
                <w:rFonts w:ascii="Corbel" w:hAnsi="Corbel"/>
                <w:smallCaps w:val="0"/>
                <w:spacing w:val="-1"/>
                <w:w w:val="100"/>
                <w:sz w:val="22"/>
              </w:rPr>
              <w:t>ó</w:t>
            </w:r>
            <w:r>
              <w:rPr>
                <w:rFonts w:ascii="Corbel" w:hAnsi="Corbel"/>
                <w:smallCaps w:val="0"/>
                <w:w w:val="100"/>
                <w:sz w:val="22"/>
              </w:rPr>
              <w:t>n</w:t>
            </w:r>
            <w:r>
              <w:rPr>
                <w:rFonts w:ascii="Corbel" w:hAnsi="Corbel"/>
                <w:smallCaps w:val="0"/>
                <w:sz w:val="22"/>
              </w:rPr>
              <w:t> </w:t>
            </w:r>
            <w:r>
              <w:rPr>
                <w:rFonts w:ascii="Corbel" w:hAnsi="Corbel"/>
                <w:smallCaps w:val="0"/>
                <w:spacing w:val="-1"/>
                <w:w w:val="100"/>
                <w:sz w:val="22"/>
              </w:rPr>
              <w:t>d</w:t>
            </w:r>
            <w:r>
              <w:rPr>
                <w:rFonts w:ascii="Corbel" w:hAnsi="Corbel"/>
                <w:smallCaps w:val="0"/>
                <w:w w:val="100"/>
                <w:sz w:val="22"/>
              </w:rPr>
              <w:t>e</w:t>
            </w:r>
            <w:r>
              <w:rPr>
                <w:rFonts w:ascii="Corbel" w:hAnsi="Corbel"/>
                <w:smallCaps w:val="0"/>
                <w:spacing w:val="-1"/>
                <w:sz w:val="22"/>
              </w:rPr>
              <w:t> </w:t>
            </w:r>
            <w:r>
              <w:rPr>
                <w:rFonts w:ascii="Corbel" w:hAnsi="Corbel"/>
                <w:smallCaps w:val="0"/>
                <w:spacing w:val="-1"/>
                <w:w w:val="100"/>
                <w:sz w:val="22"/>
              </w:rPr>
              <w:t>l</w:t>
            </w:r>
            <w:r>
              <w:rPr>
                <w:rFonts w:ascii="Corbel" w:hAnsi="Corbel"/>
                <w:smallCaps w:val="0"/>
                <w:w w:val="100"/>
                <w:sz w:val="22"/>
              </w:rPr>
              <w:t>a</w:t>
            </w:r>
            <w:r>
              <w:rPr>
                <w:rFonts w:ascii="Corbel" w:hAnsi="Corbel"/>
                <w:smallCaps w:val="0"/>
                <w:spacing w:val="-1"/>
                <w:sz w:val="22"/>
              </w:rPr>
              <w:t> </w:t>
            </w:r>
            <w:r>
              <w:rPr>
                <w:rFonts w:ascii="Corbel" w:hAnsi="Corbel"/>
                <w:smallCaps w:val="0"/>
                <w:w w:val="100"/>
                <w:sz w:val="22"/>
              </w:rPr>
              <w:t>estr</w:t>
            </w:r>
            <w:r>
              <w:rPr>
                <w:rFonts w:ascii="Corbel" w:hAnsi="Corbel"/>
                <w:smallCaps w:val="0"/>
                <w:spacing w:val="1"/>
                <w:w w:val="100"/>
                <w:sz w:val="22"/>
              </w:rPr>
              <w:t>u</w:t>
            </w:r>
            <w:r>
              <w:rPr>
                <w:rFonts w:ascii="Corbel" w:hAnsi="Corbel"/>
                <w:smallCaps w:val="0"/>
                <w:spacing w:val="-1"/>
                <w:w w:val="100"/>
                <w:sz w:val="22"/>
              </w:rPr>
              <w:t>c</w:t>
            </w:r>
            <w:r>
              <w:rPr>
                <w:rFonts w:ascii="Corbel" w:hAnsi="Corbel"/>
                <w:smallCaps w:val="0"/>
                <w:spacing w:val="-3"/>
                <w:w w:val="100"/>
                <w:sz w:val="22"/>
              </w:rPr>
              <w:t>t</w:t>
            </w:r>
            <w:r>
              <w:rPr>
                <w:rFonts w:ascii="Corbel" w:hAnsi="Corbel"/>
                <w:smallCaps w:val="0"/>
                <w:w w:val="100"/>
                <w:sz w:val="22"/>
              </w:rPr>
              <w:t>ura </w:t>
            </w:r>
            <w:r>
              <w:rPr>
                <w:rFonts w:ascii="Corbel" w:hAnsi="Corbel"/>
                <w:smallCaps w:val="0"/>
                <w:spacing w:val="-1"/>
                <w:w w:val="100"/>
                <w:sz w:val="22"/>
              </w:rPr>
              <w:t>or</w:t>
            </w:r>
            <w:r>
              <w:rPr>
                <w:rFonts w:ascii="Corbel" w:hAnsi="Corbel"/>
                <w:smallCaps w:val="0"/>
                <w:w w:val="100"/>
                <w:sz w:val="22"/>
              </w:rPr>
              <w:t>g</w:t>
            </w:r>
            <w:r>
              <w:rPr>
                <w:rFonts w:ascii="Corbel" w:hAnsi="Corbel"/>
                <w:smallCaps w:val="0"/>
                <w:spacing w:val="-3"/>
                <w:w w:val="100"/>
                <w:sz w:val="22"/>
              </w:rPr>
              <w:t>a</w:t>
            </w:r>
            <w:r>
              <w:rPr>
                <w:rFonts w:ascii="Corbel" w:hAnsi="Corbel"/>
                <w:smallCaps w:val="0"/>
                <w:spacing w:val="1"/>
                <w:w w:val="100"/>
                <w:sz w:val="22"/>
              </w:rPr>
              <w:t>n</w:t>
            </w:r>
            <w:r>
              <w:rPr>
                <w:rFonts w:ascii="Corbel" w:hAnsi="Corbel"/>
                <w:smallCaps w:val="0"/>
                <w:spacing w:val="-1"/>
                <w:w w:val="100"/>
                <w:sz w:val="22"/>
              </w:rPr>
              <w:t>izati</w:t>
            </w:r>
            <w:r>
              <w:rPr>
                <w:rFonts w:ascii="Corbel" w:hAnsi="Corbel"/>
                <w:smallCaps w:val="0"/>
                <w:w w:val="100"/>
                <w:sz w:val="22"/>
              </w:rPr>
              <w:t>va</w:t>
            </w:r>
            <w:r>
              <w:rPr>
                <w:rFonts w:ascii="Corbel" w:hAnsi="Corbel"/>
                <w:smallCaps w:val="0"/>
                <w:sz w:val="22"/>
              </w:rPr>
              <w:t> </w:t>
            </w:r>
            <w:r>
              <w:rPr>
                <w:rFonts w:ascii="Corbel" w:hAnsi="Corbel"/>
                <w:smallCaps w:val="0"/>
                <w:spacing w:val="-3"/>
                <w:w w:val="100"/>
                <w:sz w:val="22"/>
              </w:rPr>
              <w:t>m</w:t>
            </w:r>
            <w:r>
              <w:rPr>
                <w:rFonts w:ascii="Corbel" w:hAnsi="Corbel"/>
                <w:smallCaps w:val="0"/>
                <w:w w:val="100"/>
                <w:sz w:val="22"/>
              </w:rPr>
              <w:t>u</w:t>
            </w:r>
            <w:r>
              <w:rPr>
                <w:rFonts w:ascii="Corbel" w:hAnsi="Corbel"/>
                <w:smallCaps w:val="0"/>
                <w:spacing w:val="1"/>
                <w:w w:val="100"/>
                <w:sz w:val="22"/>
              </w:rPr>
              <w:t>n</w:t>
            </w:r>
            <w:r>
              <w:rPr>
                <w:rFonts w:ascii="Corbel" w:hAnsi="Corbel"/>
                <w:smallCaps w:val="0"/>
                <w:spacing w:val="-1"/>
                <w:w w:val="100"/>
                <w:sz w:val="22"/>
              </w:rPr>
              <w:t>ici</w:t>
            </w:r>
            <w:r>
              <w:rPr>
                <w:rFonts w:ascii="Corbel" w:hAnsi="Corbel"/>
                <w:smallCaps w:val="0"/>
                <w:w w:val="100"/>
                <w:sz w:val="22"/>
              </w:rPr>
              <w:t>pal</w:t>
            </w:r>
          </w:p>
        </w:tc>
        <w:tc>
          <w:tcPr>
            <w:tcW w:w="4738" w:type="dxa"/>
            <w:tcBorders>
              <w:top w:val="single" w:sz="4" w:space="0" w:color="FFFFFF"/>
              <w:left w:val="single" w:sz="4" w:space="0" w:color="FFFFFF"/>
              <w:bottom w:val="single" w:sz="48" w:space="0" w:color="FFFFFF"/>
            </w:tcBorders>
            <w:shd w:val="clear" w:color="auto" w:fill="EAF0DD"/>
          </w:tcPr>
          <w:p>
            <w:pPr>
              <w:pStyle w:val="TableParagraph"/>
              <w:rPr>
                <w:rFonts w:ascii="Times New Roman"/>
                <w:sz w:val="22"/>
              </w:rPr>
            </w:pPr>
          </w:p>
          <w:p>
            <w:pPr>
              <w:pStyle w:val="TableParagraph"/>
              <w:spacing w:before="3"/>
              <w:rPr>
                <w:rFonts w:ascii="Times New Roman"/>
                <w:sz w:val="27"/>
              </w:rPr>
            </w:pPr>
          </w:p>
          <w:p>
            <w:pPr>
              <w:pStyle w:val="TableParagraph"/>
              <w:numPr>
                <w:ilvl w:val="0"/>
                <w:numId w:val="62"/>
              </w:numPr>
              <w:tabs>
                <w:tab w:pos="857" w:val="left" w:leader="none"/>
                <w:tab w:pos="858" w:val="left" w:leader="none"/>
              </w:tabs>
              <w:spacing w:line="240" w:lineRule="auto" w:before="1" w:after="0"/>
              <w:ind w:left="857" w:right="226" w:hanging="394"/>
              <w:jc w:val="left"/>
              <w:rPr>
                <w:rFonts w:ascii="Symbol" w:hAnsi="Symbol"/>
                <w:color w:val="252525"/>
                <w:sz w:val="24"/>
              </w:rPr>
            </w:pPr>
            <w:r>
              <w:rPr>
                <w:rFonts w:ascii="Corbel" w:hAnsi="Corbel"/>
                <w:sz w:val="22"/>
              </w:rPr>
              <w:t>Crear y/o actualizar manuales de procedimientos de cada una de las áreas del</w:t>
            </w:r>
            <w:r>
              <w:rPr>
                <w:rFonts w:ascii="Corbel" w:hAnsi="Corbel"/>
                <w:spacing w:val="-2"/>
                <w:sz w:val="22"/>
              </w:rPr>
              <w:t> </w:t>
            </w:r>
            <w:r>
              <w:rPr>
                <w:rFonts w:ascii="Corbel" w:hAnsi="Corbel"/>
                <w:sz w:val="22"/>
              </w:rPr>
              <w:t>municipio.</w:t>
            </w:r>
          </w:p>
          <w:p>
            <w:pPr>
              <w:pStyle w:val="TableParagraph"/>
              <w:spacing w:before="9"/>
              <w:rPr>
                <w:rFonts w:ascii="Times New Roman"/>
                <w:sz w:val="26"/>
              </w:rPr>
            </w:pPr>
          </w:p>
          <w:p>
            <w:pPr>
              <w:pStyle w:val="TableParagraph"/>
              <w:numPr>
                <w:ilvl w:val="0"/>
                <w:numId w:val="62"/>
              </w:numPr>
              <w:tabs>
                <w:tab w:pos="823" w:val="left" w:leader="none"/>
                <w:tab w:pos="824" w:val="left" w:leader="none"/>
              </w:tabs>
              <w:spacing w:line="240" w:lineRule="auto" w:before="0" w:after="0"/>
              <w:ind w:left="823" w:right="107" w:hanging="361"/>
              <w:jc w:val="left"/>
              <w:rPr>
                <w:rFonts w:ascii="Symbol" w:hAnsi="Symbol"/>
                <w:color w:val="252525"/>
                <w:sz w:val="22"/>
              </w:rPr>
            </w:pPr>
            <w:r>
              <w:rPr>
                <w:rFonts w:ascii="Corbel" w:hAnsi="Corbel"/>
                <w:sz w:val="22"/>
              </w:rPr>
              <w:t>Crear una plataforma en linea, vinculada a la página del Ayuntamiento para que se puedan realizar pagos en línea y seguimiento de las solicitudes ciudadanas.</w:t>
            </w:r>
          </w:p>
          <w:p>
            <w:pPr>
              <w:pStyle w:val="TableParagraph"/>
              <w:spacing w:before="10"/>
              <w:rPr>
                <w:rFonts w:ascii="Times New Roman"/>
                <w:sz w:val="26"/>
              </w:rPr>
            </w:pPr>
          </w:p>
          <w:p>
            <w:pPr>
              <w:pStyle w:val="TableParagraph"/>
              <w:numPr>
                <w:ilvl w:val="0"/>
                <w:numId w:val="62"/>
              </w:numPr>
              <w:tabs>
                <w:tab w:pos="823" w:val="left" w:leader="none"/>
                <w:tab w:pos="824" w:val="left" w:leader="none"/>
              </w:tabs>
              <w:spacing w:line="240" w:lineRule="auto" w:before="0" w:after="0"/>
              <w:ind w:left="823" w:right="183" w:hanging="361"/>
              <w:jc w:val="left"/>
              <w:rPr>
                <w:rFonts w:ascii="Symbol" w:hAnsi="Symbol"/>
                <w:color w:val="252525"/>
                <w:sz w:val="22"/>
              </w:rPr>
            </w:pPr>
            <w:r>
              <w:rPr>
                <w:rFonts w:ascii="Corbel" w:hAnsi="Corbel"/>
                <w:sz w:val="22"/>
              </w:rPr>
              <w:t>Crear una ventanilla única de atención ciudadana, que canalice a las áreas respectivas las solicitudes ciudadanas, le de seguimiento a la respuesta oportuna y efectiva de éstas y aproveche las herramientas tecnológicas para estar en contacto de manera permanente con la ciudadanía.</w:t>
            </w:r>
          </w:p>
          <w:p>
            <w:pPr>
              <w:pStyle w:val="TableParagraph"/>
              <w:spacing w:before="5"/>
              <w:rPr>
                <w:rFonts w:ascii="Times New Roman"/>
                <w:sz w:val="23"/>
              </w:rPr>
            </w:pPr>
          </w:p>
          <w:p>
            <w:pPr>
              <w:pStyle w:val="TableParagraph"/>
              <w:numPr>
                <w:ilvl w:val="0"/>
                <w:numId w:val="62"/>
              </w:numPr>
              <w:tabs>
                <w:tab w:pos="823" w:val="left" w:leader="none"/>
                <w:tab w:pos="824" w:val="left" w:leader="none"/>
              </w:tabs>
              <w:spacing w:line="240" w:lineRule="auto" w:before="0" w:after="0"/>
              <w:ind w:left="823" w:right="242" w:hanging="361"/>
              <w:jc w:val="left"/>
              <w:rPr>
                <w:rFonts w:ascii="Symbol" w:hAnsi="Symbol"/>
                <w:color w:val="252525"/>
                <w:sz w:val="22"/>
              </w:rPr>
            </w:pPr>
            <w:r>
              <w:rPr>
                <w:rFonts w:ascii="Corbel" w:hAnsi="Corbel"/>
                <w:sz w:val="22"/>
              </w:rPr>
              <w:t>Emprender estrategias para mejorar la recaudación de ingresos propios. Actualizar la base de contribuyentes y supervisar con mayor eficicacia las actividades que generan ingresos para el municipio.</w:t>
            </w:r>
          </w:p>
        </w:tc>
      </w:tr>
    </w:tbl>
    <w:p>
      <w:pPr>
        <w:spacing w:after="0" w:line="240" w:lineRule="auto"/>
        <w:jc w:val="left"/>
        <w:rPr>
          <w:rFonts w:ascii="Symbol" w:hAnsi="Symbol"/>
          <w:sz w:val="22"/>
        </w:rPr>
        <w:sectPr>
          <w:footerReference w:type="default" r:id="rId49"/>
          <w:pgSz w:w="12240" w:h="15840"/>
          <w:pgMar w:footer="1233" w:header="178" w:top="1120" w:bottom="1420" w:left="460" w:right="220"/>
          <w:pgNumType w:start="100"/>
        </w:sectPr>
      </w:pPr>
    </w:p>
    <w:p>
      <w:pPr>
        <w:pStyle w:val="BodyText"/>
        <w:rPr>
          <w:rFonts w:ascii="Times New Roman"/>
          <w:sz w:val="20"/>
        </w:rPr>
      </w:pPr>
    </w:p>
    <w:p>
      <w:pPr>
        <w:pStyle w:val="BodyText"/>
        <w:spacing w:before="7" w:after="1"/>
        <w:rPr>
          <w:rFonts w:ascii="Times New Roman"/>
          <w:sz w:val="24"/>
        </w:rPr>
      </w:pPr>
    </w:p>
    <w:tbl>
      <w:tblPr>
        <w:tblW w:w="0" w:type="auto"/>
        <w:jc w:val="left"/>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9"/>
        <w:gridCol w:w="5510"/>
      </w:tblGrid>
      <w:tr>
        <w:trPr>
          <w:trHeight w:val="844" w:hRule="atLeast"/>
        </w:trPr>
        <w:tc>
          <w:tcPr>
            <w:tcW w:w="3969" w:type="dxa"/>
            <w:shd w:val="clear" w:color="auto" w:fill="EAF0DD"/>
          </w:tcPr>
          <w:p>
            <w:pPr>
              <w:pStyle w:val="TableParagraph"/>
              <w:rPr>
                <w:rFonts w:ascii="Times New Roman"/>
                <w:sz w:val="22"/>
              </w:rPr>
            </w:pPr>
          </w:p>
        </w:tc>
        <w:tc>
          <w:tcPr>
            <w:tcW w:w="5510" w:type="dxa"/>
            <w:shd w:val="clear" w:color="auto" w:fill="EAF0DD"/>
          </w:tcPr>
          <w:p>
            <w:pPr>
              <w:pStyle w:val="TableParagraph"/>
              <w:numPr>
                <w:ilvl w:val="0"/>
                <w:numId w:val="63"/>
              </w:numPr>
              <w:tabs>
                <w:tab w:pos="1599" w:val="left" w:leader="none"/>
                <w:tab w:pos="1600" w:val="left" w:leader="none"/>
              </w:tabs>
              <w:spacing w:line="237" w:lineRule="auto" w:before="1" w:after="0"/>
              <w:ind w:left="1599" w:right="779" w:hanging="361"/>
              <w:jc w:val="left"/>
              <w:rPr>
                <w:rFonts w:ascii="Corbel" w:hAnsi="Corbel"/>
                <w:sz w:val="22"/>
              </w:rPr>
            </w:pPr>
            <w:r>
              <w:rPr>
                <w:rFonts w:ascii="Corbel" w:hAnsi="Corbel"/>
                <w:sz w:val="22"/>
              </w:rPr>
              <w:t>Crear un sistema de evaluación del desempeño</w:t>
            </w:r>
            <w:r>
              <w:rPr>
                <w:rFonts w:ascii="Corbel" w:hAnsi="Corbel"/>
                <w:spacing w:val="-2"/>
                <w:sz w:val="22"/>
              </w:rPr>
              <w:t> </w:t>
            </w:r>
            <w:r>
              <w:rPr>
                <w:rFonts w:ascii="Corbel" w:hAnsi="Corbel"/>
                <w:sz w:val="22"/>
              </w:rPr>
              <w:t>municipal</w:t>
            </w:r>
          </w:p>
        </w:tc>
      </w:tr>
      <w:tr>
        <w:trPr>
          <w:trHeight w:val="297" w:hRule="atLeast"/>
        </w:trPr>
        <w:tc>
          <w:tcPr>
            <w:tcW w:w="3969" w:type="dxa"/>
          </w:tcPr>
          <w:p>
            <w:pPr>
              <w:pStyle w:val="TableParagraph"/>
              <w:rPr>
                <w:rFonts w:ascii="Times New Roman"/>
                <w:sz w:val="22"/>
              </w:rPr>
            </w:pPr>
          </w:p>
        </w:tc>
        <w:tc>
          <w:tcPr>
            <w:tcW w:w="5510" w:type="dxa"/>
          </w:tcPr>
          <w:p>
            <w:pPr>
              <w:pStyle w:val="TableParagraph"/>
              <w:rPr>
                <w:rFonts w:ascii="Times New Roman"/>
                <w:sz w:val="22"/>
              </w:rPr>
            </w:pPr>
          </w:p>
        </w:tc>
      </w:tr>
      <w:tr>
        <w:trPr>
          <w:trHeight w:val="2525" w:hRule="atLeast"/>
        </w:trPr>
        <w:tc>
          <w:tcPr>
            <w:tcW w:w="3969" w:type="dxa"/>
            <w:shd w:val="clear" w:color="auto" w:fill="EAF0DD"/>
          </w:tcPr>
          <w:p>
            <w:pPr>
              <w:pStyle w:val="TableParagraph"/>
              <w:spacing w:before="10"/>
              <w:rPr>
                <w:rFonts w:ascii="Times New Roman"/>
                <w:sz w:val="22"/>
              </w:rPr>
            </w:pPr>
          </w:p>
          <w:p>
            <w:pPr>
              <w:pStyle w:val="TableParagraph"/>
              <w:ind w:left="463"/>
              <w:rPr>
                <w:rFonts w:ascii="Corbel" w:hAnsi="Corbel"/>
                <w:sz w:val="22"/>
              </w:rPr>
            </w:pPr>
            <w:r>
              <w:rPr>
                <w:rFonts w:ascii="Corbel" w:hAnsi="Corbel"/>
                <w:smallCaps/>
                <w:w w:val="100"/>
                <w:sz w:val="22"/>
              </w:rPr>
              <w:t>2.</w:t>
            </w:r>
            <w:r>
              <w:rPr>
                <w:rFonts w:ascii="Corbel" w:hAnsi="Corbel"/>
                <w:smallCaps w:val="0"/>
                <w:sz w:val="22"/>
              </w:rPr>
              <w:t>   </w:t>
            </w:r>
            <w:r>
              <w:rPr>
                <w:rFonts w:ascii="Corbel" w:hAnsi="Corbel"/>
                <w:smallCaps w:val="0"/>
                <w:spacing w:val="12"/>
                <w:sz w:val="22"/>
              </w:rPr>
              <w:t> </w:t>
            </w:r>
            <w:r>
              <w:rPr>
                <w:rFonts w:ascii="Corbel" w:hAnsi="Corbel"/>
                <w:smallCaps w:val="0"/>
                <w:spacing w:val="-1"/>
                <w:w w:val="100"/>
                <w:sz w:val="22"/>
              </w:rPr>
              <w:t>¡</w:t>
            </w:r>
            <w:r>
              <w:rPr>
                <w:rFonts w:ascii="Corbel" w:hAnsi="Corbel"/>
                <w:smallCaps w:val="0"/>
                <w:w w:val="100"/>
                <w:sz w:val="22"/>
              </w:rPr>
              <w:t>Magd</w:t>
            </w:r>
            <w:r>
              <w:rPr>
                <w:rFonts w:ascii="Corbel" w:hAnsi="Corbel"/>
                <w:smallCaps w:val="0"/>
                <w:spacing w:val="-1"/>
                <w:w w:val="100"/>
                <w:sz w:val="22"/>
              </w:rPr>
              <w:t>al</w:t>
            </w:r>
            <w:r>
              <w:rPr>
                <w:rFonts w:ascii="Corbel" w:hAnsi="Corbel"/>
                <w:smallCaps w:val="0"/>
                <w:spacing w:val="-2"/>
                <w:w w:val="100"/>
                <w:sz w:val="22"/>
              </w:rPr>
              <w:t>e</w:t>
            </w:r>
            <w:r>
              <w:rPr>
                <w:rFonts w:ascii="Corbel" w:hAnsi="Corbel"/>
                <w:smallCaps w:val="0"/>
                <w:spacing w:val="1"/>
                <w:w w:val="100"/>
                <w:sz w:val="22"/>
              </w:rPr>
              <w:t>n</w:t>
            </w:r>
            <w:r>
              <w:rPr>
                <w:rFonts w:ascii="Corbel" w:hAnsi="Corbel"/>
                <w:smallCaps w:val="0"/>
                <w:w w:val="100"/>
                <w:sz w:val="22"/>
              </w:rPr>
              <w:t>a</w:t>
            </w:r>
            <w:r>
              <w:rPr>
                <w:rFonts w:ascii="Corbel" w:hAnsi="Corbel"/>
                <w:smallCaps w:val="0"/>
                <w:spacing w:val="-1"/>
                <w:sz w:val="22"/>
              </w:rPr>
              <w:t> </w:t>
            </w:r>
            <w:r>
              <w:rPr>
                <w:rFonts w:ascii="Corbel" w:hAnsi="Corbel"/>
                <w:smallCaps w:val="0"/>
                <w:w w:val="100"/>
                <w:sz w:val="22"/>
              </w:rPr>
              <w:t>en</w:t>
            </w:r>
            <w:r>
              <w:rPr>
                <w:rFonts w:ascii="Corbel" w:hAnsi="Corbel"/>
                <w:smallCaps w:val="0"/>
                <w:sz w:val="22"/>
              </w:rPr>
              <w:t> </w:t>
            </w:r>
            <w:r>
              <w:rPr>
                <w:rFonts w:ascii="Corbel" w:hAnsi="Corbel"/>
                <w:smallCaps w:val="0"/>
                <w:spacing w:val="-2"/>
                <w:w w:val="100"/>
                <w:sz w:val="22"/>
              </w:rPr>
              <w:t>r</w:t>
            </w:r>
            <w:r>
              <w:rPr>
                <w:rFonts w:ascii="Corbel" w:hAnsi="Corbel"/>
                <w:smallCaps w:val="0"/>
                <w:w w:val="100"/>
                <w:sz w:val="22"/>
              </w:rPr>
              <w:t>eg</w:t>
            </w:r>
            <w:r>
              <w:rPr>
                <w:rFonts w:ascii="Corbel" w:hAnsi="Corbel"/>
                <w:smallCaps w:val="0"/>
                <w:spacing w:val="-1"/>
                <w:w w:val="100"/>
                <w:sz w:val="22"/>
              </w:rPr>
              <w:t>l</w:t>
            </w:r>
            <w:r>
              <w:rPr>
                <w:rFonts w:ascii="Corbel" w:hAnsi="Corbel"/>
                <w:smallCaps w:val="0"/>
                <w:w w:val="100"/>
                <w:sz w:val="22"/>
              </w:rPr>
              <w:t>a!</w:t>
            </w:r>
          </w:p>
        </w:tc>
        <w:tc>
          <w:tcPr>
            <w:tcW w:w="5510" w:type="dxa"/>
            <w:shd w:val="clear" w:color="auto" w:fill="EAF0DD"/>
          </w:tcPr>
          <w:p>
            <w:pPr>
              <w:pStyle w:val="TableParagraph"/>
              <w:spacing w:before="2"/>
              <w:rPr>
                <w:rFonts w:ascii="Times New Roman"/>
                <w:sz w:val="25"/>
              </w:rPr>
            </w:pPr>
          </w:p>
          <w:p>
            <w:pPr>
              <w:pStyle w:val="TableParagraph"/>
              <w:numPr>
                <w:ilvl w:val="0"/>
                <w:numId w:val="64"/>
              </w:numPr>
              <w:tabs>
                <w:tab w:pos="1599" w:val="left" w:leader="none"/>
                <w:tab w:pos="1600" w:val="left" w:leader="none"/>
              </w:tabs>
              <w:spacing w:line="240" w:lineRule="auto" w:before="0" w:after="0"/>
              <w:ind w:left="1599" w:right="368" w:hanging="361"/>
              <w:jc w:val="left"/>
              <w:rPr>
                <w:rFonts w:ascii="Symbol" w:hAnsi="Symbol"/>
                <w:color w:val="252525"/>
                <w:sz w:val="22"/>
              </w:rPr>
            </w:pPr>
            <w:r>
              <w:rPr>
                <w:rFonts w:ascii="Corbel" w:hAnsi="Corbel"/>
                <w:color w:val="252525"/>
                <w:sz w:val="22"/>
              </w:rPr>
              <w:t>Crear un calendario de actualización de reglamentos y un responsable del área jurídica que lidere el proceso en coordinación con las dependencias involucradas.</w:t>
            </w:r>
          </w:p>
          <w:p>
            <w:pPr>
              <w:pStyle w:val="TableParagraph"/>
              <w:spacing w:before="5"/>
              <w:rPr>
                <w:rFonts w:ascii="Times New Roman"/>
                <w:sz w:val="29"/>
              </w:rPr>
            </w:pPr>
          </w:p>
          <w:p>
            <w:pPr>
              <w:pStyle w:val="TableParagraph"/>
              <w:numPr>
                <w:ilvl w:val="0"/>
                <w:numId w:val="64"/>
              </w:numPr>
              <w:tabs>
                <w:tab w:pos="1599" w:val="left" w:leader="none"/>
                <w:tab w:pos="1600" w:val="left" w:leader="none"/>
              </w:tabs>
              <w:spacing w:line="266" w:lineRule="exact" w:before="0" w:after="0"/>
              <w:ind w:left="1599" w:right="248" w:hanging="361"/>
              <w:jc w:val="left"/>
              <w:rPr>
                <w:rFonts w:ascii="Symbol" w:hAnsi="Symbol"/>
                <w:sz w:val="24"/>
              </w:rPr>
            </w:pPr>
            <w:r>
              <w:rPr>
                <w:rFonts w:ascii="Corbel" w:hAnsi="Corbel"/>
                <w:color w:val="252525"/>
                <w:sz w:val="22"/>
              </w:rPr>
              <w:t>Emprender un proceso de regularización de los inmuebles</w:t>
            </w:r>
            <w:r>
              <w:rPr>
                <w:rFonts w:ascii="Corbel" w:hAnsi="Corbel"/>
                <w:color w:val="252525"/>
                <w:spacing w:val="-5"/>
                <w:sz w:val="22"/>
              </w:rPr>
              <w:t> </w:t>
            </w:r>
            <w:r>
              <w:rPr>
                <w:rFonts w:ascii="Corbel" w:hAnsi="Corbel"/>
                <w:color w:val="252525"/>
                <w:sz w:val="22"/>
              </w:rPr>
              <w:t>municipales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spacing w:before="101"/>
        <w:ind w:left="901" w:right="0" w:firstLine="0"/>
        <w:jc w:val="left"/>
        <w:rPr>
          <w:sz w:val="40"/>
        </w:rPr>
      </w:pPr>
      <w:bookmarkStart w:name="_bookmark14" w:id="23"/>
      <w:bookmarkEnd w:id="23"/>
      <w:r>
        <w:rPr/>
      </w:r>
      <w:r>
        <w:rPr>
          <w:color w:val="3D3D3D"/>
          <w:sz w:val="40"/>
        </w:rPr>
        <w:t>5.0 DESARROLLO ECONÓMICO</w:t>
      </w:r>
    </w:p>
    <w:p>
      <w:pPr>
        <w:spacing w:before="430"/>
        <w:ind w:left="954" w:right="0" w:firstLine="0"/>
        <w:jc w:val="left"/>
        <w:rPr>
          <w:rFonts w:ascii="Corbel" w:hAnsi="Corbel"/>
          <w:sz w:val="26"/>
        </w:rPr>
      </w:pPr>
      <w:bookmarkStart w:name="_bookmark15" w:id="24"/>
      <w:bookmarkEnd w:id="24"/>
      <w:r>
        <w:rPr/>
      </w:r>
      <w:r>
        <w:rPr>
          <w:rFonts w:ascii="Corbel" w:hAnsi="Corbel"/>
          <w:color w:val="365F91"/>
          <w:w w:val="99"/>
          <w:sz w:val="26"/>
        </w:rPr>
        <w:t>5</w:t>
      </w:r>
      <w:r>
        <w:rPr>
          <w:rFonts w:ascii="Corbel" w:hAnsi="Corbel"/>
          <w:color w:val="365F91"/>
          <w:spacing w:val="1"/>
          <w:w w:val="99"/>
          <w:sz w:val="26"/>
        </w:rPr>
        <w:t>.</w:t>
      </w:r>
      <w:r>
        <w:rPr>
          <w:rFonts w:ascii="Corbel" w:hAnsi="Corbel"/>
          <w:smallCaps/>
          <w:color w:val="365F91"/>
          <w:spacing w:val="-2"/>
          <w:w w:val="99"/>
          <w:sz w:val="26"/>
        </w:rPr>
        <w:t>1</w:t>
      </w:r>
      <w:r>
        <w:rPr>
          <w:rFonts w:ascii="Corbel" w:hAnsi="Corbel"/>
          <w:smallCaps w:val="0"/>
          <w:color w:val="365F91"/>
          <w:w w:val="99"/>
          <w:sz w:val="26"/>
        </w:rPr>
        <w:t>.</w:t>
      </w:r>
      <w:r>
        <w:rPr>
          <w:rFonts w:ascii="Corbel" w:hAnsi="Corbel"/>
          <w:smallCaps w:val="0"/>
          <w:color w:val="365F91"/>
          <w:sz w:val="26"/>
        </w:rPr>
        <w:t> </w:t>
      </w:r>
      <w:r>
        <w:rPr>
          <w:rFonts w:ascii="Corbel" w:hAnsi="Corbel"/>
          <w:smallCaps w:val="0"/>
          <w:color w:val="365F91"/>
          <w:spacing w:val="2"/>
          <w:sz w:val="26"/>
        </w:rPr>
        <w:t> </w:t>
      </w:r>
      <w:r>
        <w:rPr>
          <w:rFonts w:ascii="Corbel" w:hAnsi="Corbel"/>
          <w:smallCaps w:val="0"/>
          <w:color w:val="365F91"/>
          <w:w w:val="99"/>
          <w:sz w:val="26"/>
        </w:rPr>
        <w:t>C</w:t>
      </w:r>
      <w:r>
        <w:rPr>
          <w:rFonts w:ascii="Corbel" w:hAnsi="Corbel"/>
          <w:smallCaps w:val="0"/>
          <w:color w:val="365F91"/>
          <w:spacing w:val="-1"/>
          <w:w w:val="99"/>
          <w:sz w:val="26"/>
        </w:rPr>
        <w:t>O</w:t>
      </w:r>
      <w:r>
        <w:rPr>
          <w:rFonts w:ascii="Corbel" w:hAnsi="Corbel"/>
          <w:smallCaps w:val="0"/>
          <w:color w:val="365F91"/>
          <w:w w:val="99"/>
          <w:sz w:val="26"/>
        </w:rPr>
        <w:t>MP</w:t>
      </w:r>
      <w:r>
        <w:rPr>
          <w:rFonts w:ascii="Corbel" w:hAnsi="Corbel"/>
          <w:smallCaps w:val="0"/>
          <w:color w:val="365F91"/>
          <w:spacing w:val="-1"/>
          <w:w w:val="99"/>
          <w:sz w:val="26"/>
        </w:rPr>
        <w:t>ON</w:t>
      </w:r>
      <w:r>
        <w:rPr>
          <w:rFonts w:ascii="Corbel" w:hAnsi="Corbel"/>
          <w:smallCaps w:val="0"/>
          <w:color w:val="365F91"/>
          <w:w w:val="99"/>
          <w:sz w:val="26"/>
        </w:rPr>
        <w:t>E</w:t>
      </w:r>
      <w:r>
        <w:rPr>
          <w:rFonts w:ascii="Corbel" w:hAnsi="Corbel"/>
          <w:smallCaps w:val="0"/>
          <w:color w:val="365F91"/>
          <w:spacing w:val="-1"/>
          <w:w w:val="99"/>
          <w:sz w:val="26"/>
        </w:rPr>
        <w:t>NT</w:t>
      </w:r>
      <w:r>
        <w:rPr>
          <w:rFonts w:ascii="Corbel" w:hAnsi="Corbel"/>
          <w:smallCaps w:val="0"/>
          <w:color w:val="365F91"/>
          <w:w w:val="99"/>
          <w:sz w:val="26"/>
        </w:rPr>
        <w:t>E</w:t>
      </w:r>
      <w:r>
        <w:rPr>
          <w:rFonts w:ascii="Corbel" w:hAnsi="Corbel"/>
          <w:smallCaps w:val="0"/>
          <w:color w:val="365F91"/>
          <w:spacing w:val="2"/>
          <w:sz w:val="26"/>
        </w:rPr>
        <w:t> </w:t>
      </w:r>
      <w:r>
        <w:rPr>
          <w:rFonts w:ascii="Corbel" w:hAnsi="Corbel"/>
          <w:smallCaps w:val="0"/>
          <w:color w:val="365F91"/>
          <w:spacing w:val="-2"/>
          <w:w w:val="99"/>
          <w:sz w:val="26"/>
        </w:rPr>
        <w:t>D</w:t>
      </w:r>
      <w:r>
        <w:rPr>
          <w:rFonts w:ascii="Corbel" w:hAnsi="Corbel"/>
          <w:smallCaps w:val="0"/>
          <w:color w:val="365F91"/>
          <w:w w:val="99"/>
          <w:sz w:val="26"/>
        </w:rPr>
        <w:t>E</w:t>
      </w:r>
      <w:r>
        <w:rPr>
          <w:rFonts w:ascii="Corbel" w:hAnsi="Corbel"/>
          <w:smallCaps w:val="0"/>
          <w:color w:val="365F91"/>
          <w:spacing w:val="2"/>
          <w:sz w:val="26"/>
        </w:rPr>
        <w:t> </w:t>
      </w:r>
      <w:r>
        <w:rPr>
          <w:rFonts w:ascii="Corbel" w:hAnsi="Corbel"/>
          <w:smallCaps w:val="0"/>
          <w:color w:val="365F91"/>
          <w:spacing w:val="-2"/>
          <w:w w:val="99"/>
          <w:sz w:val="26"/>
        </w:rPr>
        <w:t>D</w:t>
      </w:r>
      <w:r>
        <w:rPr>
          <w:rFonts w:ascii="Corbel" w:hAnsi="Corbel"/>
          <w:smallCaps w:val="0"/>
          <w:color w:val="365F91"/>
          <w:w w:val="99"/>
          <w:sz w:val="26"/>
        </w:rPr>
        <w:t>IAGNÓST</w:t>
      </w:r>
      <w:r>
        <w:rPr>
          <w:rFonts w:ascii="Corbel" w:hAnsi="Corbel"/>
          <w:smallCaps w:val="0"/>
          <w:color w:val="365F91"/>
          <w:spacing w:val="1"/>
          <w:w w:val="99"/>
          <w:sz w:val="26"/>
        </w:rPr>
        <w:t>I</w:t>
      </w:r>
      <w:r>
        <w:rPr>
          <w:rFonts w:ascii="Corbel" w:hAnsi="Corbel"/>
          <w:smallCaps w:val="0"/>
          <w:color w:val="365F91"/>
          <w:w w:val="99"/>
          <w:sz w:val="26"/>
        </w:rPr>
        <w:t>CO</w:t>
      </w:r>
    </w:p>
    <w:p>
      <w:pPr>
        <w:pStyle w:val="BodyText"/>
        <w:spacing w:before="11"/>
        <w:rPr>
          <w:rFonts w:ascii="Corbel"/>
          <w:sz w:val="23"/>
        </w:rPr>
      </w:pPr>
    </w:p>
    <w:p>
      <w:pPr>
        <w:pStyle w:val="Heading2"/>
        <w:spacing w:before="1"/>
        <w:jc w:val="both"/>
      </w:pPr>
      <w:r>
        <w:rPr/>
        <w:t>Empleo e ingresos</w:t>
      </w:r>
    </w:p>
    <w:p>
      <w:pPr>
        <w:pStyle w:val="BodyText"/>
        <w:spacing w:before="4"/>
        <w:rPr>
          <w:rFonts w:ascii="Corbel"/>
          <w:b/>
          <w:sz w:val="24"/>
        </w:rPr>
      </w:pPr>
    </w:p>
    <w:p>
      <w:pPr>
        <w:pStyle w:val="BodyText"/>
        <w:spacing w:line="276" w:lineRule="auto" w:before="1"/>
        <w:ind w:left="901" w:right="1154"/>
        <w:jc w:val="both"/>
      </w:pPr>
      <w:r>
        <w:rPr/>
        <w:t>Por la importancia que merece vamos a analizar detenidamente las actividades económicas con que cuenta el municipio de Magdalena, ya que ellas son las que determinan la base del desarrollo, para localizar potencialidades y en su caso, problemas que entorpezcan de alguna manera ese desarrollo armónico que la debe caracterizar, haciendo énfasis en las actividades productivas, conceptuando debidamente aquellas actividades que son más vigorosas y productivas, como las industriales, las agropecuarias, los servicios, el turismo y el transporte.</w:t>
      </w:r>
    </w:p>
    <w:p>
      <w:pPr>
        <w:pStyle w:val="BodyText"/>
        <w:spacing w:before="3"/>
        <w:rPr>
          <w:sz w:val="25"/>
        </w:rPr>
      </w:pPr>
    </w:p>
    <w:p>
      <w:pPr>
        <w:pStyle w:val="BodyText"/>
        <w:spacing w:line="276" w:lineRule="auto"/>
        <w:ind w:left="901" w:right="1155"/>
        <w:jc w:val="both"/>
      </w:pPr>
      <w:r>
        <w:rPr/>
        <w:t>El empleo y los ingresos de los habitantes del municipio de Magdalena, han estado desde hace muchos años, ligados al aprovechamiento de los recursos naturales de la municipalidad como lo son: la minería, la pesca, la agricultura, la ganadería y en años recientes, ha evolucionado notablemente hacia los servicios y la industria.</w:t>
      </w:r>
    </w:p>
    <w:p>
      <w:pPr>
        <w:pStyle w:val="BodyText"/>
        <w:spacing w:before="4"/>
        <w:rPr>
          <w:sz w:val="25"/>
        </w:rPr>
      </w:pPr>
    </w:p>
    <w:p>
      <w:pPr>
        <w:pStyle w:val="BodyText"/>
        <w:spacing w:line="276" w:lineRule="auto"/>
        <w:ind w:left="901" w:right="1155"/>
        <w:jc w:val="both"/>
      </w:pPr>
      <w:r>
        <w:rPr/>
        <w:t>En décadas recientes, la mayor parte de su población se dedicaba a las labores del campo, un porcentaje menor a la minería y un pequeño porcentaje a la industria, y en relación con este comportamiento era el ingreso percibido, es decir, los jornaleros y peones percibían ordinariamente un poco más de los salarios mínimos en tanto que quienes se dedicaron a "pepenar” en las minas, tuvieron acceso a un eventual pero más alto ingreso que en mucho dependía de su experiencia en detectar ópalo,</w:t>
      </w:r>
      <w:r>
        <w:rPr>
          <w:spacing w:val="-14"/>
        </w:rPr>
        <w:t> </w:t>
      </w:r>
      <w:r>
        <w:rPr/>
        <w:t>y</w:t>
      </w:r>
    </w:p>
    <w:p>
      <w:pPr>
        <w:spacing w:after="0" w:line="276" w:lineRule="auto"/>
        <w:jc w:val="both"/>
        <w:sectPr>
          <w:pgSz w:w="12240" w:h="15840"/>
          <w:pgMar w:header="178" w:footer="1233" w:top="1120" w:bottom="1340" w:left="460" w:right="220"/>
        </w:sectPr>
      </w:pPr>
    </w:p>
    <w:p>
      <w:pPr>
        <w:pStyle w:val="BodyText"/>
        <w:rPr>
          <w:sz w:val="20"/>
        </w:rPr>
      </w:pPr>
    </w:p>
    <w:p>
      <w:pPr>
        <w:pStyle w:val="BodyText"/>
        <w:spacing w:before="3"/>
        <w:rPr>
          <w:sz w:val="21"/>
        </w:rPr>
      </w:pPr>
    </w:p>
    <w:p>
      <w:pPr>
        <w:pStyle w:val="BodyText"/>
        <w:spacing w:line="276" w:lineRule="auto"/>
        <w:ind w:left="901" w:right="1157"/>
        <w:jc w:val="both"/>
      </w:pPr>
      <w:r>
        <w:rPr/>
        <w:t>quienes poseían o eran dueños de las minas o de las tierras, alcanzaban ingresos superiores.</w:t>
      </w:r>
    </w:p>
    <w:p>
      <w:pPr>
        <w:pStyle w:val="BodyText"/>
        <w:spacing w:before="4"/>
        <w:rPr>
          <w:sz w:val="25"/>
        </w:rPr>
      </w:pPr>
    </w:p>
    <w:p>
      <w:pPr>
        <w:pStyle w:val="BodyText"/>
        <w:spacing w:line="276" w:lineRule="auto"/>
        <w:ind w:left="901" w:right="1153"/>
        <w:jc w:val="both"/>
      </w:pPr>
      <w:r>
        <w:rPr/>
        <w:t>En un nivel acorde a los avances en materia laboral, se mantenían quienes laboraban como empleados públicos, ya que los incrementos y decrementos en los salarios mínimos y en las altas y bajas de la economía nacional, no los afectaba mayormente, ya que sus percepciones se ajustaban por lo normal a esas</w:t>
      </w:r>
      <w:r>
        <w:rPr>
          <w:spacing w:val="-16"/>
        </w:rPr>
        <w:t> </w:t>
      </w:r>
      <w:r>
        <w:rPr/>
        <w:t>circunstancias.</w:t>
      </w:r>
    </w:p>
    <w:p>
      <w:pPr>
        <w:pStyle w:val="BodyText"/>
        <w:spacing w:before="3"/>
        <w:rPr>
          <w:sz w:val="25"/>
        </w:rPr>
      </w:pPr>
    </w:p>
    <w:p>
      <w:pPr>
        <w:pStyle w:val="BodyText"/>
        <w:spacing w:line="276" w:lineRule="auto" w:before="1"/>
        <w:ind w:left="901" w:right="1154"/>
        <w:jc w:val="both"/>
      </w:pPr>
      <w:r>
        <w:rPr/>
        <w:t>En los años recientes, al pasar la población de ocuparse en el sector primario, a las actividades de la Industria y los Servicios, en forma mayoritaria, el nivel de vida en general se ha mejorado, debido al acceso a las prestaciones de ley, mismas que por lo general en las labores agropecuarias no se tiene, así como a la estabilización de sus percepciones.</w:t>
      </w:r>
    </w:p>
    <w:p>
      <w:pPr>
        <w:pStyle w:val="BodyText"/>
        <w:spacing w:before="5"/>
        <w:rPr>
          <w:sz w:val="25"/>
        </w:rPr>
      </w:pPr>
    </w:p>
    <w:p>
      <w:pPr>
        <w:pStyle w:val="BodyText"/>
        <w:spacing w:line="276" w:lineRule="auto"/>
        <w:ind w:left="901" w:right="1156"/>
        <w:jc w:val="both"/>
      </w:pPr>
      <w:r>
        <w:rPr/>
        <w:t>Es de señalarse la facilidad relativa que se presentó en el municipio para obtener recursos económicos en una buena parte de la población (principalmente a la que se dedicó a las cuestiones del ópalo), sin embargo, esta oportunidad no fue aprovechada por el sector, quienes no detonaron un desarrollo de esta actividad económica que les permitiera crecer y modernizarse para estabilizar sus ingresos. De haber sido de otra manera, los ingresos de esta población dedicada a la extracción de ópalo, sería actualmente, de los más altos del municipio.</w:t>
      </w:r>
    </w:p>
    <w:p>
      <w:pPr>
        <w:pStyle w:val="BodyText"/>
        <w:spacing w:before="2"/>
        <w:rPr>
          <w:sz w:val="25"/>
        </w:rPr>
      </w:pPr>
    </w:p>
    <w:p>
      <w:pPr>
        <w:pStyle w:val="BodyText"/>
        <w:spacing w:line="278" w:lineRule="auto"/>
        <w:ind w:left="901" w:right="1156"/>
        <w:jc w:val="both"/>
      </w:pPr>
      <w:r>
        <w:rPr/>
        <w:t>Según las otras actividades económicas, se estudiarán renglones adelante, en el análisis de la población económicamente activa y sus niveles de ingreso.</w:t>
      </w:r>
    </w:p>
    <w:p>
      <w:pPr>
        <w:pStyle w:val="BodyText"/>
        <w:spacing w:before="11"/>
        <w:rPr>
          <w:sz w:val="24"/>
        </w:rPr>
      </w:pPr>
    </w:p>
    <w:p>
      <w:pPr>
        <w:pStyle w:val="Heading4"/>
        <w:jc w:val="both"/>
      </w:pPr>
      <w:r>
        <w:rPr/>
        <w:t>Población económicamente activa</w:t>
      </w:r>
    </w:p>
    <w:p>
      <w:pPr>
        <w:pStyle w:val="BodyText"/>
        <w:spacing w:before="8"/>
        <w:rPr>
          <w:b/>
          <w:sz w:val="28"/>
        </w:rPr>
      </w:pPr>
    </w:p>
    <w:p>
      <w:pPr>
        <w:pStyle w:val="BodyText"/>
        <w:spacing w:line="276" w:lineRule="auto" w:before="1"/>
        <w:ind w:left="901" w:right="1152"/>
        <w:jc w:val="both"/>
      </w:pPr>
      <w:r>
        <w:rPr/>
        <w:t>La población económicamente activa del municipio de Magdalena, nos indicará la potencialidad del capital humano, ya que es un factor determinante, por lo que en torno a ella haremos una serie de análisis, observaciones y comentarios que nos permitirán la toma de decisiones más adecuada para alcanzar el progreso que Magdalena se ha propuesto alcanzar.</w:t>
      </w:r>
    </w:p>
    <w:p>
      <w:pPr>
        <w:pStyle w:val="BodyText"/>
        <w:spacing w:before="2"/>
        <w:rPr>
          <w:sz w:val="25"/>
        </w:rPr>
      </w:pPr>
    </w:p>
    <w:p>
      <w:pPr>
        <w:pStyle w:val="BodyText"/>
        <w:spacing w:line="276" w:lineRule="auto" w:before="1"/>
        <w:ind w:left="901" w:right="1156"/>
        <w:jc w:val="both"/>
      </w:pPr>
      <w:r>
        <w:rPr/>
        <w:t>Es conveniente analizar cómo se ha comportado el parámetro de POBLACIÓN ECONÓMICAMENTE ACTIVA, de tal manera que nos permita conocer su evolución, y observar en detalle su impacto decisivo sobre el desarrollo, parámetro que clarificará el rumbo, las metas que hayan de ser impulsadas y que nos dé la certeza para apoyar </w:t>
      </w:r>
      <w:r>
        <w:rPr>
          <w:spacing w:val="-3"/>
        </w:rPr>
        <w:t>de </w:t>
      </w:r>
      <w:r>
        <w:rPr/>
        <w:t>manera contundente las actividades y los sectores que mayor ocupación ofrecen a la población, y así mismo que permita conocer y reactivar aquellos sectores que se observen mermados, para corregir las causas de tal situación e impulsarlos hacia fuentes</w:t>
      </w:r>
      <w:r>
        <w:rPr>
          <w:spacing w:val="39"/>
        </w:rPr>
        <w:t> </w:t>
      </w:r>
      <w:r>
        <w:rPr/>
        <w:t>de</w:t>
      </w:r>
      <w:r>
        <w:rPr>
          <w:spacing w:val="39"/>
        </w:rPr>
        <w:t> </w:t>
      </w:r>
      <w:r>
        <w:rPr/>
        <w:t>crecimiento,</w:t>
      </w:r>
      <w:r>
        <w:rPr>
          <w:spacing w:val="39"/>
        </w:rPr>
        <w:t> </w:t>
      </w:r>
      <w:r>
        <w:rPr/>
        <w:t>lo</w:t>
      </w:r>
      <w:r>
        <w:rPr>
          <w:spacing w:val="38"/>
        </w:rPr>
        <w:t> </w:t>
      </w:r>
      <w:r>
        <w:rPr/>
        <w:t>que</w:t>
      </w:r>
      <w:r>
        <w:rPr>
          <w:spacing w:val="40"/>
        </w:rPr>
        <w:t> </w:t>
      </w:r>
      <w:r>
        <w:rPr/>
        <w:t>traerá</w:t>
      </w:r>
      <w:r>
        <w:rPr>
          <w:spacing w:val="39"/>
        </w:rPr>
        <w:t> </w:t>
      </w:r>
      <w:r>
        <w:rPr/>
        <w:t>por</w:t>
      </w:r>
      <w:r>
        <w:rPr>
          <w:spacing w:val="38"/>
        </w:rPr>
        <w:t> </w:t>
      </w:r>
      <w:r>
        <w:rPr/>
        <w:t>consecuencia,</w:t>
      </w:r>
      <w:r>
        <w:rPr>
          <w:spacing w:val="39"/>
        </w:rPr>
        <w:t> </w:t>
      </w:r>
      <w:r>
        <w:rPr/>
        <w:t>el</w:t>
      </w:r>
      <w:r>
        <w:rPr>
          <w:spacing w:val="40"/>
        </w:rPr>
        <w:t> </w:t>
      </w:r>
      <w:r>
        <w:rPr/>
        <w:t>aumento</w:t>
      </w:r>
      <w:r>
        <w:rPr>
          <w:spacing w:val="39"/>
        </w:rPr>
        <w:t> </w:t>
      </w:r>
      <w:r>
        <w:rPr/>
        <w:t>del</w:t>
      </w:r>
      <w:r>
        <w:rPr>
          <w:spacing w:val="41"/>
        </w:rPr>
        <w:t> </w:t>
      </w:r>
      <w:r>
        <w:rPr/>
        <w:t>número</w:t>
      </w:r>
      <w:r>
        <w:rPr>
          <w:spacing w:val="39"/>
        </w:rPr>
        <w:t> </w:t>
      </w:r>
      <w:r>
        <w:rPr>
          <w:spacing w:val="-3"/>
        </w:rPr>
        <w:t>de</w:t>
      </w:r>
    </w:p>
    <w:p>
      <w:pPr>
        <w:spacing w:after="0" w:line="276" w:lineRule="auto"/>
        <w:jc w:val="both"/>
        <w:sectPr>
          <w:pgSz w:w="12240" w:h="15840"/>
          <w:pgMar w:header="178" w:footer="1233"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empleos en lo general y por ende, la elevación del nivel de vida de la población, acciones que generarán un crecimiento sostenido del número de personas empleadas permanentemente y con acceso a los servicios de salud y a todas aquellas prestaciones que contribuyen a enriquecer su modo de vida.</w:t>
      </w:r>
    </w:p>
    <w:p>
      <w:pPr>
        <w:pStyle w:val="BodyText"/>
        <w:spacing w:before="3"/>
        <w:rPr>
          <w:sz w:val="25"/>
        </w:rPr>
      </w:pPr>
    </w:p>
    <w:p>
      <w:pPr>
        <w:pStyle w:val="BodyText"/>
        <w:spacing w:line="278" w:lineRule="auto"/>
        <w:ind w:left="901" w:right="1156"/>
        <w:jc w:val="both"/>
      </w:pPr>
      <w:r>
        <w:rPr/>
        <w:t>Históricamente así se han manifestado los parámetros en que interviene la población económicamente activa en nuestro Municipio:</w:t>
      </w:r>
    </w:p>
    <w:p>
      <w:pPr>
        <w:pStyle w:val="BodyText"/>
        <w:spacing w:before="11"/>
        <w:rPr>
          <w:sz w:val="24"/>
        </w:rPr>
      </w:pPr>
    </w:p>
    <w:p>
      <w:pPr>
        <w:pStyle w:val="BodyText"/>
        <w:spacing w:line="276" w:lineRule="auto"/>
        <w:ind w:left="901" w:right="1157"/>
        <w:jc w:val="both"/>
      </w:pPr>
      <w:r>
        <w:rPr/>
        <w:t>En el año de 1980 la PEA representó un 31.21% de la población total del municipio, en tanto que para la década 1980-1990 hubo un decremento del 7.58% que equivale a 796 personas menos de lo que se reflejó en el año 1980, posteriormente en las décadas siguientes, hubo un incremento del 6.79% para la década 1990-2000 y para la década 2000-2010 el incremento fue de 5.86% en comparación con el año 1980 como se muestra en la tabla</w:t>
      </w:r>
      <w:r>
        <w:rPr>
          <w:spacing w:val="-6"/>
        </w:rPr>
        <w:t> </w:t>
      </w:r>
      <w:r>
        <w:rPr/>
        <w:t>siguiente:</w:t>
      </w:r>
    </w:p>
    <w:p>
      <w:pPr>
        <w:pStyle w:val="BodyText"/>
        <w:spacing w:before="8"/>
        <w:rPr>
          <w:sz w:val="23"/>
        </w:rPr>
      </w:pPr>
    </w:p>
    <w:p>
      <w:pPr>
        <w:pStyle w:val="BodyText"/>
        <w:spacing w:line="242" w:lineRule="auto"/>
        <w:ind w:left="1001" w:right="1259"/>
        <w:jc w:val="center"/>
        <w:rPr>
          <w:rFonts w:ascii="Corbel" w:hAnsi="Corbel"/>
        </w:rPr>
      </w:pPr>
      <w:r>
        <w:rPr>
          <w:rFonts w:ascii="Corbel" w:hAnsi="Corbel"/>
          <w:spacing w:val="-1"/>
          <w:w w:val="100"/>
        </w:rPr>
        <w:t>T</w:t>
      </w:r>
      <w:r>
        <w:rPr>
          <w:rFonts w:ascii="Corbel" w:hAnsi="Corbel"/>
          <w:spacing w:val="-2"/>
          <w:w w:val="100"/>
        </w:rPr>
        <w:t>A</w:t>
      </w:r>
      <w:r>
        <w:rPr>
          <w:rFonts w:ascii="Corbel" w:hAnsi="Corbel"/>
          <w:w w:val="100"/>
        </w:rPr>
        <w:t>BLA</w:t>
      </w:r>
      <w:r>
        <w:rPr>
          <w:rFonts w:ascii="Corbel" w:hAnsi="Corbel"/>
          <w:spacing w:val="-2"/>
        </w:rPr>
        <w:t> </w:t>
      </w:r>
      <w:r>
        <w:rPr>
          <w:rFonts w:ascii="Corbel" w:hAnsi="Corbel"/>
          <w:smallCaps/>
          <w:spacing w:val="-1"/>
          <w:w w:val="100"/>
        </w:rPr>
        <w:t>12</w:t>
      </w:r>
      <w:r>
        <w:rPr>
          <w:rFonts w:ascii="Corbel" w:hAnsi="Corbel"/>
          <w:smallCaps/>
          <w:w w:val="100"/>
        </w:rPr>
        <w:t>.</w:t>
      </w:r>
      <w:r>
        <w:rPr>
          <w:rFonts w:ascii="Corbel" w:hAnsi="Corbel"/>
          <w:smallCaps w:val="0"/>
          <w:spacing w:val="-2"/>
        </w:rPr>
        <w:t> </w:t>
      </w:r>
      <w:r>
        <w:rPr>
          <w:rFonts w:ascii="Corbel" w:hAnsi="Corbel"/>
          <w:smallCaps w:val="0"/>
          <w:spacing w:val="-2"/>
          <w:w w:val="100"/>
        </w:rPr>
        <w:t>P</w:t>
      </w:r>
      <w:r>
        <w:rPr>
          <w:rFonts w:ascii="Corbel" w:hAnsi="Corbel"/>
          <w:smallCaps w:val="0"/>
          <w:spacing w:val="-1"/>
          <w:w w:val="100"/>
        </w:rPr>
        <w:t>O</w:t>
      </w:r>
      <w:r>
        <w:rPr>
          <w:rFonts w:ascii="Corbel" w:hAnsi="Corbel"/>
          <w:smallCaps w:val="0"/>
          <w:w w:val="100"/>
        </w:rPr>
        <w:t>BL</w:t>
      </w:r>
      <w:r>
        <w:rPr>
          <w:rFonts w:ascii="Corbel" w:hAnsi="Corbel"/>
          <w:smallCaps w:val="0"/>
          <w:spacing w:val="-1"/>
          <w:w w:val="100"/>
        </w:rPr>
        <w:t>AC</w:t>
      </w:r>
      <w:r>
        <w:rPr>
          <w:rFonts w:ascii="Corbel" w:hAnsi="Corbel"/>
          <w:smallCaps w:val="0"/>
          <w:w w:val="100"/>
        </w:rPr>
        <w:t>I</w:t>
      </w:r>
      <w:r>
        <w:rPr>
          <w:rFonts w:ascii="Corbel" w:hAnsi="Corbel"/>
          <w:smallCaps w:val="0"/>
          <w:spacing w:val="-1"/>
          <w:w w:val="100"/>
        </w:rPr>
        <w:t>Ó</w:t>
      </w:r>
      <w:r>
        <w:rPr>
          <w:rFonts w:ascii="Corbel" w:hAnsi="Corbel"/>
          <w:smallCaps w:val="0"/>
          <w:w w:val="100"/>
        </w:rPr>
        <w:t>N</w:t>
      </w:r>
      <w:r>
        <w:rPr>
          <w:rFonts w:ascii="Corbel" w:hAnsi="Corbel"/>
          <w:smallCaps w:val="0"/>
          <w:spacing w:val="-1"/>
        </w:rPr>
        <w:t> </w:t>
      </w:r>
      <w:r>
        <w:rPr>
          <w:rFonts w:ascii="Corbel" w:hAnsi="Corbel"/>
          <w:smallCaps w:val="0"/>
          <w:spacing w:val="-2"/>
          <w:w w:val="100"/>
        </w:rPr>
        <w:t>E</w:t>
      </w:r>
      <w:r>
        <w:rPr>
          <w:rFonts w:ascii="Corbel" w:hAnsi="Corbel"/>
          <w:smallCaps w:val="0"/>
          <w:spacing w:val="-1"/>
          <w:w w:val="100"/>
        </w:rPr>
        <w:t>CO</w:t>
      </w:r>
      <w:r>
        <w:rPr>
          <w:rFonts w:ascii="Corbel" w:hAnsi="Corbel"/>
          <w:smallCaps w:val="0"/>
          <w:w w:val="100"/>
        </w:rPr>
        <w:t>N</w:t>
      </w:r>
      <w:r>
        <w:rPr>
          <w:rFonts w:ascii="Corbel" w:hAnsi="Corbel"/>
          <w:smallCaps w:val="0"/>
          <w:spacing w:val="-1"/>
          <w:w w:val="100"/>
        </w:rPr>
        <w:t>Ó</w:t>
      </w:r>
      <w:r>
        <w:rPr>
          <w:rFonts w:ascii="Corbel" w:hAnsi="Corbel"/>
          <w:smallCaps w:val="0"/>
          <w:w w:val="100"/>
        </w:rPr>
        <w:t>MI</w:t>
      </w:r>
      <w:r>
        <w:rPr>
          <w:rFonts w:ascii="Corbel" w:hAnsi="Corbel"/>
          <w:smallCaps w:val="0"/>
          <w:spacing w:val="-1"/>
          <w:w w:val="100"/>
        </w:rPr>
        <w:t>C</w:t>
      </w:r>
      <w:r>
        <w:rPr>
          <w:rFonts w:ascii="Corbel" w:hAnsi="Corbel"/>
          <w:smallCaps w:val="0"/>
          <w:spacing w:val="-4"/>
          <w:w w:val="100"/>
        </w:rPr>
        <w:t>A</w:t>
      </w:r>
      <w:r>
        <w:rPr>
          <w:rFonts w:ascii="Corbel" w:hAnsi="Corbel"/>
          <w:smallCaps w:val="0"/>
          <w:w w:val="100"/>
        </w:rPr>
        <w:t>ME</w:t>
      </w:r>
      <w:r>
        <w:rPr>
          <w:rFonts w:ascii="Corbel" w:hAnsi="Corbel"/>
          <w:smallCaps w:val="0"/>
          <w:spacing w:val="-1"/>
          <w:w w:val="100"/>
        </w:rPr>
        <w:t>N</w:t>
      </w:r>
      <w:r>
        <w:rPr>
          <w:rFonts w:ascii="Corbel" w:hAnsi="Corbel"/>
          <w:smallCaps w:val="0"/>
          <w:spacing w:val="-3"/>
          <w:w w:val="100"/>
        </w:rPr>
        <w:t>T</w:t>
      </w:r>
      <w:r>
        <w:rPr>
          <w:rFonts w:ascii="Corbel" w:hAnsi="Corbel"/>
          <w:smallCaps w:val="0"/>
          <w:w w:val="100"/>
        </w:rPr>
        <w:t>E</w:t>
      </w:r>
      <w:r>
        <w:rPr>
          <w:rFonts w:ascii="Corbel" w:hAnsi="Corbel"/>
          <w:smallCaps w:val="0"/>
        </w:rPr>
        <w:t> </w:t>
      </w:r>
      <w:r>
        <w:rPr>
          <w:rFonts w:ascii="Corbel" w:hAnsi="Corbel"/>
          <w:smallCaps w:val="0"/>
          <w:spacing w:val="-2"/>
          <w:w w:val="100"/>
        </w:rPr>
        <w:t>A</w:t>
      </w:r>
      <w:r>
        <w:rPr>
          <w:rFonts w:ascii="Corbel" w:hAnsi="Corbel"/>
          <w:smallCaps w:val="0"/>
          <w:spacing w:val="-1"/>
          <w:w w:val="100"/>
        </w:rPr>
        <w:t>CTI</w:t>
      </w:r>
      <w:r>
        <w:rPr>
          <w:rFonts w:ascii="Corbel" w:hAnsi="Corbel"/>
          <w:smallCaps w:val="0"/>
          <w:spacing w:val="-2"/>
          <w:w w:val="100"/>
        </w:rPr>
        <w:t>V</w:t>
      </w:r>
      <w:r>
        <w:rPr>
          <w:rFonts w:ascii="Corbel" w:hAnsi="Corbel"/>
          <w:smallCaps w:val="0"/>
          <w:w w:val="100"/>
        </w:rPr>
        <w:t>A</w:t>
      </w:r>
      <w:r>
        <w:rPr>
          <w:rFonts w:ascii="Corbel" w:hAnsi="Corbel"/>
          <w:smallCaps w:val="0"/>
          <w:spacing w:val="-2"/>
        </w:rPr>
        <w:t> </w:t>
      </w:r>
      <w:r>
        <w:rPr>
          <w:rFonts w:ascii="Corbel" w:hAnsi="Corbel"/>
          <w:smallCaps/>
          <w:spacing w:val="-1"/>
          <w:w w:val="100"/>
        </w:rPr>
        <w:t>1</w:t>
      </w:r>
      <w:r>
        <w:rPr>
          <w:rFonts w:ascii="Corbel" w:hAnsi="Corbel"/>
          <w:smallCaps/>
          <w:spacing w:val="-2"/>
          <w:w w:val="100"/>
        </w:rPr>
        <w:t>9</w:t>
      </w:r>
      <w:r>
        <w:rPr>
          <w:rFonts w:ascii="Corbel" w:hAnsi="Corbel"/>
          <w:smallCaps w:val="0"/>
          <w:spacing w:val="-1"/>
          <w:w w:val="100"/>
        </w:rPr>
        <w:t>80</w:t>
      </w:r>
      <w:r>
        <w:rPr>
          <w:rFonts w:ascii="Corbel" w:hAnsi="Corbel"/>
          <w:smallCaps w:val="0"/>
          <w:w w:val="100"/>
        </w:rPr>
        <w:t>-</w:t>
      </w:r>
      <w:r>
        <w:rPr>
          <w:rFonts w:ascii="Corbel" w:hAnsi="Corbel"/>
          <w:smallCaps/>
          <w:w w:val="100"/>
        </w:rPr>
        <w:t>2</w:t>
      </w:r>
      <w:r>
        <w:rPr>
          <w:rFonts w:ascii="Corbel" w:hAnsi="Corbel"/>
          <w:smallCaps/>
          <w:spacing w:val="-1"/>
          <w:w w:val="100"/>
        </w:rPr>
        <w:t>01</w:t>
      </w:r>
      <w:r>
        <w:rPr>
          <w:rFonts w:ascii="Corbel" w:hAnsi="Corbel"/>
          <w:smallCaps/>
          <w:w w:val="100"/>
        </w:rPr>
        <w:t>0</w:t>
      </w:r>
      <w:r>
        <w:rPr>
          <w:rFonts w:ascii="Corbel" w:hAnsi="Corbel"/>
          <w:smallCaps w:val="0"/>
          <w:spacing w:val="-2"/>
        </w:rPr>
        <w:t> </w:t>
      </w:r>
      <w:r>
        <w:rPr>
          <w:rFonts w:ascii="Corbel" w:hAnsi="Corbel"/>
          <w:smallCaps w:val="0"/>
          <w:w w:val="100"/>
        </w:rPr>
        <w:t>Y</w:t>
      </w:r>
      <w:r>
        <w:rPr>
          <w:rFonts w:ascii="Corbel" w:hAnsi="Corbel"/>
          <w:smallCaps w:val="0"/>
          <w:spacing w:val="-1"/>
        </w:rPr>
        <w:t> </w:t>
      </w:r>
      <w:r>
        <w:rPr>
          <w:rFonts w:ascii="Corbel" w:hAnsi="Corbel"/>
          <w:smallCaps w:val="0"/>
          <w:spacing w:val="-2"/>
          <w:w w:val="100"/>
        </w:rPr>
        <w:t>P</w:t>
      </w:r>
      <w:r>
        <w:rPr>
          <w:rFonts w:ascii="Corbel" w:hAnsi="Corbel"/>
          <w:smallCaps w:val="0"/>
          <w:spacing w:val="-1"/>
          <w:w w:val="100"/>
        </w:rPr>
        <w:t>O</w:t>
      </w:r>
      <w:r>
        <w:rPr>
          <w:rFonts w:ascii="Corbel" w:hAnsi="Corbel"/>
          <w:smallCaps w:val="0"/>
          <w:spacing w:val="-2"/>
          <w:w w:val="100"/>
        </w:rPr>
        <w:t>R</w:t>
      </w:r>
      <w:r>
        <w:rPr>
          <w:rFonts w:ascii="Corbel" w:hAnsi="Corbel"/>
          <w:smallCaps w:val="0"/>
          <w:spacing w:val="-1"/>
          <w:w w:val="100"/>
        </w:rPr>
        <w:t>CENT</w:t>
      </w:r>
      <w:r>
        <w:rPr>
          <w:rFonts w:ascii="Corbel" w:hAnsi="Corbel"/>
          <w:smallCaps w:val="0"/>
          <w:spacing w:val="1"/>
          <w:w w:val="100"/>
        </w:rPr>
        <w:t>A</w:t>
      </w:r>
      <w:r>
        <w:rPr>
          <w:rFonts w:ascii="Corbel" w:hAnsi="Corbel"/>
          <w:smallCaps w:val="0"/>
          <w:spacing w:val="-1"/>
          <w:w w:val="100"/>
        </w:rPr>
        <w:t>J</w:t>
      </w:r>
      <w:r>
        <w:rPr>
          <w:rFonts w:ascii="Corbel" w:hAnsi="Corbel"/>
          <w:smallCaps w:val="0"/>
          <w:w w:val="100"/>
        </w:rPr>
        <w:t>E</w:t>
      </w:r>
      <w:r>
        <w:rPr>
          <w:rFonts w:ascii="Corbel" w:hAnsi="Corbel"/>
          <w:smallCaps w:val="0"/>
        </w:rPr>
        <w:t> </w:t>
      </w:r>
      <w:r>
        <w:rPr>
          <w:rFonts w:ascii="Corbel" w:hAnsi="Corbel"/>
          <w:smallCaps w:val="0"/>
          <w:spacing w:val="-2"/>
          <w:w w:val="100"/>
        </w:rPr>
        <w:t>R</w:t>
      </w:r>
      <w:r>
        <w:rPr>
          <w:rFonts w:ascii="Corbel" w:hAnsi="Corbel"/>
          <w:smallCaps w:val="0"/>
          <w:w w:val="100"/>
        </w:rPr>
        <w:t>ESPECTO</w:t>
      </w:r>
      <w:r>
        <w:rPr>
          <w:rFonts w:ascii="Corbel" w:hAnsi="Corbel"/>
          <w:smallCaps w:val="0"/>
          <w:spacing w:val="-2"/>
        </w:rPr>
        <w:t> </w:t>
      </w:r>
      <w:r>
        <w:rPr>
          <w:rFonts w:ascii="Corbel" w:hAnsi="Corbel"/>
          <w:smallCaps w:val="0"/>
          <w:w w:val="100"/>
        </w:rPr>
        <w:t>A</w:t>
      </w:r>
      <w:r>
        <w:rPr>
          <w:rFonts w:ascii="Corbel" w:hAnsi="Corbel"/>
          <w:smallCaps w:val="0"/>
          <w:spacing w:val="-2"/>
        </w:rPr>
        <w:t> </w:t>
      </w:r>
      <w:r>
        <w:rPr>
          <w:rFonts w:ascii="Corbel" w:hAnsi="Corbel"/>
          <w:smallCaps w:val="0"/>
          <w:w w:val="100"/>
        </w:rPr>
        <w:t>LA </w:t>
      </w:r>
      <w:r>
        <w:rPr>
          <w:rFonts w:ascii="Corbel" w:hAnsi="Corbel"/>
          <w:smallCaps w:val="0"/>
          <w:spacing w:val="-2"/>
          <w:w w:val="100"/>
        </w:rPr>
        <w:t>P</w:t>
      </w:r>
      <w:r>
        <w:rPr>
          <w:rFonts w:ascii="Corbel" w:hAnsi="Corbel"/>
          <w:smallCaps w:val="0"/>
          <w:spacing w:val="-1"/>
          <w:w w:val="100"/>
        </w:rPr>
        <w:t>O</w:t>
      </w:r>
      <w:r>
        <w:rPr>
          <w:rFonts w:ascii="Corbel" w:hAnsi="Corbel"/>
          <w:smallCaps w:val="0"/>
          <w:w w:val="100"/>
        </w:rPr>
        <w:t>BL</w:t>
      </w:r>
      <w:r>
        <w:rPr>
          <w:rFonts w:ascii="Corbel" w:hAnsi="Corbel"/>
          <w:smallCaps w:val="0"/>
          <w:spacing w:val="-1"/>
          <w:w w:val="100"/>
        </w:rPr>
        <w:t>AC</w:t>
      </w:r>
      <w:r>
        <w:rPr>
          <w:rFonts w:ascii="Corbel" w:hAnsi="Corbel"/>
          <w:smallCaps w:val="0"/>
          <w:w w:val="100"/>
        </w:rPr>
        <w:t>I</w:t>
      </w:r>
      <w:r>
        <w:rPr>
          <w:rFonts w:ascii="Corbel" w:hAnsi="Corbel"/>
          <w:smallCaps w:val="0"/>
          <w:spacing w:val="-1"/>
          <w:w w:val="100"/>
        </w:rPr>
        <w:t>Ó</w:t>
      </w:r>
      <w:r>
        <w:rPr>
          <w:rFonts w:ascii="Corbel" w:hAnsi="Corbel"/>
          <w:smallCaps w:val="0"/>
          <w:w w:val="100"/>
        </w:rPr>
        <w:t>N</w:t>
      </w:r>
      <w:r>
        <w:rPr>
          <w:rFonts w:ascii="Corbel" w:hAnsi="Corbel"/>
          <w:smallCaps w:val="0"/>
          <w:spacing w:val="-1"/>
        </w:rPr>
        <w:t> </w:t>
      </w:r>
      <w:r>
        <w:rPr>
          <w:rFonts w:ascii="Corbel" w:hAnsi="Corbel"/>
          <w:smallCaps w:val="0"/>
          <w:spacing w:val="-1"/>
          <w:w w:val="100"/>
        </w:rPr>
        <w:t>TOT</w:t>
      </w:r>
      <w:r>
        <w:rPr>
          <w:rFonts w:ascii="Corbel" w:hAnsi="Corbel"/>
          <w:smallCaps w:val="0"/>
          <w:spacing w:val="-2"/>
          <w:w w:val="100"/>
        </w:rPr>
        <w:t>A</w:t>
      </w:r>
      <w:r>
        <w:rPr>
          <w:rFonts w:ascii="Corbel" w:hAnsi="Corbel"/>
          <w:smallCaps w:val="0"/>
          <w:w w:val="100"/>
        </w:rPr>
        <w:t>L</w:t>
      </w:r>
      <w:r>
        <w:rPr>
          <w:rFonts w:ascii="Corbel" w:hAnsi="Corbel"/>
          <w:smallCaps w:val="0"/>
          <w:spacing w:val="-1"/>
        </w:rPr>
        <w:t> </w:t>
      </w:r>
      <w:r>
        <w:rPr>
          <w:rFonts w:ascii="Corbel" w:hAnsi="Corbel"/>
          <w:smallCaps w:val="0"/>
          <w:spacing w:val="-2"/>
          <w:w w:val="100"/>
        </w:rPr>
        <w:t>D</w:t>
      </w:r>
      <w:r>
        <w:rPr>
          <w:rFonts w:ascii="Corbel" w:hAnsi="Corbel"/>
          <w:smallCaps w:val="0"/>
          <w:w w:val="100"/>
        </w:rPr>
        <w:t>EL</w:t>
      </w:r>
      <w:r>
        <w:rPr>
          <w:rFonts w:ascii="Corbel" w:hAnsi="Corbel"/>
          <w:smallCaps w:val="0"/>
          <w:spacing w:val="-3"/>
        </w:rPr>
        <w:t> </w:t>
      </w:r>
      <w:r>
        <w:rPr>
          <w:rFonts w:ascii="Corbel" w:hAnsi="Corbel"/>
          <w:smallCaps w:val="0"/>
          <w:w w:val="100"/>
        </w:rPr>
        <w:t>MU</w:t>
      </w:r>
      <w:r>
        <w:rPr>
          <w:rFonts w:ascii="Corbel" w:hAnsi="Corbel"/>
          <w:smallCaps w:val="0"/>
          <w:spacing w:val="-2"/>
          <w:w w:val="100"/>
        </w:rPr>
        <w:t>N</w:t>
      </w:r>
      <w:r>
        <w:rPr>
          <w:rFonts w:ascii="Corbel" w:hAnsi="Corbel"/>
          <w:smallCaps w:val="0"/>
          <w:w w:val="100"/>
        </w:rPr>
        <w:t>I</w:t>
      </w:r>
      <w:r>
        <w:rPr>
          <w:rFonts w:ascii="Corbel" w:hAnsi="Corbel"/>
          <w:smallCaps w:val="0"/>
          <w:spacing w:val="-1"/>
          <w:w w:val="100"/>
        </w:rPr>
        <w:t>CIP</w:t>
      </w:r>
      <w:r>
        <w:rPr>
          <w:rFonts w:ascii="Corbel" w:hAnsi="Corbel"/>
          <w:smallCaps w:val="0"/>
          <w:spacing w:val="-3"/>
          <w:w w:val="100"/>
        </w:rPr>
        <w:t>I</w:t>
      </w:r>
      <w:r>
        <w:rPr>
          <w:rFonts w:ascii="Corbel" w:hAnsi="Corbel"/>
          <w:smallCaps w:val="0"/>
          <w:w w:val="100"/>
        </w:rPr>
        <w:t>O</w:t>
      </w:r>
    </w:p>
    <w:p>
      <w:pPr>
        <w:pStyle w:val="BodyText"/>
        <w:spacing w:before="8"/>
        <w:rPr>
          <w:rFonts w:ascii="Corbel"/>
        </w:rPr>
      </w:pPr>
    </w:p>
    <w:tbl>
      <w:tblPr>
        <w:tblW w:w="0" w:type="auto"/>
        <w:jc w:val="left"/>
        <w:tblInd w:w="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24"/>
        <w:gridCol w:w="2508"/>
        <w:gridCol w:w="6147"/>
      </w:tblGrid>
      <w:tr>
        <w:trPr>
          <w:trHeight w:val="646" w:hRule="atLeast"/>
        </w:trPr>
        <w:tc>
          <w:tcPr>
            <w:tcW w:w="1924" w:type="dxa"/>
            <w:tcBorders>
              <w:right w:val="single" w:sz="4" w:space="0" w:color="4F81BC"/>
            </w:tcBorders>
          </w:tcPr>
          <w:p>
            <w:pPr>
              <w:pStyle w:val="TableParagraph"/>
              <w:spacing w:line="268" w:lineRule="exact"/>
              <w:ind w:left="200"/>
              <w:rPr>
                <w:rFonts w:ascii="Corbel" w:hAnsi="Corbel"/>
                <w:sz w:val="22"/>
              </w:rPr>
            </w:pPr>
            <w:r>
              <w:rPr>
                <w:rFonts w:ascii="Corbel" w:hAnsi="Corbel"/>
                <w:color w:val="365F91"/>
                <w:sz w:val="22"/>
              </w:rPr>
              <w:t>Año</w:t>
            </w:r>
          </w:p>
        </w:tc>
        <w:tc>
          <w:tcPr>
            <w:tcW w:w="8655" w:type="dxa"/>
            <w:gridSpan w:val="2"/>
            <w:tcBorders>
              <w:left w:val="single" w:sz="4" w:space="0" w:color="4F81BC"/>
              <w:bottom w:val="single" w:sz="6" w:space="0" w:color="4F81BC"/>
            </w:tcBorders>
          </w:tcPr>
          <w:p>
            <w:pPr>
              <w:pStyle w:val="TableParagraph"/>
              <w:spacing w:line="268" w:lineRule="exact"/>
              <w:ind w:left="73"/>
              <w:rPr>
                <w:rFonts w:ascii="Corbel" w:hAnsi="Corbel"/>
                <w:sz w:val="22"/>
              </w:rPr>
            </w:pPr>
            <w:r>
              <w:rPr>
                <w:rFonts w:ascii="Corbel" w:hAnsi="Corbel"/>
                <w:color w:val="365F91"/>
                <w:sz w:val="22"/>
              </w:rPr>
              <w:t>Población Económicamente Activa</w:t>
            </w:r>
          </w:p>
        </w:tc>
      </w:tr>
      <w:tr>
        <w:trPr>
          <w:trHeight w:val="725" w:hRule="atLeast"/>
        </w:trPr>
        <w:tc>
          <w:tcPr>
            <w:tcW w:w="1924" w:type="dxa"/>
            <w:tcBorders>
              <w:right w:val="single" w:sz="4" w:space="0" w:color="4F81BC"/>
            </w:tcBorders>
          </w:tcPr>
          <w:p>
            <w:pPr>
              <w:pStyle w:val="TableParagraph"/>
              <w:rPr>
                <w:rFonts w:ascii="Times New Roman"/>
                <w:sz w:val="20"/>
              </w:rPr>
            </w:pPr>
          </w:p>
        </w:tc>
        <w:tc>
          <w:tcPr>
            <w:tcW w:w="2508" w:type="dxa"/>
            <w:tcBorders>
              <w:top w:val="single" w:sz="6" w:space="0" w:color="4F81BC"/>
              <w:left w:val="single" w:sz="4" w:space="0" w:color="4F81BC"/>
            </w:tcBorders>
            <w:shd w:val="clear" w:color="auto" w:fill="DBE4F0"/>
          </w:tcPr>
          <w:p>
            <w:pPr>
              <w:pStyle w:val="TableParagraph"/>
              <w:spacing w:before="77"/>
              <w:ind w:left="73"/>
              <w:rPr>
                <w:rFonts w:ascii="Corbel"/>
                <w:sz w:val="22"/>
              </w:rPr>
            </w:pPr>
            <w:r>
              <w:rPr>
                <w:rFonts w:ascii="Corbel"/>
                <w:color w:val="365F91"/>
                <w:sz w:val="22"/>
              </w:rPr>
              <w:t>Personas</w:t>
            </w:r>
          </w:p>
        </w:tc>
        <w:tc>
          <w:tcPr>
            <w:tcW w:w="6147" w:type="dxa"/>
            <w:tcBorders>
              <w:top w:val="single" w:sz="6" w:space="0" w:color="4F81BC"/>
            </w:tcBorders>
            <w:shd w:val="clear" w:color="auto" w:fill="DBE4F0"/>
          </w:tcPr>
          <w:p>
            <w:pPr>
              <w:pStyle w:val="TableParagraph"/>
              <w:spacing w:before="77"/>
              <w:ind w:left="1596"/>
              <w:rPr>
                <w:rFonts w:ascii="Corbel"/>
                <w:sz w:val="22"/>
              </w:rPr>
            </w:pPr>
            <w:r>
              <w:rPr>
                <w:rFonts w:ascii="Corbel"/>
                <w:color w:val="365F91"/>
                <w:sz w:val="22"/>
              </w:rPr>
              <w:t>Porcentaje</w:t>
            </w:r>
          </w:p>
        </w:tc>
      </w:tr>
      <w:tr>
        <w:trPr>
          <w:trHeight w:val="730" w:hRule="atLeast"/>
        </w:trPr>
        <w:tc>
          <w:tcPr>
            <w:tcW w:w="1924" w:type="dxa"/>
            <w:tcBorders>
              <w:right w:val="single" w:sz="4" w:space="0" w:color="4F81BC"/>
            </w:tcBorders>
          </w:tcPr>
          <w:p>
            <w:pPr>
              <w:pStyle w:val="TableParagraph"/>
              <w:spacing w:before="79"/>
              <w:ind w:left="200"/>
              <w:rPr>
                <w:rFonts w:ascii="Corbel"/>
                <w:sz w:val="22"/>
              </w:rPr>
            </w:pPr>
            <w:r>
              <w:rPr>
                <w:rFonts w:ascii="Corbel"/>
                <w:smallCaps/>
                <w:color w:val="365F91"/>
                <w:spacing w:val="-1"/>
                <w:w w:val="100"/>
                <w:sz w:val="22"/>
              </w:rPr>
              <w:t>1</w:t>
            </w:r>
            <w:r>
              <w:rPr>
                <w:rFonts w:ascii="Corbel"/>
                <w:smallCaps/>
                <w:color w:val="365F91"/>
                <w:spacing w:val="-2"/>
                <w:w w:val="100"/>
                <w:sz w:val="22"/>
              </w:rPr>
              <w:t>9</w:t>
            </w:r>
            <w:r>
              <w:rPr>
                <w:rFonts w:ascii="Corbel"/>
                <w:smallCaps w:val="0"/>
                <w:color w:val="365F91"/>
                <w:spacing w:val="-1"/>
                <w:w w:val="100"/>
                <w:sz w:val="22"/>
              </w:rPr>
              <w:t>8</w:t>
            </w:r>
            <w:r>
              <w:rPr>
                <w:rFonts w:ascii="Corbel"/>
                <w:smallCaps w:val="0"/>
                <w:color w:val="365F91"/>
                <w:w w:val="100"/>
                <w:sz w:val="22"/>
              </w:rPr>
              <w:t>0</w:t>
            </w:r>
          </w:p>
        </w:tc>
        <w:tc>
          <w:tcPr>
            <w:tcW w:w="2508" w:type="dxa"/>
            <w:tcBorders>
              <w:left w:val="single" w:sz="4" w:space="0" w:color="4F81BC"/>
            </w:tcBorders>
          </w:tcPr>
          <w:p>
            <w:pPr>
              <w:pStyle w:val="TableParagraph"/>
              <w:spacing w:before="79"/>
              <w:ind w:left="73"/>
              <w:rPr>
                <w:rFonts w:ascii="Corbel"/>
                <w:sz w:val="22"/>
              </w:rPr>
            </w:pPr>
            <w:r>
              <w:rPr>
                <w:rFonts w:ascii="Corbel"/>
                <w:color w:val="365F91"/>
                <w:w w:val="100"/>
                <w:sz w:val="22"/>
              </w:rPr>
              <w:t>4</w:t>
            </w:r>
            <w:r>
              <w:rPr>
                <w:rFonts w:ascii="Corbel"/>
                <w:color w:val="365F91"/>
                <w:spacing w:val="-1"/>
                <w:w w:val="100"/>
                <w:sz w:val="22"/>
              </w:rPr>
              <w:t>,</w:t>
            </w:r>
            <w:r>
              <w:rPr>
                <w:rFonts w:ascii="Corbel"/>
                <w:color w:val="365F91"/>
                <w:w w:val="100"/>
                <w:sz w:val="22"/>
              </w:rPr>
              <w:t>4</w:t>
            </w:r>
            <w:r>
              <w:rPr>
                <w:rFonts w:ascii="Corbel"/>
                <w:smallCaps/>
                <w:color w:val="365F91"/>
                <w:w w:val="100"/>
                <w:sz w:val="22"/>
              </w:rPr>
              <w:t>26</w:t>
            </w:r>
          </w:p>
        </w:tc>
        <w:tc>
          <w:tcPr>
            <w:tcW w:w="6147" w:type="dxa"/>
          </w:tcPr>
          <w:p>
            <w:pPr>
              <w:pStyle w:val="TableParagraph"/>
              <w:spacing w:before="79"/>
              <w:ind w:left="1596"/>
              <w:rPr>
                <w:rFonts w:ascii="Corbel"/>
                <w:sz w:val="22"/>
              </w:rPr>
            </w:pPr>
            <w:r>
              <w:rPr>
                <w:rFonts w:ascii="Corbel"/>
                <w:color w:val="365F91"/>
                <w:w w:val="100"/>
                <w:sz w:val="22"/>
              </w:rPr>
              <w:t>3</w:t>
            </w:r>
            <w:r>
              <w:rPr>
                <w:rFonts w:ascii="Corbel"/>
                <w:smallCaps/>
                <w:color w:val="365F91"/>
                <w:spacing w:val="-1"/>
                <w:w w:val="100"/>
                <w:sz w:val="22"/>
              </w:rPr>
              <w:t>1</w:t>
            </w:r>
            <w:r>
              <w:rPr>
                <w:rFonts w:ascii="Corbel"/>
                <w:smallCaps/>
                <w:color w:val="365F91"/>
                <w:spacing w:val="-2"/>
                <w:w w:val="100"/>
                <w:sz w:val="22"/>
              </w:rPr>
              <w:t>.</w:t>
            </w:r>
            <w:r>
              <w:rPr>
                <w:rFonts w:ascii="Corbel"/>
                <w:smallCaps/>
                <w:color w:val="365F91"/>
                <w:w w:val="100"/>
                <w:sz w:val="22"/>
              </w:rPr>
              <w:t>21</w:t>
            </w:r>
          </w:p>
        </w:tc>
      </w:tr>
      <w:tr>
        <w:trPr>
          <w:trHeight w:val="729" w:hRule="atLeast"/>
        </w:trPr>
        <w:tc>
          <w:tcPr>
            <w:tcW w:w="1924" w:type="dxa"/>
            <w:tcBorders>
              <w:right w:val="single" w:sz="4" w:space="0" w:color="4F81BC"/>
            </w:tcBorders>
          </w:tcPr>
          <w:p>
            <w:pPr>
              <w:pStyle w:val="TableParagraph"/>
              <w:spacing w:before="78"/>
              <w:ind w:left="200"/>
              <w:rPr>
                <w:rFonts w:ascii="Corbel"/>
                <w:sz w:val="22"/>
              </w:rPr>
            </w:pPr>
            <w:r>
              <w:rPr>
                <w:rFonts w:ascii="Corbel"/>
                <w:smallCaps/>
                <w:color w:val="365F91"/>
                <w:spacing w:val="-1"/>
                <w:w w:val="100"/>
                <w:sz w:val="22"/>
              </w:rPr>
              <w:t>1990</w:t>
            </w:r>
          </w:p>
        </w:tc>
        <w:tc>
          <w:tcPr>
            <w:tcW w:w="2508" w:type="dxa"/>
            <w:tcBorders>
              <w:left w:val="single" w:sz="4" w:space="0" w:color="4F81BC"/>
            </w:tcBorders>
            <w:shd w:val="clear" w:color="auto" w:fill="DBE4F0"/>
          </w:tcPr>
          <w:p>
            <w:pPr>
              <w:pStyle w:val="TableParagraph"/>
              <w:spacing w:before="78"/>
              <w:ind w:left="73"/>
              <w:rPr>
                <w:rFonts w:ascii="Corbel"/>
                <w:sz w:val="22"/>
              </w:rPr>
            </w:pPr>
            <w:r>
              <w:rPr>
                <w:rFonts w:ascii="Corbel"/>
                <w:color w:val="365F91"/>
                <w:sz w:val="22"/>
              </w:rPr>
              <w:t>3,630</w:t>
            </w:r>
          </w:p>
        </w:tc>
        <w:tc>
          <w:tcPr>
            <w:tcW w:w="6147" w:type="dxa"/>
            <w:shd w:val="clear" w:color="auto" w:fill="DBE4F0"/>
          </w:tcPr>
          <w:p>
            <w:pPr>
              <w:pStyle w:val="TableParagraph"/>
              <w:spacing w:before="78"/>
              <w:ind w:left="1596"/>
              <w:rPr>
                <w:rFonts w:ascii="Corbel"/>
                <w:sz w:val="22"/>
              </w:rPr>
            </w:pPr>
            <w:r>
              <w:rPr>
                <w:rFonts w:ascii="Corbel"/>
                <w:smallCaps/>
                <w:color w:val="365F91"/>
                <w:w w:val="100"/>
                <w:sz w:val="22"/>
              </w:rPr>
              <w:t>23</w:t>
            </w:r>
            <w:r>
              <w:rPr>
                <w:rFonts w:ascii="Corbel"/>
                <w:smallCaps w:val="0"/>
                <w:color w:val="365F91"/>
                <w:spacing w:val="-1"/>
                <w:w w:val="100"/>
                <w:sz w:val="22"/>
              </w:rPr>
              <w:t>.63</w:t>
            </w:r>
          </w:p>
        </w:tc>
      </w:tr>
      <w:tr>
        <w:trPr>
          <w:trHeight w:val="727" w:hRule="atLeast"/>
        </w:trPr>
        <w:tc>
          <w:tcPr>
            <w:tcW w:w="1924" w:type="dxa"/>
            <w:tcBorders>
              <w:right w:val="single" w:sz="4" w:space="0" w:color="4F81BC"/>
            </w:tcBorders>
          </w:tcPr>
          <w:p>
            <w:pPr>
              <w:pStyle w:val="TableParagraph"/>
              <w:spacing w:before="76"/>
              <w:ind w:left="200"/>
              <w:rPr>
                <w:rFonts w:ascii="Corbel"/>
                <w:sz w:val="22"/>
              </w:rPr>
            </w:pPr>
            <w:r>
              <w:rPr>
                <w:rFonts w:ascii="Corbel"/>
                <w:smallCaps/>
                <w:color w:val="365F91"/>
                <w:w w:val="100"/>
                <w:sz w:val="22"/>
              </w:rPr>
              <w:t>2</w:t>
            </w:r>
            <w:r>
              <w:rPr>
                <w:rFonts w:ascii="Corbel"/>
                <w:smallCaps/>
                <w:color w:val="365F91"/>
                <w:spacing w:val="-1"/>
                <w:w w:val="100"/>
                <w:sz w:val="22"/>
              </w:rPr>
              <w:t>0</w:t>
            </w:r>
            <w:r>
              <w:rPr>
                <w:rFonts w:ascii="Corbel"/>
                <w:smallCaps w:val="0"/>
                <w:color w:val="365F91"/>
                <w:spacing w:val="-1"/>
                <w:w w:val="100"/>
                <w:sz w:val="22"/>
              </w:rPr>
              <w:t>0</w:t>
            </w:r>
            <w:r>
              <w:rPr>
                <w:rFonts w:ascii="Corbel"/>
                <w:smallCaps w:val="0"/>
                <w:color w:val="365F91"/>
                <w:w w:val="100"/>
                <w:sz w:val="22"/>
              </w:rPr>
              <w:t>0</w:t>
            </w:r>
          </w:p>
        </w:tc>
        <w:tc>
          <w:tcPr>
            <w:tcW w:w="2508" w:type="dxa"/>
            <w:tcBorders>
              <w:left w:val="single" w:sz="4" w:space="0" w:color="4F81BC"/>
            </w:tcBorders>
          </w:tcPr>
          <w:p>
            <w:pPr>
              <w:pStyle w:val="TableParagraph"/>
              <w:spacing w:before="76"/>
              <w:ind w:left="73"/>
              <w:rPr>
                <w:rFonts w:ascii="Corbel"/>
                <w:sz w:val="22"/>
              </w:rPr>
            </w:pPr>
            <w:r>
              <w:rPr>
                <w:rFonts w:ascii="Corbel"/>
                <w:color w:val="365F91"/>
                <w:w w:val="100"/>
                <w:sz w:val="22"/>
              </w:rPr>
              <w:t>5</w:t>
            </w:r>
            <w:r>
              <w:rPr>
                <w:rFonts w:ascii="Corbel"/>
                <w:color w:val="365F91"/>
                <w:spacing w:val="-2"/>
                <w:w w:val="100"/>
                <w:sz w:val="22"/>
              </w:rPr>
              <w:t>,</w:t>
            </w:r>
            <w:r>
              <w:rPr>
                <w:rFonts w:ascii="Corbel"/>
                <w:smallCaps/>
                <w:color w:val="365F91"/>
                <w:w w:val="100"/>
                <w:sz w:val="22"/>
              </w:rPr>
              <w:t>529</w:t>
            </w:r>
          </w:p>
        </w:tc>
        <w:tc>
          <w:tcPr>
            <w:tcW w:w="6147" w:type="dxa"/>
          </w:tcPr>
          <w:p>
            <w:pPr>
              <w:pStyle w:val="TableParagraph"/>
              <w:spacing w:before="76"/>
              <w:ind w:left="1596"/>
              <w:rPr>
                <w:rFonts w:ascii="Corbel"/>
                <w:sz w:val="22"/>
              </w:rPr>
            </w:pPr>
            <w:r>
              <w:rPr>
                <w:rFonts w:ascii="Corbel"/>
                <w:color w:val="365F91"/>
                <w:w w:val="100"/>
                <w:sz w:val="22"/>
              </w:rPr>
              <w:t>3</w:t>
            </w:r>
            <w:r>
              <w:rPr>
                <w:rFonts w:ascii="Corbel"/>
                <w:color w:val="365F91"/>
                <w:spacing w:val="-1"/>
                <w:w w:val="100"/>
                <w:sz w:val="22"/>
              </w:rPr>
              <w:t>0.</w:t>
            </w:r>
            <w:r>
              <w:rPr>
                <w:rFonts w:ascii="Corbel"/>
                <w:color w:val="365F91"/>
                <w:w w:val="100"/>
                <w:sz w:val="22"/>
              </w:rPr>
              <w:t>4</w:t>
            </w:r>
            <w:r>
              <w:rPr>
                <w:rFonts w:ascii="Corbel"/>
                <w:smallCaps/>
                <w:color w:val="365F91"/>
                <w:w w:val="100"/>
                <w:sz w:val="22"/>
              </w:rPr>
              <w:t>2</w:t>
            </w:r>
          </w:p>
        </w:tc>
      </w:tr>
      <w:tr>
        <w:trPr>
          <w:trHeight w:val="729" w:hRule="atLeast"/>
        </w:trPr>
        <w:tc>
          <w:tcPr>
            <w:tcW w:w="1924" w:type="dxa"/>
            <w:tcBorders>
              <w:right w:val="single" w:sz="4" w:space="0" w:color="4F81BC"/>
            </w:tcBorders>
          </w:tcPr>
          <w:p>
            <w:pPr>
              <w:pStyle w:val="TableParagraph"/>
              <w:spacing w:before="78"/>
              <w:ind w:left="200"/>
              <w:rPr>
                <w:rFonts w:ascii="Corbel"/>
                <w:sz w:val="22"/>
              </w:rPr>
            </w:pPr>
            <w:r>
              <w:rPr>
                <w:rFonts w:ascii="Corbel"/>
                <w:smallCaps/>
                <w:color w:val="365F91"/>
                <w:w w:val="100"/>
                <w:sz w:val="22"/>
              </w:rPr>
              <w:t>2</w:t>
            </w:r>
            <w:r>
              <w:rPr>
                <w:rFonts w:ascii="Corbel"/>
                <w:smallCaps/>
                <w:color w:val="365F91"/>
                <w:spacing w:val="-1"/>
                <w:w w:val="100"/>
                <w:sz w:val="22"/>
              </w:rPr>
              <w:t>010</w:t>
            </w:r>
          </w:p>
        </w:tc>
        <w:tc>
          <w:tcPr>
            <w:tcW w:w="2508" w:type="dxa"/>
            <w:tcBorders>
              <w:left w:val="single" w:sz="4" w:space="0" w:color="4F81BC"/>
            </w:tcBorders>
            <w:shd w:val="clear" w:color="auto" w:fill="DBE4F0"/>
          </w:tcPr>
          <w:p>
            <w:pPr>
              <w:pStyle w:val="TableParagraph"/>
              <w:spacing w:before="78"/>
              <w:ind w:left="73"/>
              <w:rPr>
                <w:rFonts w:ascii="Corbel"/>
                <w:sz w:val="22"/>
              </w:rPr>
            </w:pPr>
            <w:r>
              <w:rPr>
                <w:rFonts w:ascii="Corbel"/>
                <w:color w:val="365F91"/>
                <w:sz w:val="22"/>
              </w:rPr>
              <w:t>7,735</w:t>
            </w:r>
          </w:p>
        </w:tc>
        <w:tc>
          <w:tcPr>
            <w:tcW w:w="6147" w:type="dxa"/>
            <w:shd w:val="clear" w:color="auto" w:fill="DBE4F0"/>
          </w:tcPr>
          <w:p>
            <w:pPr>
              <w:pStyle w:val="TableParagraph"/>
              <w:spacing w:before="78"/>
              <w:ind w:left="1596"/>
              <w:rPr>
                <w:rFonts w:ascii="Corbel"/>
                <w:sz w:val="22"/>
              </w:rPr>
            </w:pPr>
            <w:r>
              <w:rPr>
                <w:rFonts w:ascii="Corbel"/>
                <w:color w:val="365F91"/>
                <w:w w:val="100"/>
                <w:sz w:val="22"/>
              </w:rPr>
              <w:t>3</w:t>
            </w:r>
            <w:r>
              <w:rPr>
                <w:rFonts w:ascii="Corbel"/>
                <w:color w:val="365F91"/>
                <w:spacing w:val="-1"/>
                <w:w w:val="100"/>
                <w:sz w:val="22"/>
              </w:rPr>
              <w:t>6</w:t>
            </w:r>
            <w:r>
              <w:rPr>
                <w:rFonts w:ascii="Corbel"/>
                <w:color w:val="365F91"/>
                <w:spacing w:val="-2"/>
                <w:w w:val="100"/>
                <w:sz w:val="22"/>
              </w:rPr>
              <w:t>.</w:t>
            </w:r>
            <w:r>
              <w:rPr>
                <w:rFonts w:ascii="Corbel"/>
                <w:smallCaps/>
                <w:color w:val="365F91"/>
                <w:w w:val="100"/>
                <w:sz w:val="22"/>
              </w:rPr>
              <w:t>28</w:t>
            </w:r>
          </w:p>
        </w:tc>
      </w:tr>
    </w:tbl>
    <w:p>
      <w:pPr>
        <w:pStyle w:val="BodyText"/>
        <w:spacing w:before="5"/>
        <w:rPr>
          <w:rFonts w:ascii="Corbel"/>
          <w:sz w:val="31"/>
        </w:rPr>
      </w:pPr>
    </w:p>
    <w:p>
      <w:pPr>
        <w:spacing w:before="1"/>
        <w:ind w:left="3404" w:right="3663" w:firstLine="1"/>
        <w:jc w:val="center"/>
        <w:rPr>
          <w:sz w:val="15"/>
        </w:rPr>
      </w:pPr>
      <w:r>
        <w:rPr>
          <w:sz w:val="15"/>
        </w:rPr>
        <w:t>Fuete: </w:t>
      </w:r>
      <w:r>
        <w:rPr>
          <w:color w:val="333333"/>
          <w:sz w:val="15"/>
        </w:rPr>
        <w:t>INEGI: Censo de Población y Vivienda 2010, en </w:t>
      </w:r>
      <w:hyperlink r:id="rId15">
        <w:r>
          <w:rPr>
            <w:color w:val="0000FF"/>
            <w:sz w:val="15"/>
            <w:u w:val="single" w:color="0000FF"/>
          </w:rPr>
          <w:t>https://www.jalisco.gob.mx/es/jalisco/municipios/magdalena</w:t>
        </w:r>
      </w:hyperlink>
    </w:p>
    <w:p>
      <w:pPr>
        <w:pStyle w:val="BodyText"/>
        <w:rPr>
          <w:sz w:val="20"/>
        </w:rPr>
      </w:pPr>
    </w:p>
    <w:p>
      <w:pPr>
        <w:pStyle w:val="BodyText"/>
        <w:spacing w:before="11"/>
        <w:rPr>
          <w:sz w:val="17"/>
        </w:rPr>
      </w:pPr>
    </w:p>
    <w:p>
      <w:pPr>
        <w:pStyle w:val="BodyText"/>
        <w:spacing w:before="101"/>
        <w:ind w:left="901" w:right="1155"/>
        <w:jc w:val="both"/>
      </w:pPr>
      <w:r>
        <w:rPr/>
        <w:t>Dentro de la PEA, encontramos la siguiente distribución: El 42.49% de la POBLACIÓN ECONÓMICA ACTIVA se empleó en comercio y servicios diversos que es casi la mitad de la población, también tenemos el 25.21% de la población dedicada a la industria, el 17.92% estaba ocupada en profesiones, técnico y administrativo y por último el 13.54% en las actividades agropecuario.</w:t>
      </w:r>
    </w:p>
    <w:p>
      <w:pPr>
        <w:spacing w:after="0"/>
        <w:jc w:val="both"/>
        <w:sectPr>
          <w:pgSz w:w="12240" w:h="15840"/>
          <w:pgMar w:header="178" w:footer="1233" w:top="1120" w:bottom="1360" w:left="460" w:right="220"/>
        </w:sectPr>
      </w:pPr>
    </w:p>
    <w:p>
      <w:pPr>
        <w:pStyle w:val="BodyText"/>
        <w:rPr>
          <w:sz w:val="20"/>
        </w:rPr>
      </w:pPr>
    </w:p>
    <w:p>
      <w:pPr>
        <w:pStyle w:val="BodyText"/>
        <w:rPr>
          <w:sz w:val="20"/>
        </w:rPr>
      </w:pPr>
    </w:p>
    <w:p>
      <w:pPr>
        <w:pStyle w:val="BodyText"/>
        <w:spacing w:before="12"/>
        <w:rPr>
          <w:sz w:val="14"/>
        </w:rPr>
      </w:pPr>
    </w:p>
    <w:p>
      <w:pPr>
        <w:pStyle w:val="BodyText"/>
        <w:spacing w:before="101"/>
        <w:ind w:left="901" w:right="1157"/>
        <w:jc w:val="both"/>
      </w:pPr>
      <w:r>
        <w:rPr/>
        <w:t>La población de Magdalena en el año 2010 eminentemente es comerciante, con </w:t>
      </w:r>
      <w:r>
        <w:rPr>
          <w:spacing w:val="-3"/>
        </w:rPr>
        <w:t>un</w:t>
      </w:r>
      <w:r>
        <w:rPr>
          <w:spacing w:val="54"/>
        </w:rPr>
        <w:t> </w:t>
      </w:r>
      <w:r>
        <w:rPr/>
        <w:t>muy incipiente porcentaje dedicado a la industria y un reducido número de personas dedicados a las actividades agropecuarias</w:t>
      </w:r>
    </w:p>
    <w:p>
      <w:pPr>
        <w:pStyle w:val="BodyText"/>
        <w:spacing w:before="7"/>
        <w:rPr>
          <w:sz w:val="23"/>
        </w:rPr>
      </w:pPr>
    </w:p>
    <w:p>
      <w:pPr>
        <w:pStyle w:val="BodyText"/>
        <w:ind w:left="1001" w:right="1259"/>
        <w:jc w:val="center"/>
        <w:rPr>
          <w:rFonts w:ascii="Corbel" w:hAnsi="Corbel"/>
        </w:rPr>
      </w:pPr>
      <w:r>
        <w:rPr>
          <w:rFonts w:ascii="Corbel" w:hAnsi="Corbel"/>
          <w:spacing w:val="-1"/>
          <w:w w:val="100"/>
        </w:rPr>
        <w:t>F</w:t>
      </w:r>
      <w:r>
        <w:rPr>
          <w:rFonts w:ascii="Corbel" w:hAnsi="Corbel"/>
          <w:w w:val="100"/>
        </w:rPr>
        <w:t>I</w:t>
      </w:r>
      <w:r>
        <w:rPr>
          <w:rFonts w:ascii="Corbel" w:hAnsi="Corbel"/>
          <w:spacing w:val="-2"/>
          <w:w w:val="100"/>
        </w:rPr>
        <w:t>G</w:t>
      </w:r>
      <w:r>
        <w:rPr>
          <w:rFonts w:ascii="Corbel" w:hAnsi="Corbel"/>
          <w:w w:val="100"/>
        </w:rPr>
        <w:t>URA</w:t>
      </w:r>
      <w:r>
        <w:rPr>
          <w:rFonts w:ascii="Corbel" w:hAnsi="Corbel"/>
          <w:spacing w:val="-3"/>
        </w:rPr>
        <w:t> </w:t>
      </w:r>
      <w:r>
        <w:rPr>
          <w:rFonts w:ascii="Corbel" w:hAnsi="Corbel"/>
          <w:spacing w:val="-1"/>
          <w:w w:val="100"/>
        </w:rPr>
        <w:t>7</w:t>
      </w:r>
      <w:r>
        <w:rPr>
          <w:rFonts w:ascii="Corbel" w:hAnsi="Corbel"/>
          <w:w w:val="100"/>
        </w:rPr>
        <w:t>.</w:t>
      </w:r>
      <w:r>
        <w:rPr>
          <w:rFonts w:ascii="Corbel" w:hAnsi="Corbel"/>
          <w:spacing w:val="-2"/>
        </w:rPr>
        <w:t> </w:t>
      </w:r>
      <w:r>
        <w:rPr>
          <w:rFonts w:ascii="Corbel" w:hAnsi="Corbel"/>
          <w:w w:val="100"/>
        </w:rPr>
        <w:t>D</w:t>
      </w:r>
      <w:r>
        <w:rPr>
          <w:rFonts w:ascii="Corbel" w:hAnsi="Corbel"/>
          <w:spacing w:val="1"/>
          <w:w w:val="100"/>
        </w:rPr>
        <w:t>I</w:t>
      </w:r>
      <w:r>
        <w:rPr>
          <w:rFonts w:ascii="Corbel" w:hAnsi="Corbel"/>
          <w:w w:val="100"/>
        </w:rPr>
        <w:t>ST</w:t>
      </w:r>
      <w:r>
        <w:rPr>
          <w:rFonts w:ascii="Corbel" w:hAnsi="Corbel"/>
          <w:spacing w:val="-1"/>
          <w:w w:val="100"/>
        </w:rPr>
        <w:t>R</w:t>
      </w:r>
      <w:r>
        <w:rPr>
          <w:rFonts w:ascii="Corbel" w:hAnsi="Corbel"/>
          <w:w w:val="100"/>
        </w:rPr>
        <w:t>I</w:t>
      </w:r>
      <w:r>
        <w:rPr>
          <w:rFonts w:ascii="Corbel" w:hAnsi="Corbel"/>
          <w:spacing w:val="-2"/>
          <w:w w:val="100"/>
        </w:rPr>
        <w:t>B</w:t>
      </w:r>
      <w:r>
        <w:rPr>
          <w:rFonts w:ascii="Corbel" w:hAnsi="Corbel"/>
          <w:w w:val="100"/>
        </w:rPr>
        <w:t>UCI</w:t>
      </w:r>
      <w:r>
        <w:rPr>
          <w:rFonts w:ascii="Corbel" w:hAnsi="Corbel"/>
          <w:spacing w:val="-1"/>
          <w:w w:val="100"/>
        </w:rPr>
        <w:t>Ó</w:t>
      </w:r>
      <w:r>
        <w:rPr>
          <w:rFonts w:ascii="Corbel" w:hAnsi="Corbel"/>
          <w:w w:val="100"/>
        </w:rPr>
        <w:t>N</w:t>
      </w:r>
      <w:r>
        <w:rPr>
          <w:rFonts w:ascii="Corbel" w:hAnsi="Corbel"/>
          <w:spacing w:val="-3"/>
        </w:rPr>
        <w:t> </w:t>
      </w:r>
      <w:r>
        <w:rPr>
          <w:rFonts w:ascii="Corbel" w:hAnsi="Corbel"/>
          <w:spacing w:val="-2"/>
          <w:w w:val="100"/>
        </w:rPr>
        <w:t>P</w:t>
      </w:r>
      <w:r>
        <w:rPr>
          <w:rFonts w:ascii="Corbel" w:hAnsi="Corbel"/>
          <w:spacing w:val="-1"/>
          <w:w w:val="100"/>
        </w:rPr>
        <w:t>O</w:t>
      </w:r>
      <w:r>
        <w:rPr>
          <w:rFonts w:ascii="Corbel" w:hAnsi="Corbel"/>
          <w:spacing w:val="-2"/>
          <w:w w:val="100"/>
        </w:rPr>
        <w:t>R</w:t>
      </w:r>
      <w:r>
        <w:rPr>
          <w:rFonts w:ascii="Corbel" w:hAnsi="Corbel"/>
          <w:spacing w:val="-1"/>
          <w:w w:val="100"/>
        </w:rPr>
        <w:t>CENT</w:t>
      </w:r>
      <w:r>
        <w:rPr>
          <w:rFonts w:ascii="Corbel" w:hAnsi="Corbel"/>
          <w:w w:val="100"/>
        </w:rPr>
        <w:t>U</w:t>
      </w:r>
      <w:r>
        <w:rPr>
          <w:rFonts w:ascii="Corbel" w:hAnsi="Corbel"/>
          <w:spacing w:val="-2"/>
          <w:w w:val="100"/>
        </w:rPr>
        <w:t>A</w:t>
      </w:r>
      <w:r>
        <w:rPr>
          <w:rFonts w:ascii="Corbel" w:hAnsi="Corbel"/>
          <w:w w:val="100"/>
        </w:rPr>
        <w:t>L</w:t>
      </w:r>
      <w:r>
        <w:rPr>
          <w:rFonts w:ascii="Corbel" w:hAnsi="Corbel"/>
        </w:rPr>
        <w:t> </w:t>
      </w:r>
      <w:r>
        <w:rPr>
          <w:rFonts w:ascii="Corbel" w:hAnsi="Corbel"/>
          <w:w w:val="100"/>
        </w:rPr>
        <w:t>DE</w:t>
      </w:r>
      <w:r>
        <w:rPr>
          <w:rFonts w:ascii="Corbel" w:hAnsi="Corbel"/>
          <w:spacing w:val="-1"/>
        </w:rPr>
        <w:t> </w:t>
      </w:r>
      <w:r>
        <w:rPr>
          <w:rFonts w:ascii="Corbel" w:hAnsi="Corbel"/>
          <w:w w:val="100"/>
        </w:rPr>
        <w:t>LA</w:t>
      </w:r>
      <w:r>
        <w:rPr>
          <w:rFonts w:ascii="Corbel" w:hAnsi="Corbel"/>
          <w:spacing w:val="-2"/>
        </w:rPr>
        <w:t> </w:t>
      </w:r>
      <w:r>
        <w:rPr>
          <w:rFonts w:ascii="Corbel" w:hAnsi="Corbel"/>
          <w:spacing w:val="-2"/>
          <w:w w:val="100"/>
        </w:rPr>
        <w:t>P</w:t>
      </w:r>
      <w:r>
        <w:rPr>
          <w:rFonts w:ascii="Corbel" w:hAnsi="Corbel"/>
          <w:spacing w:val="-1"/>
          <w:w w:val="100"/>
        </w:rPr>
        <w:t>O</w:t>
      </w:r>
      <w:r>
        <w:rPr>
          <w:rFonts w:ascii="Corbel" w:hAnsi="Corbel"/>
          <w:spacing w:val="-2"/>
          <w:w w:val="100"/>
        </w:rPr>
        <w:t>B</w:t>
      </w:r>
      <w:r>
        <w:rPr>
          <w:rFonts w:ascii="Corbel" w:hAnsi="Corbel"/>
          <w:w w:val="100"/>
        </w:rPr>
        <w:t>L</w:t>
      </w:r>
      <w:r>
        <w:rPr>
          <w:rFonts w:ascii="Corbel" w:hAnsi="Corbel"/>
          <w:spacing w:val="-1"/>
          <w:w w:val="100"/>
        </w:rPr>
        <w:t>ACIÓ</w:t>
      </w:r>
      <w:r>
        <w:rPr>
          <w:rFonts w:ascii="Corbel" w:hAnsi="Corbel"/>
          <w:w w:val="100"/>
        </w:rPr>
        <w:t>N</w:t>
      </w:r>
      <w:r>
        <w:rPr>
          <w:rFonts w:ascii="Corbel" w:hAnsi="Corbel"/>
          <w:spacing w:val="-1"/>
        </w:rPr>
        <w:t> </w:t>
      </w:r>
      <w:r>
        <w:rPr>
          <w:rFonts w:ascii="Corbel" w:hAnsi="Corbel"/>
          <w:spacing w:val="-1"/>
          <w:w w:val="100"/>
        </w:rPr>
        <w:t>OC</w:t>
      </w:r>
      <w:r>
        <w:rPr>
          <w:rFonts w:ascii="Corbel" w:hAnsi="Corbel"/>
          <w:w w:val="100"/>
        </w:rPr>
        <w:t>UP</w:t>
      </w:r>
      <w:r>
        <w:rPr>
          <w:rFonts w:ascii="Corbel" w:hAnsi="Corbel"/>
          <w:spacing w:val="-2"/>
          <w:w w:val="100"/>
        </w:rPr>
        <w:t>A</w:t>
      </w:r>
      <w:r>
        <w:rPr>
          <w:rFonts w:ascii="Corbel" w:hAnsi="Corbel"/>
          <w:w w:val="100"/>
        </w:rPr>
        <w:t>DA,</w:t>
      </w:r>
      <w:r>
        <w:rPr>
          <w:rFonts w:ascii="Corbel" w:hAnsi="Corbel"/>
          <w:spacing w:val="-3"/>
        </w:rPr>
        <w:t> </w:t>
      </w:r>
      <w:r>
        <w:rPr>
          <w:rFonts w:ascii="Corbel" w:hAnsi="Corbel"/>
          <w:w w:val="100"/>
        </w:rPr>
        <w:t>S</w:t>
      </w:r>
      <w:r>
        <w:rPr>
          <w:rFonts w:ascii="Corbel" w:hAnsi="Corbel"/>
          <w:spacing w:val="1"/>
          <w:w w:val="100"/>
        </w:rPr>
        <w:t>E</w:t>
      </w:r>
      <w:r>
        <w:rPr>
          <w:rFonts w:ascii="Corbel" w:hAnsi="Corbel"/>
          <w:spacing w:val="-2"/>
          <w:w w:val="100"/>
        </w:rPr>
        <w:t>GÚ</w:t>
      </w:r>
      <w:r>
        <w:rPr>
          <w:rFonts w:ascii="Corbel" w:hAnsi="Corbel"/>
          <w:w w:val="100"/>
        </w:rPr>
        <w:t>N</w:t>
      </w:r>
      <w:r>
        <w:rPr>
          <w:rFonts w:ascii="Corbel" w:hAnsi="Corbel"/>
          <w:spacing w:val="-1"/>
        </w:rPr>
        <w:t> </w:t>
      </w:r>
      <w:r>
        <w:rPr>
          <w:rFonts w:ascii="Corbel" w:hAnsi="Corbel"/>
          <w:w w:val="100"/>
        </w:rPr>
        <w:t>D</w:t>
      </w:r>
      <w:r>
        <w:rPr>
          <w:rFonts w:ascii="Corbel" w:hAnsi="Corbel"/>
          <w:spacing w:val="1"/>
          <w:w w:val="100"/>
        </w:rPr>
        <w:t>I</w:t>
      </w:r>
      <w:r>
        <w:rPr>
          <w:rFonts w:ascii="Corbel" w:hAnsi="Corbel"/>
          <w:spacing w:val="-2"/>
          <w:w w:val="100"/>
        </w:rPr>
        <w:t>V</w:t>
      </w:r>
      <w:r>
        <w:rPr>
          <w:rFonts w:ascii="Corbel" w:hAnsi="Corbel"/>
          <w:w w:val="100"/>
        </w:rPr>
        <w:t>I</w:t>
      </w:r>
      <w:r>
        <w:rPr>
          <w:rFonts w:ascii="Corbel" w:hAnsi="Corbel"/>
          <w:spacing w:val="-2"/>
          <w:w w:val="100"/>
        </w:rPr>
        <w:t>S</w:t>
      </w:r>
      <w:r>
        <w:rPr>
          <w:rFonts w:ascii="Corbel" w:hAnsi="Corbel"/>
          <w:w w:val="100"/>
        </w:rPr>
        <w:t>I</w:t>
      </w:r>
      <w:r>
        <w:rPr>
          <w:rFonts w:ascii="Corbel" w:hAnsi="Corbel"/>
          <w:spacing w:val="-1"/>
          <w:w w:val="100"/>
        </w:rPr>
        <w:t>ÓN OC</w:t>
      </w:r>
      <w:r>
        <w:rPr>
          <w:rFonts w:ascii="Corbel" w:hAnsi="Corbel"/>
          <w:w w:val="100"/>
        </w:rPr>
        <w:t>UP</w:t>
      </w:r>
      <w:r>
        <w:rPr>
          <w:rFonts w:ascii="Corbel" w:hAnsi="Corbel"/>
          <w:spacing w:val="-2"/>
          <w:w w:val="100"/>
        </w:rPr>
        <w:t>A</w:t>
      </w:r>
      <w:r>
        <w:rPr>
          <w:rFonts w:ascii="Corbel" w:hAnsi="Corbel"/>
          <w:spacing w:val="-1"/>
          <w:w w:val="100"/>
        </w:rPr>
        <w:t>CION</w:t>
      </w:r>
      <w:r>
        <w:rPr>
          <w:rFonts w:ascii="Corbel" w:hAnsi="Corbel"/>
          <w:spacing w:val="-2"/>
          <w:w w:val="100"/>
        </w:rPr>
        <w:t>A</w:t>
      </w:r>
      <w:r>
        <w:rPr>
          <w:rFonts w:ascii="Corbel" w:hAnsi="Corbel"/>
          <w:w w:val="100"/>
        </w:rPr>
        <w:t>L</w:t>
      </w:r>
      <w:r>
        <w:rPr>
          <w:rFonts w:ascii="Corbel" w:hAnsi="Corbel"/>
        </w:rPr>
        <w:t> </w:t>
      </w:r>
      <w:r>
        <w:rPr>
          <w:rFonts w:ascii="Corbel" w:hAnsi="Corbel"/>
          <w:smallCaps/>
          <w:w w:val="100"/>
        </w:rPr>
        <w:t>2</w:t>
      </w:r>
      <w:r>
        <w:rPr>
          <w:rFonts w:ascii="Corbel" w:hAnsi="Corbel"/>
          <w:smallCaps/>
          <w:spacing w:val="-1"/>
          <w:w w:val="100"/>
        </w:rPr>
        <w:t>01</w:t>
      </w:r>
      <w:r>
        <w:rPr>
          <w:rFonts w:ascii="Corbel" w:hAnsi="Corbel"/>
          <w:smallCaps/>
          <w:w w:val="100"/>
        </w:rPr>
        <w:t>0</w:t>
      </w:r>
      <w:r>
        <w:rPr>
          <w:rFonts w:ascii="Corbel" w:hAnsi="Corbel"/>
          <w:smallCaps w:val="0"/>
          <w:spacing w:val="-2"/>
        </w:rPr>
        <w:t> </w:t>
      </w:r>
      <w:r>
        <w:rPr>
          <w:rFonts w:ascii="Corbel" w:hAnsi="Corbel"/>
          <w:smallCaps w:val="0"/>
          <w:w w:val="100"/>
        </w:rPr>
        <w:t>(EN</w:t>
      </w:r>
      <w:r>
        <w:rPr>
          <w:rFonts w:ascii="Corbel" w:hAnsi="Corbel"/>
          <w:smallCaps w:val="0"/>
          <w:spacing w:val="-3"/>
        </w:rPr>
        <w:t> </w:t>
      </w:r>
      <w:r>
        <w:rPr>
          <w:rFonts w:ascii="Corbel" w:hAnsi="Corbel"/>
          <w:smallCaps w:val="0"/>
          <w:spacing w:val="-1"/>
          <w:w w:val="100"/>
        </w:rPr>
        <w:t>O</w:t>
      </w:r>
      <w:r>
        <w:rPr>
          <w:rFonts w:ascii="Corbel" w:hAnsi="Corbel"/>
          <w:smallCaps w:val="0"/>
          <w:spacing w:val="-2"/>
          <w:w w:val="100"/>
        </w:rPr>
        <w:t>R</w:t>
      </w:r>
      <w:r>
        <w:rPr>
          <w:rFonts w:ascii="Corbel" w:hAnsi="Corbel"/>
          <w:smallCaps w:val="0"/>
          <w:w w:val="100"/>
        </w:rPr>
        <w:t>D</w:t>
      </w:r>
      <w:r>
        <w:rPr>
          <w:rFonts w:ascii="Corbel" w:hAnsi="Corbel"/>
          <w:smallCaps w:val="0"/>
          <w:spacing w:val="1"/>
          <w:w w:val="100"/>
        </w:rPr>
        <w:t>E</w:t>
      </w:r>
      <w:r>
        <w:rPr>
          <w:rFonts w:ascii="Corbel" w:hAnsi="Corbel"/>
          <w:smallCaps w:val="0"/>
          <w:w w:val="100"/>
        </w:rPr>
        <w:t>N</w:t>
      </w:r>
      <w:r>
        <w:rPr>
          <w:rFonts w:ascii="Corbel" w:hAnsi="Corbel"/>
          <w:smallCaps w:val="0"/>
          <w:spacing w:val="-1"/>
        </w:rPr>
        <w:t> </w:t>
      </w:r>
      <w:r>
        <w:rPr>
          <w:rFonts w:ascii="Corbel" w:hAnsi="Corbel"/>
          <w:smallCaps w:val="0"/>
          <w:spacing w:val="-2"/>
          <w:w w:val="100"/>
        </w:rPr>
        <w:t>D</w:t>
      </w:r>
      <w:r>
        <w:rPr>
          <w:rFonts w:ascii="Corbel" w:hAnsi="Corbel"/>
          <w:smallCaps w:val="0"/>
          <w:w w:val="100"/>
        </w:rPr>
        <w:t>ESC</w:t>
      </w:r>
      <w:r>
        <w:rPr>
          <w:rFonts w:ascii="Corbel" w:hAnsi="Corbel"/>
          <w:smallCaps w:val="0"/>
          <w:spacing w:val="-2"/>
          <w:w w:val="100"/>
        </w:rPr>
        <w:t>E</w:t>
      </w:r>
      <w:r>
        <w:rPr>
          <w:rFonts w:ascii="Corbel" w:hAnsi="Corbel"/>
          <w:smallCaps w:val="0"/>
          <w:spacing w:val="-1"/>
          <w:w w:val="100"/>
        </w:rPr>
        <w:t>ND</w:t>
      </w:r>
      <w:r>
        <w:rPr>
          <w:rFonts w:ascii="Corbel" w:hAnsi="Corbel"/>
          <w:smallCaps w:val="0"/>
          <w:spacing w:val="-2"/>
          <w:w w:val="100"/>
        </w:rPr>
        <w:t>E</w:t>
      </w:r>
      <w:r>
        <w:rPr>
          <w:rFonts w:ascii="Corbel" w:hAnsi="Corbel"/>
          <w:smallCaps w:val="0"/>
          <w:spacing w:val="-1"/>
          <w:w w:val="100"/>
        </w:rPr>
        <w:t>NT</w:t>
      </w:r>
      <w:r>
        <w:rPr>
          <w:rFonts w:ascii="Corbel" w:hAnsi="Corbel"/>
          <w:smallCaps w:val="0"/>
          <w:spacing w:val="-3"/>
          <w:w w:val="100"/>
        </w:rPr>
        <w:t>E</w:t>
      </w:r>
      <w:r>
        <w:rPr>
          <w:rFonts w:ascii="Corbel" w:hAnsi="Corbel"/>
          <w:smallCaps w:val="0"/>
          <w:w w:val="100"/>
        </w:rPr>
        <w:t>)</w:t>
      </w:r>
    </w:p>
    <w:p>
      <w:pPr>
        <w:pStyle w:val="BodyText"/>
        <w:spacing w:before="11"/>
        <w:rPr>
          <w:rFonts w:ascii="Corbel"/>
          <w:sz w:val="19"/>
        </w:rPr>
      </w:pPr>
      <w:r>
        <w:rPr/>
        <w:pict>
          <v:group style="position:absolute;margin-left:171.600006pt;margin-top:14.114511pt;width:269.05pt;height:144.75pt;mso-position-horizontal-relative:page;mso-position-vertical-relative:paragraph;z-index:-251585536;mso-wrap-distance-left:0;mso-wrap-distance-right:0" coordorigin="3432,282" coordsize="5381,2895">
            <v:shape style="position:absolute;left:3432;top:282;width:5381;height:2895" type="#_x0000_t75" stroked="false">
              <v:imagedata r:id="rId50" o:title=""/>
            </v:shape>
            <v:shape style="position:absolute;left:3868;top:683;width:2613;height:2092" type="#_x0000_t75" stroked="false">
              <v:imagedata r:id="rId51" o:title=""/>
            </v:shape>
            <v:shape style="position:absolute;left:7005;top:603;width:100;height:100" type="#_x0000_t75" stroked="false">
              <v:imagedata r:id="rId32" o:title=""/>
            </v:shape>
            <v:shape style="position:absolute;left:7005;top:1321;width:100;height:100" type="#_x0000_t75" stroked="false">
              <v:imagedata r:id="rId33" o:title=""/>
            </v:shape>
            <v:shape style="position:absolute;left:7005;top:2036;width:100;height:102" type="#_x0000_t75" stroked="false">
              <v:imagedata r:id="rId52" o:title=""/>
            </v:shape>
            <v:shape style="position:absolute;left:7005;top:2754;width:100;height:102" type="#_x0000_t75" stroked="false">
              <v:imagedata r:id="rId53" o:title=""/>
            </v:shape>
            <v:shape style="position:absolute;left:7140;top:1983;width:1221;height:1126" type="#_x0000_t202" filled="false" stroked="false">
              <v:textbox inset="0,0,0,0">
                <w:txbxContent>
                  <w:p>
                    <w:pPr>
                      <w:spacing w:line="240" w:lineRule="auto" w:before="0"/>
                      <w:ind w:left="0" w:right="0" w:firstLine="0"/>
                      <w:jc w:val="left"/>
                      <w:rPr>
                        <w:rFonts w:ascii="Arial"/>
                        <w:sz w:val="18"/>
                      </w:rPr>
                    </w:pPr>
                    <w:r>
                      <w:rPr>
                        <w:rFonts w:ascii="Arial"/>
                        <w:color w:val="D9D9D9"/>
                        <w:sz w:val="18"/>
                      </w:rPr>
                      <w:t>profesionistas, tecnicos y administrativos</w:t>
                    </w:r>
                  </w:p>
                  <w:p>
                    <w:pPr>
                      <w:spacing w:before="90"/>
                      <w:ind w:left="0" w:right="60" w:firstLine="0"/>
                      <w:jc w:val="left"/>
                      <w:rPr>
                        <w:rFonts w:ascii="Arial"/>
                        <w:sz w:val="18"/>
                      </w:rPr>
                    </w:pPr>
                    <w:r>
                      <w:rPr>
                        <w:rFonts w:ascii="Arial"/>
                        <w:color w:val="D9D9D9"/>
                        <w:sz w:val="18"/>
                      </w:rPr>
                      <w:t>trabajadores agropecuarios</w:t>
                    </w:r>
                  </w:p>
                </w:txbxContent>
              </v:textbox>
              <w10:wrap type="none"/>
            </v:shape>
            <v:shape style="position:absolute;left:4630;top:1788;width:473;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25.51</w:t>
                    </w:r>
                  </w:p>
                </w:txbxContent>
              </v:textbox>
              <w10:wrap type="none"/>
            </v:shape>
            <v:shape style="position:absolute;left:7140;top:549;width:1461;height:1126" type="#_x0000_t202" filled="false" stroked="false">
              <v:textbox inset="0,0,0,0">
                <w:txbxContent>
                  <w:p>
                    <w:pPr>
                      <w:spacing w:line="240" w:lineRule="auto" w:before="0"/>
                      <w:ind w:left="0" w:right="20" w:firstLine="0"/>
                      <w:jc w:val="left"/>
                      <w:rPr>
                        <w:rFonts w:ascii="Arial"/>
                        <w:sz w:val="18"/>
                      </w:rPr>
                    </w:pPr>
                    <w:r>
                      <w:rPr>
                        <w:rFonts w:ascii="Arial"/>
                        <w:color w:val="D9D9D9"/>
                        <w:sz w:val="18"/>
                      </w:rPr>
                      <w:t>comerciantes y trabajadores en servicios diversos</w:t>
                    </w:r>
                  </w:p>
                  <w:p>
                    <w:pPr>
                      <w:spacing w:before="90"/>
                      <w:ind w:left="0" w:right="0" w:firstLine="0"/>
                      <w:jc w:val="left"/>
                      <w:rPr>
                        <w:rFonts w:ascii="Arial"/>
                        <w:sz w:val="18"/>
                      </w:rPr>
                    </w:pPr>
                    <w:r>
                      <w:rPr>
                        <w:rFonts w:ascii="Arial"/>
                        <w:color w:val="D9D9D9"/>
                        <w:sz w:val="18"/>
                      </w:rPr>
                      <w:t>trabajadores en la industria</w:t>
                    </w:r>
                  </w:p>
                </w:txbxContent>
              </v:textbox>
              <w10:wrap type="none"/>
            </v:shape>
            <v:shape style="position:absolute;left:5620;top:1218;width:474;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42.49</w:t>
                    </w:r>
                  </w:p>
                </w:txbxContent>
              </v:textbox>
              <w10:wrap type="none"/>
            </v:shape>
            <v:shape style="position:absolute;left:4120;top:1323;width:473;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17.92</w:t>
                    </w:r>
                  </w:p>
                </w:txbxContent>
              </v:textbox>
              <w10:wrap type="none"/>
            </v:shape>
            <v:shape style="position:absolute;left:4690;top:663;width:657;height:622" type="#_x0000_t202" filled="false" stroked="false">
              <v:textbox inset="0,0,0,0">
                <w:txbxContent>
                  <w:p>
                    <w:pPr>
                      <w:spacing w:line="201" w:lineRule="exact" w:before="0"/>
                      <w:ind w:left="285" w:right="0" w:firstLine="0"/>
                      <w:jc w:val="left"/>
                      <w:rPr>
                        <w:rFonts w:ascii="Arial"/>
                        <w:sz w:val="18"/>
                      </w:rPr>
                    </w:pPr>
                    <w:r>
                      <w:rPr>
                        <w:rFonts w:ascii="Arial"/>
                        <w:color w:val="D9D9D9"/>
                        <w:sz w:val="18"/>
                      </w:rPr>
                      <w:t>0.53</w:t>
                    </w:r>
                  </w:p>
                  <w:p>
                    <w:pPr>
                      <w:spacing w:line="240" w:lineRule="auto" w:before="5"/>
                      <w:rPr>
                        <w:rFonts w:ascii="Corbel"/>
                        <w:sz w:val="17"/>
                      </w:rPr>
                    </w:pPr>
                  </w:p>
                  <w:p>
                    <w:pPr>
                      <w:spacing w:before="0"/>
                      <w:ind w:left="0" w:right="0" w:firstLine="0"/>
                      <w:jc w:val="left"/>
                      <w:rPr>
                        <w:rFonts w:ascii="Arial"/>
                        <w:sz w:val="18"/>
                      </w:rPr>
                    </w:pPr>
                    <w:r>
                      <w:rPr>
                        <w:rFonts w:ascii="Arial"/>
                        <w:color w:val="D9D9D9"/>
                        <w:sz w:val="18"/>
                      </w:rPr>
                      <w:t>13.54</w:t>
                    </w:r>
                  </w:p>
                </w:txbxContent>
              </v:textbox>
              <w10:wrap type="none"/>
            </v:shape>
            <w10:wrap type="topAndBottom"/>
          </v:group>
        </w:pict>
      </w:r>
    </w:p>
    <w:p>
      <w:pPr>
        <w:spacing w:before="107"/>
        <w:ind w:left="3772" w:right="4030" w:firstLine="3"/>
        <w:jc w:val="center"/>
        <w:rPr>
          <w:rFonts w:ascii="Corbel" w:hAnsi="Corbel"/>
          <w:sz w:val="15"/>
        </w:rPr>
      </w:pPr>
      <w:r>
        <w:rPr>
          <w:rFonts w:ascii="Corbel" w:hAnsi="Corbel"/>
          <w:b/>
          <w:w w:val="100"/>
          <w:sz w:val="15"/>
        </w:rPr>
        <w:t>F</w:t>
      </w:r>
      <w:r>
        <w:rPr>
          <w:rFonts w:ascii="Corbel" w:hAnsi="Corbel"/>
          <w:b/>
          <w:spacing w:val="-1"/>
          <w:w w:val="100"/>
          <w:sz w:val="15"/>
        </w:rPr>
        <w:t>ue</w:t>
      </w:r>
      <w:r>
        <w:rPr>
          <w:rFonts w:ascii="Corbel" w:hAnsi="Corbel"/>
          <w:b/>
          <w:w w:val="100"/>
          <w:sz w:val="15"/>
        </w:rPr>
        <w:t>nte:</w:t>
      </w:r>
      <w:r>
        <w:rPr>
          <w:rFonts w:ascii="Corbel" w:hAnsi="Corbel"/>
          <w:b/>
          <w:spacing w:val="-2"/>
          <w:sz w:val="15"/>
        </w:rPr>
        <w:t> </w:t>
      </w:r>
      <w:r>
        <w:rPr>
          <w:rFonts w:ascii="Corbel" w:hAnsi="Corbel"/>
          <w:color w:val="333333"/>
          <w:spacing w:val="-2"/>
          <w:w w:val="100"/>
          <w:sz w:val="15"/>
        </w:rPr>
        <w:t>IN</w:t>
      </w:r>
      <w:r>
        <w:rPr>
          <w:rFonts w:ascii="Corbel" w:hAnsi="Corbel"/>
          <w:color w:val="333333"/>
          <w:w w:val="100"/>
          <w:sz w:val="15"/>
        </w:rPr>
        <w:t>EG</w:t>
      </w:r>
      <w:r>
        <w:rPr>
          <w:rFonts w:ascii="Corbel" w:hAnsi="Corbel"/>
          <w:color w:val="333333"/>
          <w:spacing w:val="-2"/>
          <w:w w:val="100"/>
          <w:sz w:val="15"/>
        </w:rPr>
        <w:t>I</w:t>
      </w:r>
      <w:r>
        <w:rPr>
          <w:rFonts w:ascii="Corbel" w:hAnsi="Corbel"/>
          <w:color w:val="333333"/>
          <w:w w:val="100"/>
          <w:sz w:val="15"/>
        </w:rPr>
        <w:t>.</w:t>
      </w:r>
      <w:r>
        <w:rPr>
          <w:rFonts w:ascii="Corbel" w:hAnsi="Corbel"/>
          <w:color w:val="333333"/>
          <w:spacing w:val="-1"/>
          <w:sz w:val="15"/>
        </w:rPr>
        <w:t> </w:t>
      </w:r>
      <w:r>
        <w:rPr>
          <w:rFonts w:ascii="Corbel" w:hAnsi="Corbel"/>
          <w:color w:val="333333"/>
          <w:spacing w:val="-1"/>
          <w:w w:val="100"/>
          <w:sz w:val="15"/>
        </w:rPr>
        <w:t>C</w:t>
      </w:r>
      <w:r>
        <w:rPr>
          <w:rFonts w:ascii="Corbel" w:hAnsi="Corbel"/>
          <w:color w:val="333333"/>
          <w:spacing w:val="-2"/>
          <w:w w:val="100"/>
          <w:sz w:val="15"/>
        </w:rPr>
        <w:t>e</w:t>
      </w:r>
      <w:r>
        <w:rPr>
          <w:rFonts w:ascii="Corbel" w:hAnsi="Corbel"/>
          <w:color w:val="333333"/>
          <w:spacing w:val="-1"/>
          <w:w w:val="100"/>
          <w:sz w:val="15"/>
        </w:rPr>
        <w:t>n</w:t>
      </w:r>
      <w:r>
        <w:rPr>
          <w:rFonts w:ascii="Corbel" w:hAnsi="Corbel"/>
          <w:color w:val="333333"/>
          <w:spacing w:val="-2"/>
          <w:w w:val="100"/>
          <w:sz w:val="15"/>
        </w:rPr>
        <w:t>s</w:t>
      </w:r>
      <w:r>
        <w:rPr>
          <w:rFonts w:ascii="Corbel" w:hAnsi="Corbel"/>
          <w:color w:val="333333"/>
          <w:w w:val="100"/>
          <w:sz w:val="15"/>
        </w:rPr>
        <w:t>o</w:t>
      </w:r>
      <w:r>
        <w:rPr>
          <w:rFonts w:ascii="Corbel" w:hAnsi="Corbel"/>
          <w:color w:val="333333"/>
          <w:spacing w:val="-1"/>
          <w:sz w:val="15"/>
        </w:rPr>
        <w:t> </w:t>
      </w:r>
      <w:r>
        <w:rPr>
          <w:rFonts w:ascii="Corbel" w:hAnsi="Corbel"/>
          <w:color w:val="333333"/>
          <w:w w:val="100"/>
          <w:sz w:val="15"/>
        </w:rPr>
        <w:t>de</w:t>
      </w:r>
      <w:r>
        <w:rPr>
          <w:rFonts w:ascii="Corbel" w:hAnsi="Corbel"/>
          <w:color w:val="333333"/>
          <w:spacing w:val="-3"/>
          <w:sz w:val="15"/>
        </w:rPr>
        <w:t> </w:t>
      </w:r>
      <w:r>
        <w:rPr>
          <w:rFonts w:ascii="Corbel" w:hAnsi="Corbel"/>
          <w:color w:val="333333"/>
          <w:spacing w:val="-3"/>
          <w:w w:val="100"/>
          <w:sz w:val="15"/>
        </w:rPr>
        <w:t>P</w:t>
      </w:r>
      <w:r>
        <w:rPr>
          <w:rFonts w:ascii="Corbel" w:hAnsi="Corbel"/>
          <w:color w:val="333333"/>
          <w:w w:val="100"/>
          <w:sz w:val="15"/>
        </w:rPr>
        <w:t>o</w:t>
      </w:r>
      <w:r>
        <w:rPr>
          <w:rFonts w:ascii="Corbel" w:hAnsi="Corbel"/>
          <w:color w:val="333333"/>
          <w:spacing w:val="-2"/>
          <w:w w:val="100"/>
          <w:sz w:val="15"/>
        </w:rPr>
        <w:t>b</w:t>
      </w:r>
      <w:r>
        <w:rPr>
          <w:rFonts w:ascii="Corbel" w:hAnsi="Corbel"/>
          <w:color w:val="333333"/>
          <w:w w:val="100"/>
          <w:sz w:val="15"/>
        </w:rPr>
        <w:t>l</w:t>
      </w:r>
      <w:r>
        <w:rPr>
          <w:rFonts w:ascii="Corbel" w:hAnsi="Corbel"/>
          <w:color w:val="333333"/>
          <w:spacing w:val="-3"/>
          <w:w w:val="100"/>
          <w:sz w:val="15"/>
        </w:rPr>
        <w:t>a</w:t>
      </w:r>
      <w:r>
        <w:rPr>
          <w:rFonts w:ascii="Corbel" w:hAnsi="Corbel"/>
          <w:color w:val="333333"/>
          <w:w w:val="100"/>
          <w:sz w:val="15"/>
        </w:rPr>
        <w:t>c</w:t>
      </w:r>
      <w:r>
        <w:rPr>
          <w:rFonts w:ascii="Corbel" w:hAnsi="Corbel"/>
          <w:color w:val="333333"/>
          <w:spacing w:val="-2"/>
          <w:w w:val="100"/>
          <w:sz w:val="15"/>
        </w:rPr>
        <w:t>i</w:t>
      </w:r>
      <w:r>
        <w:rPr>
          <w:rFonts w:ascii="Corbel" w:hAnsi="Corbel"/>
          <w:color w:val="333333"/>
          <w:w w:val="100"/>
          <w:sz w:val="15"/>
        </w:rPr>
        <w:t>ón</w:t>
      </w:r>
      <w:r>
        <w:rPr>
          <w:rFonts w:ascii="Corbel" w:hAnsi="Corbel"/>
          <w:color w:val="333333"/>
          <w:spacing w:val="1"/>
          <w:sz w:val="15"/>
        </w:rPr>
        <w:t> </w:t>
      </w:r>
      <w:r>
        <w:rPr>
          <w:rFonts w:ascii="Corbel" w:hAnsi="Corbel"/>
          <w:color w:val="333333"/>
          <w:w w:val="100"/>
          <w:sz w:val="15"/>
        </w:rPr>
        <w:t>y</w:t>
      </w:r>
      <w:r>
        <w:rPr>
          <w:rFonts w:ascii="Corbel" w:hAnsi="Corbel"/>
          <w:color w:val="333333"/>
          <w:spacing w:val="-2"/>
          <w:sz w:val="15"/>
        </w:rPr>
        <w:t> </w:t>
      </w:r>
      <w:r>
        <w:rPr>
          <w:rFonts w:ascii="Corbel" w:hAnsi="Corbel"/>
          <w:color w:val="333333"/>
          <w:spacing w:val="-1"/>
          <w:w w:val="100"/>
          <w:sz w:val="15"/>
        </w:rPr>
        <w:t>V</w:t>
      </w:r>
      <w:r>
        <w:rPr>
          <w:rFonts w:ascii="Corbel" w:hAnsi="Corbel"/>
          <w:color w:val="333333"/>
          <w:spacing w:val="-2"/>
          <w:w w:val="100"/>
          <w:sz w:val="15"/>
        </w:rPr>
        <w:t>i</w:t>
      </w:r>
      <w:r>
        <w:rPr>
          <w:rFonts w:ascii="Corbel" w:hAnsi="Corbel"/>
          <w:color w:val="333333"/>
          <w:w w:val="100"/>
          <w:sz w:val="15"/>
        </w:rPr>
        <w:t>vi</w:t>
      </w:r>
      <w:r>
        <w:rPr>
          <w:rFonts w:ascii="Corbel" w:hAnsi="Corbel"/>
          <w:color w:val="333333"/>
          <w:spacing w:val="-1"/>
          <w:w w:val="100"/>
          <w:sz w:val="15"/>
        </w:rPr>
        <w:t>en</w:t>
      </w:r>
      <w:r>
        <w:rPr>
          <w:rFonts w:ascii="Corbel" w:hAnsi="Corbel"/>
          <w:color w:val="333333"/>
          <w:w w:val="100"/>
          <w:sz w:val="15"/>
        </w:rPr>
        <w:t>da</w:t>
      </w:r>
      <w:r>
        <w:rPr>
          <w:rFonts w:ascii="Corbel" w:hAnsi="Corbel"/>
          <w:color w:val="333333"/>
          <w:spacing w:val="-1"/>
          <w:sz w:val="15"/>
        </w:rPr>
        <w:t> </w:t>
      </w:r>
      <w:r>
        <w:rPr>
          <w:rFonts w:ascii="Corbel" w:hAnsi="Corbel"/>
          <w:smallCaps/>
          <w:color w:val="333333"/>
          <w:spacing w:val="-1"/>
          <w:w w:val="100"/>
          <w:sz w:val="15"/>
        </w:rPr>
        <w:t>2</w:t>
      </w:r>
      <w:r>
        <w:rPr>
          <w:rFonts w:ascii="Corbel" w:hAnsi="Corbel"/>
          <w:smallCaps w:val="0"/>
          <w:color w:val="333333"/>
          <w:spacing w:val="-1"/>
          <w:w w:val="100"/>
          <w:sz w:val="15"/>
        </w:rPr>
        <w:t>0</w:t>
      </w:r>
      <w:r>
        <w:rPr>
          <w:rFonts w:ascii="Corbel" w:hAnsi="Corbel"/>
          <w:smallCaps/>
          <w:color w:val="333333"/>
          <w:spacing w:val="-1"/>
          <w:w w:val="100"/>
          <w:sz w:val="15"/>
        </w:rPr>
        <w:t>1</w:t>
      </w:r>
      <w:r>
        <w:rPr>
          <w:rFonts w:ascii="Corbel" w:hAnsi="Corbel"/>
          <w:smallCaps w:val="0"/>
          <w:color w:val="333333"/>
          <w:spacing w:val="-1"/>
          <w:w w:val="100"/>
          <w:sz w:val="15"/>
        </w:rPr>
        <w:t>0</w:t>
      </w:r>
      <w:r>
        <w:rPr>
          <w:rFonts w:ascii="Corbel" w:hAnsi="Corbel"/>
          <w:smallCaps w:val="0"/>
          <w:color w:val="333333"/>
          <w:w w:val="100"/>
          <w:sz w:val="15"/>
        </w:rPr>
        <w:t>,</w:t>
      </w:r>
      <w:r>
        <w:rPr>
          <w:rFonts w:ascii="Corbel" w:hAnsi="Corbel"/>
          <w:smallCaps w:val="0"/>
          <w:color w:val="333333"/>
          <w:spacing w:val="-1"/>
          <w:sz w:val="15"/>
        </w:rPr>
        <w:t> </w:t>
      </w:r>
      <w:r>
        <w:rPr>
          <w:rFonts w:ascii="Corbel" w:hAnsi="Corbel"/>
          <w:smallCaps w:val="0"/>
          <w:color w:val="333333"/>
          <w:spacing w:val="-1"/>
          <w:w w:val="100"/>
          <w:sz w:val="15"/>
        </w:rPr>
        <w:t>en </w:t>
      </w:r>
      <w:hyperlink r:id="rId15">
        <w:r>
          <w:rPr>
            <w:rFonts w:ascii="Corbel" w:hAnsi="Corbel"/>
            <w:smallCaps w:val="0"/>
            <w:color w:val="0000FF"/>
            <w:spacing w:val="1"/>
            <w:w w:val="100"/>
            <w:sz w:val="15"/>
            <w:u w:val="single" w:color="0000FF"/>
          </w:rPr>
          <w:t>h</w:t>
        </w:r>
        <w:r>
          <w:rPr>
            <w:rFonts w:ascii="Corbel" w:hAnsi="Corbel"/>
            <w:smallCaps w:val="0"/>
            <w:color w:val="0000FF"/>
            <w:spacing w:val="-1"/>
            <w:w w:val="100"/>
            <w:sz w:val="15"/>
            <w:u w:val="single" w:color="0000FF"/>
          </w:rPr>
          <w:t>t</w:t>
        </w:r>
        <w:r>
          <w:rPr>
            <w:rFonts w:ascii="Corbel" w:hAnsi="Corbel"/>
            <w:smallCaps w:val="0"/>
            <w:color w:val="0000FF"/>
            <w:w w:val="100"/>
            <w:sz w:val="15"/>
            <w:u w:val="single" w:color="0000FF"/>
          </w:rPr>
          <w:t>t</w:t>
        </w:r>
        <w:r>
          <w:rPr>
            <w:rFonts w:ascii="Corbel" w:hAnsi="Corbel"/>
            <w:smallCaps w:val="0"/>
            <w:color w:val="0000FF"/>
            <w:spacing w:val="-2"/>
            <w:w w:val="100"/>
            <w:sz w:val="15"/>
            <w:u w:val="single" w:color="0000FF"/>
          </w:rPr>
          <w:t>ps</w:t>
        </w:r>
        <w:r>
          <w:rPr>
            <w:rFonts w:ascii="Corbel" w:hAnsi="Corbel"/>
            <w:smallCaps w:val="0"/>
            <w:color w:val="0000FF"/>
            <w:w w:val="100"/>
            <w:sz w:val="15"/>
            <w:u w:val="single" w:color="0000FF"/>
          </w:rPr>
          <w:t>:</w:t>
        </w:r>
        <w:r>
          <w:rPr>
            <w:rFonts w:ascii="Corbel" w:hAnsi="Corbel"/>
            <w:smallCaps w:val="0"/>
            <w:color w:val="0000FF"/>
            <w:spacing w:val="-1"/>
            <w:w w:val="100"/>
            <w:sz w:val="15"/>
            <w:u w:val="single" w:color="0000FF"/>
          </w:rPr>
          <w:t>/</w:t>
        </w:r>
        <w:r>
          <w:rPr>
            <w:rFonts w:ascii="Corbel" w:hAnsi="Corbel"/>
            <w:smallCaps w:val="0"/>
            <w:color w:val="0000FF"/>
            <w:spacing w:val="-4"/>
            <w:w w:val="100"/>
            <w:sz w:val="15"/>
            <w:u w:val="single" w:color="0000FF"/>
          </w:rPr>
          <w:t>/</w:t>
        </w:r>
        <w:r>
          <w:rPr>
            <w:rFonts w:ascii="Corbel" w:hAnsi="Corbel"/>
            <w:smallCaps w:val="0"/>
            <w:color w:val="0000FF"/>
            <w:w w:val="100"/>
            <w:sz w:val="15"/>
            <w:u w:val="single" w:color="0000FF"/>
          </w:rPr>
          <w:t>w</w:t>
        </w:r>
        <w:r>
          <w:rPr>
            <w:rFonts w:ascii="Corbel" w:hAnsi="Corbel"/>
            <w:smallCaps w:val="0"/>
            <w:color w:val="0000FF"/>
            <w:spacing w:val="-2"/>
            <w:w w:val="100"/>
            <w:sz w:val="15"/>
            <w:u w:val="single" w:color="0000FF"/>
          </w:rPr>
          <w:t>w</w:t>
        </w:r>
        <w:r>
          <w:rPr>
            <w:rFonts w:ascii="Corbel" w:hAnsi="Corbel"/>
            <w:smallCaps w:val="0"/>
            <w:color w:val="0000FF"/>
            <w:w w:val="100"/>
            <w:sz w:val="15"/>
            <w:u w:val="single" w:color="0000FF"/>
          </w:rPr>
          <w:t>w</w:t>
        </w:r>
        <w:r>
          <w:rPr>
            <w:rFonts w:ascii="Corbel" w:hAnsi="Corbel"/>
            <w:smallCaps w:val="0"/>
            <w:color w:val="0000FF"/>
            <w:spacing w:val="1"/>
            <w:w w:val="100"/>
            <w:sz w:val="15"/>
            <w:u w:val="single" w:color="0000FF"/>
          </w:rPr>
          <w:t>.</w:t>
        </w:r>
        <w:r>
          <w:rPr>
            <w:rFonts w:ascii="Corbel" w:hAnsi="Corbel"/>
            <w:smallCaps w:val="0"/>
            <w:color w:val="0000FF"/>
            <w:spacing w:val="-1"/>
            <w:w w:val="100"/>
            <w:sz w:val="15"/>
            <w:u w:val="single" w:color="0000FF"/>
          </w:rPr>
          <w:t>j</w:t>
        </w:r>
        <w:r>
          <w:rPr>
            <w:rFonts w:ascii="Corbel" w:hAnsi="Corbel"/>
            <w:smallCaps w:val="0"/>
            <w:color w:val="0000FF"/>
            <w:spacing w:val="-3"/>
            <w:w w:val="100"/>
            <w:sz w:val="15"/>
            <w:u w:val="single" w:color="0000FF"/>
          </w:rPr>
          <w:t>a</w:t>
        </w:r>
        <w:r>
          <w:rPr>
            <w:rFonts w:ascii="Corbel" w:hAnsi="Corbel"/>
            <w:smallCaps w:val="0"/>
            <w:color w:val="0000FF"/>
            <w:w w:val="100"/>
            <w:sz w:val="15"/>
            <w:u w:val="single" w:color="0000FF"/>
          </w:rPr>
          <w:t>li</w:t>
        </w:r>
        <w:r>
          <w:rPr>
            <w:rFonts w:ascii="Corbel" w:hAnsi="Corbel"/>
            <w:smallCaps w:val="0"/>
            <w:color w:val="0000FF"/>
            <w:spacing w:val="-4"/>
            <w:w w:val="100"/>
            <w:sz w:val="15"/>
            <w:u w:val="single" w:color="0000FF"/>
          </w:rPr>
          <w:t>s</w:t>
        </w:r>
        <w:r>
          <w:rPr>
            <w:rFonts w:ascii="Corbel" w:hAnsi="Corbel"/>
            <w:smallCaps w:val="0"/>
            <w:color w:val="0000FF"/>
            <w:w w:val="100"/>
            <w:sz w:val="15"/>
            <w:u w:val="single" w:color="0000FF"/>
          </w:rPr>
          <w:t>c</w:t>
        </w:r>
        <w:r>
          <w:rPr>
            <w:rFonts w:ascii="Corbel" w:hAnsi="Corbel"/>
            <w:smallCaps w:val="0"/>
            <w:color w:val="0000FF"/>
            <w:spacing w:val="-2"/>
            <w:w w:val="100"/>
            <w:sz w:val="15"/>
            <w:u w:val="single" w:color="0000FF"/>
          </w:rPr>
          <w:t>o</w:t>
        </w:r>
        <w:r>
          <w:rPr>
            <w:rFonts w:ascii="Corbel" w:hAnsi="Corbel"/>
            <w:smallCaps w:val="0"/>
            <w:color w:val="0000FF"/>
            <w:w w:val="100"/>
            <w:sz w:val="15"/>
            <w:u w:val="single" w:color="0000FF"/>
          </w:rPr>
          <w:t>.</w:t>
        </w:r>
        <w:r>
          <w:rPr>
            <w:rFonts w:ascii="Corbel" w:hAnsi="Corbel"/>
            <w:smallCaps w:val="0"/>
            <w:color w:val="0000FF"/>
            <w:spacing w:val="-2"/>
            <w:w w:val="100"/>
            <w:sz w:val="15"/>
            <w:u w:val="single" w:color="0000FF"/>
          </w:rPr>
          <w:t>go</w:t>
        </w:r>
        <w:r>
          <w:rPr>
            <w:rFonts w:ascii="Corbel" w:hAnsi="Corbel"/>
            <w:smallCaps w:val="0"/>
            <w:color w:val="0000FF"/>
            <w:w w:val="100"/>
            <w:sz w:val="15"/>
            <w:u w:val="single" w:color="0000FF"/>
          </w:rPr>
          <w:t>b</w:t>
        </w:r>
        <w:r>
          <w:rPr>
            <w:rFonts w:ascii="Corbel" w:hAnsi="Corbel"/>
            <w:smallCaps w:val="0"/>
            <w:color w:val="0000FF"/>
            <w:spacing w:val="-2"/>
            <w:w w:val="100"/>
            <w:sz w:val="15"/>
            <w:u w:val="single" w:color="0000FF"/>
          </w:rPr>
          <w:t>.</w:t>
        </w:r>
        <w:r>
          <w:rPr>
            <w:rFonts w:ascii="Corbel" w:hAnsi="Corbel"/>
            <w:smallCaps w:val="0"/>
            <w:color w:val="0000FF"/>
            <w:spacing w:val="-1"/>
            <w:w w:val="100"/>
            <w:sz w:val="15"/>
            <w:u w:val="single" w:color="0000FF"/>
          </w:rPr>
          <w:t>m</w:t>
        </w:r>
        <w:r>
          <w:rPr>
            <w:rFonts w:ascii="Corbel" w:hAnsi="Corbel"/>
            <w:smallCaps w:val="0"/>
            <w:color w:val="0000FF"/>
            <w:w w:val="100"/>
            <w:sz w:val="15"/>
            <w:u w:val="single" w:color="0000FF"/>
          </w:rPr>
          <w:t>x</w:t>
        </w:r>
        <w:r>
          <w:rPr>
            <w:rFonts w:ascii="Corbel" w:hAnsi="Corbel"/>
            <w:smallCaps w:val="0"/>
            <w:color w:val="0000FF"/>
            <w:spacing w:val="-1"/>
            <w:w w:val="100"/>
            <w:sz w:val="15"/>
            <w:u w:val="single" w:color="0000FF"/>
          </w:rPr>
          <w:t>/e</w:t>
        </w:r>
        <w:r>
          <w:rPr>
            <w:rFonts w:ascii="Corbel" w:hAnsi="Corbel"/>
            <w:smallCaps w:val="0"/>
            <w:color w:val="0000FF"/>
            <w:spacing w:val="-2"/>
            <w:w w:val="100"/>
            <w:sz w:val="15"/>
            <w:u w:val="single" w:color="0000FF"/>
          </w:rPr>
          <w:t>s</w:t>
        </w:r>
        <w:r>
          <w:rPr>
            <w:rFonts w:ascii="Corbel" w:hAnsi="Corbel"/>
            <w:smallCaps w:val="0"/>
            <w:color w:val="0000FF"/>
            <w:spacing w:val="-1"/>
            <w:w w:val="100"/>
            <w:sz w:val="15"/>
            <w:u w:val="single" w:color="0000FF"/>
          </w:rPr>
          <w:t>/ja</w:t>
        </w:r>
        <w:r>
          <w:rPr>
            <w:rFonts w:ascii="Corbel" w:hAnsi="Corbel"/>
            <w:smallCaps w:val="0"/>
            <w:color w:val="0000FF"/>
            <w:spacing w:val="-2"/>
            <w:w w:val="100"/>
            <w:sz w:val="15"/>
            <w:u w:val="single" w:color="0000FF"/>
          </w:rPr>
          <w:t>l</w:t>
        </w:r>
        <w:r>
          <w:rPr>
            <w:rFonts w:ascii="Corbel" w:hAnsi="Corbel"/>
            <w:smallCaps w:val="0"/>
            <w:color w:val="0000FF"/>
            <w:w w:val="100"/>
            <w:sz w:val="15"/>
            <w:u w:val="single" w:color="0000FF"/>
          </w:rPr>
          <w:t>i</w:t>
        </w:r>
        <w:r>
          <w:rPr>
            <w:rFonts w:ascii="Corbel" w:hAnsi="Corbel"/>
            <w:smallCaps w:val="0"/>
            <w:color w:val="0000FF"/>
            <w:spacing w:val="-2"/>
            <w:w w:val="100"/>
            <w:sz w:val="15"/>
            <w:u w:val="single" w:color="0000FF"/>
          </w:rPr>
          <w:t>sc</w:t>
        </w:r>
        <w:r>
          <w:rPr>
            <w:rFonts w:ascii="Corbel" w:hAnsi="Corbel"/>
            <w:smallCaps w:val="0"/>
            <w:color w:val="0000FF"/>
            <w:w w:val="100"/>
            <w:sz w:val="15"/>
            <w:u w:val="single" w:color="0000FF"/>
          </w:rPr>
          <w:t>o</w:t>
        </w:r>
        <w:r>
          <w:rPr>
            <w:rFonts w:ascii="Corbel" w:hAnsi="Corbel"/>
            <w:smallCaps w:val="0"/>
            <w:color w:val="0000FF"/>
            <w:spacing w:val="-1"/>
            <w:w w:val="100"/>
            <w:sz w:val="15"/>
            <w:u w:val="single" w:color="0000FF"/>
          </w:rPr>
          <w:t>/m</w:t>
        </w:r>
        <w:r>
          <w:rPr>
            <w:rFonts w:ascii="Corbel" w:hAnsi="Corbel"/>
            <w:smallCaps w:val="0"/>
            <w:color w:val="0000FF"/>
            <w:w w:val="100"/>
            <w:sz w:val="15"/>
            <w:u w:val="single" w:color="0000FF"/>
          </w:rPr>
          <w:t>u</w:t>
        </w:r>
        <w:r>
          <w:rPr>
            <w:rFonts w:ascii="Corbel" w:hAnsi="Corbel"/>
            <w:smallCaps w:val="0"/>
            <w:color w:val="0000FF"/>
            <w:spacing w:val="-1"/>
            <w:w w:val="100"/>
            <w:sz w:val="15"/>
            <w:u w:val="single" w:color="0000FF"/>
          </w:rPr>
          <w:t>n</w:t>
        </w:r>
        <w:r>
          <w:rPr>
            <w:rFonts w:ascii="Corbel" w:hAnsi="Corbel"/>
            <w:smallCaps w:val="0"/>
            <w:color w:val="0000FF"/>
            <w:spacing w:val="-2"/>
            <w:w w:val="100"/>
            <w:sz w:val="15"/>
            <w:u w:val="single" w:color="0000FF"/>
          </w:rPr>
          <w:t>i</w:t>
        </w:r>
        <w:r>
          <w:rPr>
            <w:rFonts w:ascii="Corbel" w:hAnsi="Corbel"/>
            <w:smallCaps w:val="0"/>
            <w:color w:val="0000FF"/>
            <w:w w:val="100"/>
            <w:sz w:val="15"/>
            <w:u w:val="single" w:color="0000FF"/>
          </w:rPr>
          <w:t>ci</w:t>
        </w:r>
        <w:r>
          <w:rPr>
            <w:rFonts w:ascii="Corbel" w:hAnsi="Corbel"/>
            <w:smallCaps w:val="0"/>
            <w:color w:val="0000FF"/>
            <w:spacing w:val="-4"/>
            <w:w w:val="100"/>
            <w:sz w:val="15"/>
            <w:u w:val="single" w:color="0000FF"/>
          </w:rPr>
          <w:t>p</w:t>
        </w:r>
        <w:r>
          <w:rPr>
            <w:rFonts w:ascii="Corbel" w:hAnsi="Corbel"/>
            <w:smallCaps w:val="0"/>
            <w:color w:val="0000FF"/>
            <w:w w:val="100"/>
            <w:sz w:val="15"/>
            <w:u w:val="single" w:color="0000FF"/>
          </w:rPr>
          <w:t>io</w:t>
        </w:r>
        <w:r>
          <w:rPr>
            <w:rFonts w:ascii="Corbel" w:hAnsi="Corbel"/>
            <w:smallCaps w:val="0"/>
            <w:color w:val="0000FF"/>
            <w:spacing w:val="-2"/>
            <w:w w:val="100"/>
            <w:sz w:val="15"/>
            <w:u w:val="single" w:color="0000FF"/>
          </w:rPr>
          <w:t>s</w:t>
        </w:r>
        <w:r>
          <w:rPr>
            <w:rFonts w:ascii="Corbel" w:hAnsi="Corbel"/>
            <w:smallCaps w:val="0"/>
            <w:color w:val="0000FF"/>
            <w:spacing w:val="-1"/>
            <w:w w:val="100"/>
            <w:sz w:val="15"/>
            <w:u w:val="single" w:color="0000FF"/>
          </w:rPr>
          <w:t>/</w:t>
        </w:r>
        <w:r>
          <w:rPr>
            <w:rFonts w:ascii="Corbel" w:hAnsi="Corbel"/>
            <w:smallCaps w:val="0"/>
            <w:color w:val="0000FF"/>
            <w:spacing w:val="-3"/>
            <w:w w:val="100"/>
            <w:sz w:val="15"/>
            <w:u w:val="single" w:color="0000FF"/>
          </w:rPr>
          <w:t>m</w:t>
        </w:r>
        <w:r>
          <w:rPr>
            <w:rFonts w:ascii="Corbel" w:hAnsi="Corbel"/>
            <w:smallCaps w:val="0"/>
            <w:color w:val="0000FF"/>
            <w:w w:val="100"/>
            <w:sz w:val="15"/>
            <w:u w:val="single" w:color="0000FF"/>
          </w:rPr>
          <w:t>a</w:t>
        </w:r>
        <w:r>
          <w:rPr>
            <w:rFonts w:ascii="Corbel" w:hAnsi="Corbel"/>
            <w:smallCaps w:val="0"/>
            <w:color w:val="0000FF"/>
            <w:spacing w:val="-1"/>
            <w:w w:val="100"/>
            <w:sz w:val="15"/>
            <w:u w:val="single" w:color="0000FF"/>
          </w:rPr>
          <w:t>g</w:t>
        </w:r>
        <w:r>
          <w:rPr>
            <w:rFonts w:ascii="Corbel" w:hAnsi="Corbel"/>
            <w:smallCaps w:val="0"/>
            <w:color w:val="0000FF"/>
            <w:w w:val="100"/>
            <w:sz w:val="15"/>
            <w:u w:val="single" w:color="0000FF"/>
          </w:rPr>
          <w:t>d</w:t>
        </w:r>
        <w:r>
          <w:rPr>
            <w:rFonts w:ascii="Corbel" w:hAnsi="Corbel"/>
            <w:smallCaps w:val="0"/>
            <w:color w:val="0000FF"/>
            <w:spacing w:val="-3"/>
            <w:w w:val="100"/>
            <w:sz w:val="15"/>
            <w:u w:val="single" w:color="0000FF"/>
          </w:rPr>
          <w:t>a</w:t>
        </w:r>
        <w:r>
          <w:rPr>
            <w:rFonts w:ascii="Corbel" w:hAnsi="Corbel"/>
            <w:smallCaps w:val="0"/>
            <w:color w:val="0000FF"/>
            <w:w w:val="100"/>
            <w:sz w:val="15"/>
            <w:u w:val="single" w:color="0000FF"/>
          </w:rPr>
          <w:t>l</w:t>
        </w:r>
        <w:r>
          <w:rPr>
            <w:rFonts w:ascii="Corbel" w:hAnsi="Corbel"/>
            <w:smallCaps w:val="0"/>
            <w:color w:val="0000FF"/>
            <w:spacing w:val="-1"/>
            <w:w w:val="100"/>
            <w:sz w:val="15"/>
            <w:u w:val="single" w:color="0000FF"/>
          </w:rPr>
          <w:t>en</w:t>
        </w:r>
        <w:r>
          <w:rPr>
            <w:rFonts w:ascii="Corbel" w:hAnsi="Corbel"/>
            <w:smallCaps w:val="0"/>
            <w:color w:val="0000FF"/>
            <w:w w:val="100"/>
            <w:sz w:val="15"/>
            <w:u w:val="single" w:color="0000FF"/>
          </w:rPr>
          <w:t>a</w:t>
        </w:r>
      </w:hyperlink>
    </w:p>
    <w:p>
      <w:pPr>
        <w:pStyle w:val="BodyText"/>
        <w:spacing w:before="5"/>
        <w:rPr>
          <w:rFonts w:ascii="Corbel"/>
          <w:sz w:val="17"/>
        </w:rPr>
      </w:pPr>
    </w:p>
    <w:p>
      <w:pPr>
        <w:pStyle w:val="BodyText"/>
        <w:spacing w:line="276" w:lineRule="auto" w:before="101"/>
        <w:ind w:left="901" w:right="1156"/>
        <w:jc w:val="both"/>
      </w:pPr>
      <w:r>
        <w:rPr/>
        <w:t>Conforme a la información del Directorio Estadístico Nacional de Unidades Económicas (DENUE) de INEGI, existen en el municipio de Magdalena 1,049 unidades económicas a noviembre del 2017 y su distribución por sectores revela que las unidades económicas derivadas de la agricultura son nulas, por consiguiente, predomina la unidad del sector servicios con un 47.3%, seguido del sector comercio con 40.9% y por último el sector industria con un 11.8% del total de las empresas del</w:t>
      </w:r>
      <w:r>
        <w:rPr>
          <w:spacing w:val="-11"/>
        </w:rPr>
        <w:t> </w:t>
      </w:r>
      <w:r>
        <w:rPr/>
        <w:t>municipio.</w:t>
      </w:r>
    </w:p>
    <w:p>
      <w:pPr>
        <w:pStyle w:val="BodyText"/>
        <w:spacing w:before="6"/>
        <w:rPr>
          <w:sz w:val="20"/>
        </w:rPr>
      </w:pPr>
    </w:p>
    <w:p>
      <w:pPr>
        <w:spacing w:before="0"/>
        <w:ind w:left="2948" w:right="3206" w:firstLine="0"/>
        <w:jc w:val="center"/>
        <w:rPr>
          <w:rFonts w:ascii="Corbel" w:hAnsi="Corbel"/>
          <w:sz w:val="21"/>
        </w:rPr>
      </w:pPr>
      <w:r>
        <w:rPr/>
        <w:pict>
          <v:group style="position:absolute;margin-left:159.839996pt;margin-top:32.007545pt;width:292.350pt;height:170.3pt;mso-position-horizontal-relative:page;mso-position-vertical-relative:paragraph;z-index:251738112" coordorigin="3197,640" coordsize="5847,3406">
            <v:shape style="position:absolute;left:3196;top:640;width:5847;height:3406" type="#_x0000_t75" stroked="false">
              <v:imagedata r:id="rId54" o:title=""/>
            </v:shape>
            <v:shape style="position:absolute;left:4152;top:858;width:4583;height:2745" type="#_x0000_t75" stroked="false">
              <v:imagedata r:id="rId55" o:title=""/>
            </v:shape>
            <v:shape style="position:absolute;left:7387;top:3392;width:860;height:490" type="#_x0000_t202" filled="false" stroked="false">
              <v:textbox inset="0,0,0,0">
                <w:txbxContent>
                  <w:p>
                    <w:pPr>
                      <w:spacing w:line="201" w:lineRule="exact" w:before="0"/>
                      <w:ind w:left="474" w:right="0" w:firstLine="0"/>
                      <w:jc w:val="left"/>
                      <w:rPr>
                        <w:rFonts w:ascii="Arial"/>
                        <w:sz w:val="18"/>
                      </w:rPr>
                    </w:pPr>
                    <w:r>
                      <w:rPr>
                        <w:rFonts w:ascii="Arial"/>
                        <w:color w:val="D9D9D9"/>
                        <w:w w:val="99"/>
                        <w:sz w:val="18"/>
                      </w:rPr>
                      <w:t>0</w:t>
                    </w:r>
                  </w:p>
                  <w:p>
                    <w:pPr>
                      <w:spacing w:before="81"/>
                      <w:ind w:left="0" w:right="0" w:firstLine="0"/>
                      <w:jc w:val="left"/>
                      <w:rPr>
                        <w:rFonts w:ascii="Arial"/>
                        <w:sz w:val="18"/>
                      </w:rPr>
                    </w:pPr>
                    <w:r>
                      <w:rPr>
                        <w:rFonts w:ascii="Arial"/>
                        <w:color w:val="D9D9D9"/>
                        <w:sz w:val="18"/>
                      </w:rPr>
                      <w:t>agricultura</w:t>
                    </w:r>
                  </w:p>
                </w:txbxContent>
              </v:textbox>
              <w10:wrap type="none"/>
            </v:shape>
            <v:shape style="position:absolute;left:4355;top:3680;width:2779;height:202" type="#_x0000_t202" filled="false" stroked="false">
              <v:textbox inset="0,0,0,0">
                <w:txbxContent>
                  <w:p>
                    <w:pPr>
                      <w:tabs>
                        <w:tab w:pos="1018" w:val="left" w:leader="none"/>
                        <w:tab w:pos="2077" w:val="left" w:leader="none"/>
                      </w:tabs>
                      <w:spacing w:line="202" w:lineRule="exact" w:before="0"/>
                      <w:ind w:left="0" w:right="0" w:firstLine="0"/>
                      <w:jc w:val="left"/>
                      <w:rPr>
                        <w:rFonts w:ascii="Arial"/>
                        <w:sz w:val="18"/>
                      </w:rPr>
                    </w:pPr>
                    <w:r>
                      <w:rPr>
                        <w:rFonts w:ascii="Arial"/>
                        <w:color w:val="D9D9D9"/>
                        <w:sz w:val="18"/>
                      </w:rPr>
                      <w:t>servicios</w:t>
                      <w:tab/>
                      <w:t>comercio</w:t>
                      <w:tab/>
                      <w:t>industria</w:t>
                    </w:r>
                  </w:p>
                </w:txbxContent>
              </v:textbox>
              <w10:wrap type="none"/>
            </v:shape>
            <v:shape style="position:absolute;left:6703;top:3110;width:372;height:202" type="#_x0000_t202" filled="false" stroked="false">
              <v:textbox inset="0,0,0,0">
                <w:txbxContent>
                  <w:p>
                    <w:pPr>
                      <w:spacing w:line="202" w:lineRule="exact" w:before="0"/>
                      <w:ind w:left="0" w:right="0" w:firstLine="0"/>
                      <w:jc w:val="left"/>
                      <w:rPr>
                        <w:rFonts w:ascii="Arial"/>
                        <w:sz w:val="18"/>
                      </w:rPr>
                    </w:pPr>
                    <w:r>
                      <w:rPr>
                        <w:rFonts w:ascii="Arial"/>
                        <w:color w:val="D9D9D9"/>
                        <w:sz w:val="18"/>
                      </w:rPr>
                      <w:t>11.8</w:t>
                    </w:r>
                  </w:p>
                </w:txbxContent>
              </v:textbox>
              <w10:wrap type="none"/>
            </v:shape>
            <v:shape style="position:absolute;left:5669;top:2415;width:372;height:202" type="#_x0000_t202" filled="false" stroked="false">
              <v:textbox inset="0,0,0,0">
                <w:txbxContent>
                  <w:p>
                    <w:pPr>
                      <w:spacing w:line="202" w:lineRule="exact" w:before="0"/>
                      <w:ind w:left="0" w:right="0" w:firstLine="0"/>
                      <w:jc w:val="left"/>
                      <w:rPr>
                        <w:rFonts w:ascii="Arial"/>
                        <w:sz w:val="18"/>
                      </w:rPr>
                    </w:pPr>
                    <w:r>
                      <w:rPr>
                        <w:rFonts w:ascii="Arial"/>
                        <w:color w:val="D9D9D9"/>
                        <w:sz w:val="18"/>
                      </w:rPr>
                      <w:t>40.9</w:t>
                    </w:r>
                  </w:p>
                </w:txbxContent>
              </v:textbox>
              <w10:wrap type="none"/>
            </v:shape>
            <v:shape style="position:absolute;left:4635;top:2263;width:372;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47.3</w:t>
                    </w:r>
                  </w:p>
                </w:txbxContent>
              </v:textbox>
              <w10:wrap type="none"/>
            </v:shape>
            <v:shape style="position:absolute;left:3833;top:1084;width:222;height:2589" type="#_x0000_t202" filled="false" stroked="false">
              <v:textbox inset="0,0,0,0">
                <w:txbxContent>
                  <w:p>
                    <w:pPr>
                      <w:spacing w:line="201" w:lineRule="exact" w:before="0"/>
                      <w:ind w:left="0" w:right="0" w:firstLine="0"/>
                      <w:jc w:val="left"/>
                      <w:rPr>
                        <w:rFonts w:ascii="Arial"/>
                        <w:sz w:val="18"/>
                      </w:rPr>
                    </w:pPr>
                    <w:r>
                      <w:rPr>
                        <w:rFonts w:ascii="Arial"/>
                        <w:color w:val="D9D9D9"/>
                        <w:sz w:val="18"/>
                      </w:rPr>
                      <w:t>50</w:t>
                    </w:r>
                  </w:p>
                  <w:p>
                    <w:pPr>
                      <w:spacing w:before="31"/>
                      <w:ind w:left="0" w:right="0" w:firstLine="0"/>
                      <w:jc w:val="left"/>
                      <w:rPr>
                        <w:rFonts w:ascii="Arial"/>
                        <w:sz w:val="18"/>
                      </w:rPr>
                    </w:pPr>
                    <w:r>
                      <w:rPr>
                        <w:rFonts w:ascii="Arial"/>
                        <w:color w:val="D9D9D9"/>
                        <w:sz w:val="18"/>
                      </w:rPr>
                      <w:t>45</w:t>
                    </w:r>
                  </w:p>
                  <w:p>
                    <w:pPr>
                      <w:spacing w:before="32"/>
                      <w:ind w:left="0" w:right="0" w:firstLine="0"/>
                      <w:jc w:val="left"/>
                      <w:rPr>
                        <w:rFonts w:ascii="Arial"/>
                        <w:sz w:val="18"/>
                      </w:rPr>
                    </w:pPr>
                    <w:r>
                      <w:rPr>
                        <w:rFonts w:ascii="Arial"/>
                        <w:color w:val="D9D9D9"/>
                        <w:sz w:val="18"/>
                      </w:rPr>
                      <w:t>40</w:t>
                    </w:r>
                  </w:p>
                  <w:p>
                    <w:pPr>
                      <w:spacing w:before="32"/>
                      <w:ind w:left="0" w:right="0" w:firstLine="0"/>
                      <w:jc w:val="left"/>
                      <w:rPr>
                        <w:rFonts w:ascii="Arial"/>
                        <w:sz w:val="18"/>
                      </w:rPr>
                    </w:pPr>
                    <w:r>
                      <w:rPr>
                        <w:rFonts w:ascii="Arial"/>
                        <w:color w:val="D9D9D9"/>
                        <w:sz w:val="18"/>
                      </w:rPr>
                      <w:t>35</w:t>
                    </w:r>
                  </w:p>
                  <w:p>
                    <w:pPr>
                      <w:spacing w:before="32"/>
                      <w:ind w:left="0" w:right="0" w:firstLine="0"/>
                      <w:jc w:val="left"/>
                      <w:rPr>
                        <w:rFonts w:ascii="Arial"/>
                        <w:sz w:val="18"/>
                      </w:rPr>
                    </w:pPr>
                    <w:r>
                      <w:rPr>
                        <w:rFonts w:ascii="Arial"/>
                        <w:color w:val="D9D9D9"/>
                        <w:sz w:val="18"/>
                      </w:rPr>
                      <w:t>30</w:t>
                    </w:r>
                  </w:p>
                  <w:p>
                    <w:pPr>
                      <w:spacing w:before="31"/>
                      <w:ind w:left="0" w:right="0" w:firstLine="0"/>
                      <w:jc w:val="left"/>
                      <w:rPr>
                        <w:rFonts w:ascii="Arial"/>
                        <w:sz w:val="18"/>
                      </w:rPr>
                    </w:pPr>
                    <w:r>
                      <w:rPr>
                        <w:rFonts w:ascii="Arial"/>
                        <w:color w:val="D9D9D9"/>
                        <w:sz w:val="18"/>
                      </w:rPr>
                      <w:t>25</w:t>
                    </w:r>
                  </w:p>
                  <w:p>
                    <w:pPr>
                      <w:spacing w:before="32"/>
                      <w:ind w:left="0" w:right="0" w:firstLine="0"/>
                      <w:jc w:val="left"/>
                      <w:rPr>
                        <w:rFonts w:ascii="Arial"/>
                        <w:sz w:val="18"/>
                      </w:rPr>
                    </w:pPr>
                    <w:r>
                      <w:rPr>
                        <w:rFonts w:ascii="Arial"/>
                        <w:color w:val="D9D9D9"/>
                        <w:sz w:val="18"/>
                      </w:rPr>
                      <w:t>20</w:t>
                    </w:r>
                  </w:p>
                  <w:p>
                    <w:pPr>
                      <w:spacing w:before="32"/>
                      <w:ind w:left="0" w:right="0" w:firstLine="0"/>
                      <w:jc w:val="left"/>
                      <w:rPr>
                        <w:rFonts w:ascii="Arial"/>
                        <w:sz w:val="18"/>
                      </w:rPr>
                    </w:pPr>
                    <w:r>
                      <w:rPr>
                        <w:rFonts w:ascii="Arial"/>
                        <w:color w:val="D9D9D9"/>
                        <w:sz w:val="18"/>
                      </w:rPr>
                      <w:t>15</w:t>
                    </w:r>
                  </w:p>
                  <w:p>
                    <w:pPr>
                      <w:spacing w:before="31"/>
                      <w:ind w:left="0" w:right="0" w:firstLine="0"/>
                      <w:jc w:val="left"/>
                      <w:rPr>
                        <w:rFonts w:ascii="Arial"/>
                        <w:sz w:val="18"/>
                      </w:rPr>
                    </w:pPr>
                    <w:r>
                      <w:rPr>
                        <w:rFonts w:ascii="Arial"/>
                        <w:color w:val="D9D9D9"/>
                        <w:sz w:val="18"/>
                      </w:rPr>
                      <w:t>10</w:t>
                    </w:r>
                  </w:p>
                  <w:p>
                    <w:pPr>
                      <w:spacing w:before="32"/>
                      <w:ind w:left="100" w:right="0" w:firstLine="0"/>
                      <w:jc w:val="left"/>
                      <w:rPr>
                        <w:rFonts w:ascii="Arial"/>
                        <w:sz w:val="18"/>
                      </w:rPr>
                    </w:pPr>
                    <w:r>
                      <w:rPr>
                        <w:rFonts w:ascii="Arial"/>
                        <w:color w:val="D9D9D9"/>
                        <w:w w:val="99"/>
                        <w:sz w:val="18"/>
                      </w:rPr>
                      <w:t>5</w:t>
                    </w:r>
                  </w:p>
                  <w:p>
                    <w:pPr>
                      <w:spacing w:before="32"/>
                      <w:ind w:left="100" w:right="0" w:firstLine="0"/>
                      <w:jc w:val="left"/>
                      <w:rPr>
                        <w:rFonts w:ascii="Arial"/>
                        <w:sz w:val="18"/>
                      </w:rPr>
                    </w:pPr>
                    <w:r>
                      <w:rPr>
                        <w:rFonts w:ascii="Arial"/>
                        <w:color w:val="D9D9D9"/>
                        <w:w w:val="99"/>
                        <w:sz w:val="18"/>
                      </w:rPr>
                      <w:t>0</w:t>
                    </w:r>
                  </w:p>
                </w:txbxContent>
              </v:textbox>
              <w10:wrap type="none"/>
            </v:shape>
            <w10:wrap type="none"/>
          </v:group>
        </w:pict>
      </w:r>
      <w:r>
        <w:rPr/>
        <w:pict>
          <v:shape style="position:absolute;margin-left:177.21254pt;margin-top:87.193497pt;width:12.1pt;height:63.35pt;mso-position-horizontal-relative:page;mso-position-vertical-relative:paragraph;z-index:251739136" type="#_x0000_t202" filled="false" stroked="false">
            <v:textbox inset="0,0,0,0" style="layout-flow:vertical;mso-layout-flow-alt:bottom-to-top">
              <w:txbxContent>
                <w:p>
                  <w:pPr>
                    <w:spacing w:before="14"/>
                    <w:ind w:left="20" w:right="0" w:firstLine="0"/>
                    <w:jc w:val="left"/>
                    <w:rPr>
                      <w:rFonts w:ascii="Arial"/>
                      <w:b/>
                      <w:sz w:val="18"/>
                    </w:rPr>
                  </w:pPr>
                  <w:r>
                    <w:rPr>
                      <w:rFonts w:ascii="Arial"/>
                      <w:b/>
                      <w:color w:val="D9D9D9"/>
                      <w:sz w:val="18"/>
                    </w:rPr>
                    <w:t>PORCENTAJE</w:t>
                  </w:r>
                </w:p>
              </w:txbxContent>
            </v:textbox>
            <w10:wrap type="none"/>
          </v:shape>
        </w:pict>
      </w:r>
      <w:r>
        <w:rPr>
          <w:rFonts w:ascii="Corbel" w:hAnsi="Corbel"/>
          <w:spacing w:val="-1"/>
          <w:w w:val="100"/>
          <w:sz w:val="21"/>
        </w:rPr>
        <w:t>F</w:t>
      </w:r>
      <w:r>
        <w:rPr>
          <w:rFonts w:ascii="Corbel" w:hAnsi="Corbel"/>
          <w:w w:val="100"/>
          <w:sz w:val="21"/>
        </w:rPr>
        <w:t>IGU</w:t>
      </w:r>
      <w:r>
        <w:rPr>
          <w:rFonts w:ascii="Corbel" w:hAnsi="Corbel"/>
          <w:spacing w:val="-3"/>
          <w:w w:val="100"/>
          <w:sz w:val="21"/>
        </w:rPr>
        <w:t>R</w:t>
      </w:r>
      <w:r>
        <w:rPr>
          <w:rFonts w:ascii="Corbel" w:hAnsi="Corbel"/>
          <w:w w:val="100"/>
          <w:sz w:val="21"/>
        </w:rPr>
        <w:t>A</w:t>
      </w:r>
      <w:r>
        <w:rPr>
          <w:rFonts w:ascii="Corbel" w:hAnsi="Corbel"/>
          <w:spacing w:val="2"/>
          <w:sz w:val="21"/>
        </w:rPr>
        <w:t> </w:t>
      </w:r>
      <w:r>
        <w:rPr>
          <w:rFonts w:ascii="Corbel" w:hAnsi="Corbel"/>
          <w:spacing w:val="-1"/>
          <w:w w:val="100"/>
          <w:sz w:val="21"/>
        </w:rPr>
        <w:t>8</w:t>
      </w:r>
      <w:r>
        <w:rPr>
          <w:rFonts w:ascii="Corbel" w:hAnsi="Corbel"/>
          <w:w w:val="100"/>
          <w:sz w:val="21"/>
        </w:rPr>
        <w:t>.</w:t>
      </w:r>
      <w:r>
        <w:rPr>
          <w:rFonts w:ascii="Corbel" w:hAnsi="Corbel"/>
          <w:spacing w:val="-2"/>
          <w:sz w:val="21"/>
        </w:rPr>
        <w:t> </w:t>
      </w:r>
      <w:r>
        <w:rPr>
          <w:rFonts w:ascii="Corbel" w:hAnsi="Corbel"/>
          <w:w w:val="100"/>
          <w:sz w:val="21"/>
        </w:rPr>
        <w:t>D</w:t>
      </w:r>
      <w:r>
        <w:rPr>
          <w:rFonts w:ascii="Corbel" w:hAnsi="Corbel"/>
          <w:spacing w:val="-2"/>
          <w:w w:val="100"/>
          <w:sz w:val="21"/>
        </w:rPr>
        <w:t>IS</w:t>
      </w:r>
      <w:r>
        <w:rPr>
          <w:rFonts w:ascii="Corbel" w:hAnsi="Corbel"/>
          <w:spacing w:val="-1"/>
          <w:w w:val="100"/>
          <w:sz w:val="21"/>
        </w:rPr>
        <w:t>TR</w:t>
      </w:r>
      <w:r>
        <w:rPr>
          <w:rFonts w:ascii="Corbel" w:hAnsi="Corbel"/>
          <w:w w:val="100"/>
          <w:sz w:val="21"/>
        </w:rPr>
        <w:t>I</w:t>
      </w:r>
      <w:r>
        <w:rPr>
          <w:rFonts w:ascii="Corbel" w:hAnsi="Corbel"/>
          <w:spacing w:val="-3"/>
          <w:w w:val="100"/>
          <w:sz w:val="21"/>
        </w:rPr>
        <w:t>B</w:t>
      </w:r>
      <w:r>
        <w:rPr>
          <w:rFonts w:ascii="Corbel" w:hAnsi="Corbel"/>
          <w:w w:val="100"/>
          <w:sz w:val="21"/>
        </w:rPr>
        <w:t>U</w:t>
      </w:r>
      <w:r>
        <w:rPr>
          <w:rFonts w:ascii="Corbel" w:hAnsi="Corbel"/>
          <w:spacing w:val="-3"/>
          <w:w w:val="100"/>
          <w:sz w:val="21"/>
        </w:rPr>
        <w:t>C</w:t>
      </w:r>
      <w:r>
        <w:rPr>
          <w:rFonts w:ascii="Corbel" w:hAnsi="Corbel"/>
          <w:w w:val="100"/>
          <w:sz w:val="21"/>
        </w:rPr>
        <w:t>I</w:t>
      </w:r>
      <w:r>
        <w:rPr>
          <w:rFonts w:ascii="Corbel" w:hAnsi="Corbel"/>
          <w:spacing w:val="-1"/>
          <w:w w:val="100"/>
          <w:sz w:val="21"/>
        </w:rPr>
        <w:t>Ó</w:t>
      </w:r>
      <w:r>
        <w:rPr>
          <w:rFonts w:ascii="Corbel" w:hAnsi="Corbel"/>
          <w:w w:val="100"/>
          <w:sz w:val="21"/>
        </w:rPr>
        <w:t>N</w:t>
      </w:r>
      <w:r>
        <w:rPr>
          <w:rFonts w:ascii="Corbel" w:hAnsi="Corbel"/>
          <w:spacing w:val="-2"/>
          <w:sz w:val="21"/>
        </w:rPr>
        <w:t> </w:t>
      </w:r>
      <w:r>
        <w:rPr>
          <w:rFonts w:ascii="Corbel" w:hAnsi="Corbel"/>
          <w:spacing w:val="-1"/>
          <w:w w:val="100"/>
          <w:sz w:val="21"/>
        </w:rPr>
        <w:t>D</w:t>
      </w:r>
      <w:r>
        <w:rPr>
          <w:rFonts w:ascii="Corbel" w:hAnsi="Corbel"/>
          <w:w w:val="100"/>
          <w:sz w:val="21"/>
        </w:rPr>
        <w:t>E</w:t>
      </w:r>
      <w:r>
        <w:rPr>
          <w:rFonts w:ascii="Corbel" w:hAnsi="Corbel"/>
          <w:spacing w:val="-1"/>
          <w:sz w:val="21"/>
        </w:rPr>
        <w:t> </w:t>
      </w:r>
      <w:r>
        <w:rPr>
          <w:rFonts w:ascii="Corbel" w:hAnsi="Corbel"/>
          <w:w w:val="100"/>
          <w:sz w:val="21"/>
        </w:rPr>
        <w:t>L</w:t>
      </w:r>
      <w:r>
        <w:rPr>
          <w:rFonts w:ascii="Corbel" w:hAnsi="Corbel"/>
          <w:spacing w:val="-2"/>
          <w:w w:val="100"/>
          <w:sz w:val="21"/>
        </w:rPr>
        <w:t>A</w:t>
      </w:r>
      <w:r>
        <w:rPr>
          <w:rFonts w:ascii="Corbel" w:hAnsi="Corbel"/>
          <w:w w:val="100"/>
          <w:sz w:val="21"/>
        </w:rPr>
        <w:t>S</w:t>
      </w:r>
      <w:r>
        <w:rPr>
          <w:rFonts w:ascii="Corbel" w:hAnsi="Corbel"/>
          <w:spacing w:val="-1"/>
          <w:sz w:val="21"/>
        </w:rPr>
        <w:t> </w:t>
      </w:r>
      <w:r>
        <w:rPr>
          <w:rFonts w:ascii="Corbel" w:hAnsi="Corbel"/>
          <w:w w:val="100"/>
          <w:sz w:val="21"/>
        </w:rPr>
        <w:t>U</w:t>
      </w:r>
      <w:r>
        <w:rPr>
          <w:rFonts w:ascii="Corbel" w:hAnsi="Corbel"/>
          <w:spacing w:val="-1"/>
          <w:w w:val="100"/>
          <w:sz w:val="21"/>
        </w:rPr>
        <w:t>N</w:t>
      </w:r>
      <w:r>
        <w:rPr>
          <w:rFonts w:ascii="Corbel" w:hAnsi="Corbel"/>
          <w:spacing w:val="-2"/>
          <w:w w:val="100"/>
          <w:sz w:val="21"/>
        </w:rPr>
        <w:t>I</w:t>
      </w:r>
      <w:r>
        <w:rPr>
          <w:rFonts w:ascii="Corbel" w:hAnsi="Corbel"/>
          <w:w w:val="100"/>
          <w:sz w:val="21"/>
        </w:rPr>
        <w:t>DA</w:t>
      </w:r>
      <w:r>
        <w:rPr>
          <w:rFonts w:ascii="Corbel" w:hAnsi="Corbel"/>
          <w:spacing w:val="-3"/>
          <w:w w:val="100"/>
          <w:sz w:val="21"/>
        </w:rPr>
        <w:t>D</w:t>
      </w:r>
      <w:r>
        <w:rPr>
          <w:rFonts w:ascii="Corbel" w:hAnsi="Corbel"/>
          <w:spacing w:val="-2"/>
          <w:w w:val="100"/>
          <w:sz w:val="21"/>
        </w:rPr>
        <w:t>E</w:t>
      </w:r>
      <w:r>
        <w:rPr>
          <w:rFonts w:ascii="Corbel" w:hAnsi="Corbel"/>
          <w:w w:val="100"/>
          <w:sz w:val="21"/>
        </w:rPr>
        <w:t>S</w:t>
      </w:r>
      <w:r>
        <w:rPr>
          <w:rFonts w:ascii="Corbel" w:hAnsi="Corbel"/>
          <w:sz w:val="21"/>
        </w:rPr>
        <w:t> </w:t>
      </w:r>
      <w:r>
        <w:rPr>
          <w:rFonts w:ascii="Corbel" w:hAnsi="Corbel"/>
          <w:spacing w:val="-2"/>
          <w:w w:val="100"/>
          <w:sz w:val="21"/>
        </w:rPr>
        <w:t>E</w:t>
      </w:r>
      <w:r>
        <w:rPr>
          <w:rFonts w:ascii="Corbel" w:hAnsi="Corbel"/>
          <w:spacing w:val="-1"/>
          <w:w w:val="100"/>
          <w:sz w:val="21"/>
        </w:rPr>
        <w:t>CON</w:t>
      </w:r>
      <w:r>
        <w:rPr>
          <w:rFonts w:ascii="Corbel" w:hAnsi="Corbel"/>
          <w:spacing w:val="-4"/>
          <w:w w:val="100"/>
          <w:sz w:val="21"/>
        </w:rPr>
        <w:t>Ó</w:t>
      </w:r>
      <w:r>
        <w:rPr>
          <w:rFonts w:ascii="Corbel" w:hAnsi="Corbel"/>
          <w:spacing w:val="-1"/>
          <w:w w:val="100"/>
          <w:sz w:val="21"/>
        </w:rPr>
        <w:t>M</w:t>
      </w:r>
      <w:r>
        <w:rPr>
          <w:rFonts w:ascii="Corbel" w:hAnsi="Corbel"/>
          <w:w w:val="100"/>
          <w:sz w:val="21"/>
        </w:rPr>
        <w:t>I</w:t>
      </w:r>
      <w:r>
        <w:rPr>
          <w:rFonts w:ascii="Corbel" w:hAnsi="Corbel"/>
          <w:spacing w:val="-1"/>
          <w:w w:val="100"/>
          <w:sz w:val="21"/>
        </w:rPr>
        <w:t>C</w:t>
      </w:r>
      <w:r>
        <w:rPr>
          <w:rFonts w:ascii="Corbel" w:hAnsi="Corbel"/>
          <w:spacing w:val="-2"/>
          <w:w w:val="100"/>
          <w:sz w:val="21"/>
        </w:rPr>
        <w:t>A</w:t>
      </w:r>
      <w:r>
        <w:rPr>
          <w:rFonts w:ascii="Corbel" w:hAnsi="Corbel"/>
          <w:w w:val="100"/>
          <w:sz w:val="21"/>
        </w:rPr>
        <w:t>S. </w:t>
      </w:r>
      <w:r>
        <w:rPr>
          <w:rFonts w:ascii="Corbel" w:hAnsi="Corbel"/>
          <w:spacing w:val="-1"/>
          <w:w w:val="100"/>
          <w:sz w:val="21"/>
        </w:rPr>
        <w:t>MA</w:t>
      </w:r>
      <w:r>
        <w:rPr>
          <w:rFonts w:ascii="Corbel" w:hAnsi="Corbel"/>
          <w:w w:val="100"/>
          <w:sz w:val="21"/>
        </w:rPr>
        <w:t>G</w:t>
      </w:r>
      <w:r>
        <w:rPr>
          <w:rFonts w:ascii="Corbel" w:hAnsi="Corbel"/>
          <w:spacing w:val="-3"/>
          <w:w w:val="100"/>
          <w:sz w:val="21"/>
        </w:rPr>
        <w:t>D</w:t>
      </w:r>
      <w:r>
        <w:rPr>
          <w:rFonts w:ascii="Corbel" w:hAnsi="Corbel"/>
          <w:spacing w:val="-1"/>
          <w:w w:val="100"/>
          <w:sz w:val="21"/>
        </w:rPr>
        <w:t>A</w:t>
      </w:r>
      <w:r>
        <w:rPr>
          <w:rFonts w:ascii="Corbel" w:hAnsi="Corbel"/>
          <w:spacing w:val="-2"/>
          <w:w w:val="100"/>
          <w:sz w:val="21"/>
        </w:rPr>
        <w:t>L</w:t>
      </w:r>
      <w:r>
        <w:rPr>
          <w:rFonts w:ascii="Corbel" w:hAnsi="Corbel"/>
          <w:spacing w:val="1"/>
          <w:w w:val="100"/>
          <w:sz w:val="21"/>
        </w:rPr>
        <w:t>E</w:t>
      </w:r>
      <w:r>
        <w:rPr>
          <w:rFonts w:ascii="Corbel" w:hAnsi="Corbel"/>
          <w:spacing w:val="-1"/>
          <w:w w:val="100"/>
          <w:sz w:val="21"/>
        </w:rPr>
        <w:t>NA</w:t>
      </w:r>
      <w:r>
        <w:rPr>
          <w:rFonts w:ascii="Corbel" w:hAnsi="Corbel"/>
          <w:w w:val="100"/>
          <w:sz w:val="21"/>
        </w:rPr>
        <w:t>.</w:t>
      </w:r>
      <w:r>
        <w:rPr>
          <w:rFonts w:ascii="Corbel" w:hAnsi="Corbel"/>
          <w:spacing w:val="-2"/>
          <w:sz w:val="21"/>
        </w:rPr>
        <w:t> </w:t>
      </w:r>
      <w:r>
        <w:rPr>
          <w:rFonts w:ascii="Corbel" w:hAnsi="Corbel"/>
          <w:spacing w:val="-1"/>
          <w:w w:val="100"/>
          <w:sz w:val="21"/>
        </w:rPr>
        <w:t>NO</w:t>
      </w:r>
      <w:r>
        <w:rPr>
          <w:rFonts w:ascii="Corbel" w:hAnsi="Corbel"/>
          <w:w w:val="100"/>
          <w:sz w:val="21"/>
        </w:rPr>
        <w:t>V</w:t>
      </w:r>
      <w:r>
        <w:rPr>
          <w:rFonts w:ascii="Corbel" w:hAnsi="Corbel"/>
          <w:spacing w:val="-2"/>
          <w:sz w:val="21"/>
        </w:rPr>
        <w:t> </w:t>
      </w:r>
      <w:r>
        <w:rPr>
          <w:rFonts w:ascii="Corbel" w:hAnsi="Corbel"/>
          <w:spacing w:val="-1"/>
          <w:w w:val="100"/>
          <w:sz w:val="21"/>
        </w:rPr>
        <w:t>D</w:t>
      </w:r>
      <w:r>
        <w:rPr>
          <w:rFonts w:ascii="Corbel" w:hAnsi="Corbel"/>
          <w:w w:val="100"/>
          <w:sz w:val="21"/>
        </w:rPr>
        <w:t>E</w:t>
      </w:r>
      <w:r>
        <w:rPr>
          <w:rFonts w:ascii="Corbel" w:hAnsi="Corbel"/>
          <w:spacing w:val="-1"/>
          <w:sz w:val="21"/>
        </w:rPr>
        <w:t> </w:t>
      </w:r>
      <w:r>
        <w:rPr>
          <w:rFonts w:ascii="Corbel" w:hAnsi="Corbel"/>
          <w:smallCaps/>
          <w:w w:val="100"/>
          <w:sz w:val="21"/>
        </w:rPr>
        <w:t>20</w:t>
      </w:r>
      <w:r>
        <w:rPr>
          <w:rFonts w:ascii="Corbel" w:hAnsi="Corbel"/>
          <w:smallCaps/>
          <w:spacing w:val="-4"/>
          <w:w w:val="100"/>
          <w:sz w:val="21"/>
        </w:rPr>
        <w:t>1</w:t>
      </w:r>
      <w:r>
        <w:rPr>
          <w:rFonts w:ascii="Corbel" w:hAnsi="Corbel"/>
          <w:smallCaps w:val="0"/>
          <w:w w:val="100"/>
          <w:sz w:val="21"/>
        </w:rPr>
        <w:t>7</w:t>
      </w: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pStyle w:val="BodyText"/>
        <w:rPr>
          <w:rFonts w:ascii="Corbel"/>
          <w:sz w:val="20"/>
        </w:rPr>
      </w:pPr>
    </w:p>
    <w:p>
      <w:pPr>
        <w:spacing w:before="174"/>
        <w:ind w:left="1001" w:right="1256" w:firstLine="0"/>
        <w:jc w:val="center"/>
        <w:rPr>
          <w:rFonts w:ascii="Corbel" w:hAnsi="Corbel"/>
          <w:sz w:val="15"/>
        </w:rPr>
      </w:pPr>
      <w:r>
        <w:rPr>
          <w:rFonts w:ascii="Corbel" w:hAnsi="Corbel"/>
          <w:b/>
          <w:sz w:val="15"/>
        </w:rPr>
        <w:t>Fuente: </w:t>
      </w:r>
      <w:r>
        <w:rPr>
          <w:rFonts w:ascii="Corbel" w:hAnsi="Corbel"/>
          <w:color w:val="333333"/>
          <w:sz w:val="15"/>
        </w:rPr>
        <w:t>IIEG, Instituto de Información Estadística y Geográfica del Estado de Jalisco; con información de INEGI, DENUE.</w:t>
      </w:r>
    </w:p>
    <w:p>
      <w:pPr>
        <w:spacing w:after="0"/>
        <w:jc w:val="center"/>
        <w:rPr>
          <w:rFonts w:ascii="Corbel" w:hAnsi="Corbel"/>
          <w:sz w:val="15"/>
        </w:rPr>
        <w:sectPr>
          <w:pgSz w:w="12240" w:h="15840"/>
          <w:pgMar w:header="178" w:footer="1233" w:top="1120" w:bottom="1360" w:left="460" w:right="220"/>
        </w:sectPr>
      </w:pPr>
    </w:p>
    <w:p>
      <w:pPr>
        <w:pStyle w:val="BodyText"/>
        <w:rPr>
          <w:rFonts w:ascii="Corbel"/>
          <w:sz w:val="20"/>
        </w:rPr>
      </w:pPr>
    </w:p>
    <w:p>
      <w:pPr>
        <w:pStyle w:val="BodyText"/>
        <w:rPr>
          <w:rFonts w:ascii="Corbel"/>
          <w:sz w:val="20"/>
        </w:rPr>
      </w:pPr>
    </w:p>
    <w:p>
      <w:pPr>
        <w:pStyle w:val="BodyText"/>
        <w:rPr>
          <w:rFonts w:ascii="Corbel"/>
          <w:sz w:val="20"/>
        </w:rPr>
      </w:pPr>
    </w:p>
    <w:p>
      <w:pPr>
        <w:pStyle w:val="BodyText"/>
        <w:spacing w:before="1"/>
        <w:rPr>
          <w:rFonts w:ascii="Corbel"/>
          <w:sz w:val="24"/>
        </w:rPr>
      </w:pPr>
    </w:p>
    <w:p>
      <w:pPr>
        <w:pStyle w:val="BodyText"/>
        <w:spacing w:line="276" w:lineRule="auto" w:before="101"/>
        <w:ind w:left="901" w:right="1156"/>
        <w:jc w:val="both"/>
      </w:pPr>
      <w:r>
        <w:rPr/>
        <w:t>Por otro lado, el Sistema de Información Empresarial Mexicano (SIEM), que se encarga de llevar un registro de las empresas para la identificación de oportunidades comerciales y de negocios, reportó a junio de 2012, 113 empresas en el municipio de Magdalena, manifestando también un predominio de unidades económicas dedicadas al comercio, ya que se registraron 93 empresas en el comercio; 3 en la industria; y 17 en los servicios. Cabe señalar que este registro sólo contempla las empresas adheridas al SIEM, por lo que sólo representan una parte del total de las unidades económicas del municipio. Normalmente en este registro se encuentran las empresas que buscan oportunidades comerciales y de negocios.</w:t>
      </w:r>
    </w:p>
    <w:p>
      <w:pPr>
        <w:pStyle w:val="BodyText"/>
        <w:spacing w:before="3"/>
        <w:rPr>
          <w:sz w:val="25"/>
        </w:rPr>
      </w:pPr>
    </w:p>
    <w:p>
      <w:pPr>
        <w:pStyle w:val="BodyText"/>
        <w:spacing w:line="276" w:lineRule="auto"/>
        <w:ind w:left="901" w:right="1154"/>
        <w:jc w:val="both"/>
      </w:pPr>
      <w:r>
        <w:rPr/>
        <w:t>El sector de comercio y servicios es el que provee principalmente de empleo a los habitantes y mueve la actividad económica del municipio. Sin embargo, los habitantes no cuentan con asesoría especializada para la creación de empresa, cumplir con las obligaciones patronales o herramientas para hacer crecer sus negocios. Por lo cual, sería muy conveniente, que el municipio gestionara asesorías y capacitaciones con dependencias estatales y federales para los emprendedores del</w:t>
      </w:r>
      <w:r>
        <w:rPr>
          <w:spacing w:val="-12"/>
        </w:rPr>
        <w:t> </w:t>
      </w:r>
      <w:r>
        <w:rPr/>
        <w:t>municipio.</w:t>
      </w:r>
    </w:p>
    <w:p>
      <w:pPr>
        <w:pStyle w:val="BodyText"/>
        <w:spacing w:before="11"/>
        <w:rPr>
          <w:sz w:val="37"/>
        </w:rPr>
      </w:pPr>
    </w:p>
    <w:p>
      <w:pPr>
        <w:pStyle w:val="Heading4"/>
        <w:jc w:val="both"/>
        <w:rPr>
          <w:rFonts w:ascii="Corbel"/>
        </w:rPr>
      </w:pPr>
      <w:r>
        <w:rPr>
          <w:rFonts w:ascii="Corbel"/>
        </w:rPr>
        <w:t>Valor agregado censal bruto.</w:t>
      </w:r>
    </w:p>
    <w:p>
      <w:pPr>
        <w:pStyle w:val="BodyText"/>
        <w:spacing w:before="5"/>
        <w:rPr>
          <w:rFonts w:ascii="Corbel"/>
          <w:b/>
          <w:sz w:val="24"/>
        </w:rPr>
      </w:pPr>
    </w:p>
    <w:p>
      <w:pPr>
        <w:pStyle w:val="BodyText"/>
        <w:spacing w:line="276" w:lineRule="auto"/>
        <w:ind w:left="901" w:right="1154"/>
        <w:jc w:val="both"/>
      </w:pPr>
      <w:r>
        <w:rPr/>
        <w:t>El valor agregado censal bruto se define como: “el valor de la producción que se añade durante el proceso de trabajo por la actividad creadora y de transformación del personal ocupado, el capital y la organización (factores de la producción), ejercida sobre los materiales que se consumen en la realización de la actividad económica.” En resumen, esta variable se refiere al valor de la producción que añade la actividad económica en su proceso</w:t>
      </w:r>
      <w:r>
        <w:rPr>
          <w:spacing w:val="-5"/>
        </w:rPr>
        <w:t> </w:t>
      </w:r>
      <w:r>
        <w:rPr/>
        <w:t>productivo.</w:t>
      </w:r>
    </w:p>
    <w:p>
      <w:pPr>
        <w:pStyle w:val="BodyText"/>
        <w:spacing w:before="2"/>
        <w:rPr>
          <w:sz w:val="25"/>
        </w:rPr>
      </w:pPr>
    </w:p>
    <w:p>
      <w:pPr>
        <w:pStyle w:val="BodyText"/>
        <w:spacing w:line="276" w:lineRule="auto"/>
        <w:ind w:left="901" w:right="1154"/>
        <w:jc w:val="both"/>
      </w:pPr>
      <w:r>
        <w:rPr/>
        <w:t>Según el censo económico del 2014, los tres subsectores más relevantes en la generación de valor agregado censal bruto son: comercio al por menor de vehículos de motor, refacciones, combustibles y lubricantes; comercio al por menor de abarrotes, alimentos, bebidas y tabaco; y servicios médicos de consulta externa y servicios relacionados; que en conjunto generaron el 51.4% del total del valor agregado censal bruto registrado en 2014 en el municipio, que es un 3.2% más que en el</w:t>
      </w:r>
      <w:r>
        <w:rPr>
          <w:spacing w:val="-24"/>
        </w:rPr>
        <w:t> </w:t>
      </w:r>
      <w:r>
        <w:rPr/>
        <w:t>2009.</w:t>
      </w:r>
    </w:p>
    <w:p>
      <w:pPr>
        <w:spacing w:after="0" w:line="276" w:lineRule="auto"/>
        <w:jc w:val="both"/>
        <w:sectPr>
          <w:pgSz w:w="12240" w:h="15840"/>
          <w:pgMar w:header="178" w:footer="1233" w:top="1120" w:bottom="1360" w:left="460" w:right="2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8"/>
        </w:rPr>
      </w:pPr>
    </w:p>
    <w:p>
      <w:pPr>
        <w:pStyle w:val="Heading3"/>
        <w:spacing w:before="52"/>
        <w:ind w:left="1001" w:right="1255"/>
        <w:rPr>
          <w:rFonts w:ascii="Corbel"/>
        </w:rPr>
      </w:pPr>
      <w:r>
        <w:rPr>
          <w:rFonts w:ascii="Calibri"/>
        </w:rPr>
        <w:t>TABLA 13. </w:t>
      </w:r>
      <w:r>
        <w:rPr>
          <w:rFonts w:ascii="Corbel"/>
        </w:rPr>
        <w:t>SUBSECTORES CON MAYOR VALOR AGREGADO CENSAL BRUTO (VACB)</w:t>
      </w:r>
    </w:p>
    <w:p>
      <w:pPr>
        <w:pStyle w:val="Heading3"/>
        <w:ind w:left="1001" w:right="1260"/>
        <w:rPr>
          <w:rFonts w:ascii="Corbel"/>
        </w:rPr>
      </w:pPr>
      <w:r>
        <w:rPr>
          <w:rFonts w:ascii="Corbel"/>
        </w:rPr>
        <w:t>MAGD</w:t>
      </w:r>
      <w:r>
        <w:rPr>
          <w:rFonts w:ascii="Corbel"/>
          <w:spacing w:val="1"/>
        </w:rPr>
        <w:t>A</w:t>
      </w:r>
      <w:r>
        <w:rPr>
          <w:rFonts w:ascii="Corbel"/>
        </w:rPr>
        <w:t>LE</w:t>
      </w:r>
      <w:r>
        <w:rPr>
          <w:rFonts w:ascii="Corbel"/>
          <w:spacing w:val="-2"/>
        </w:rPr>
        <w:t>N</w:t>
      </w:r>
      <w:r>
        <w:rPr>
          <w:rFonts w:ascii="Corbel"/>
        </w:rPr>
        <w:t>A,</w:t>
      </w:r>
      <w:r>
        <w:rPr>
          <w:rFonts w:ascii="Corbel"/>
          <w:spacing w:val="-1"/>
        </w:rPr>
        <w:t> </w:t>
      </w:r>
      <w:r>
        <w:rPr>
          <w:rFonts w:ascii="Corbel"/>
          <w:smallCaps/>
        </w:rPr>
        <w:t>2</w:t>
      </w:r>
      <w:r>
        <w:rPr>
          <w:rFonts w:ascii="Corbel"/>
          <w:smallCaps/>
          <w:spacing w:val="-2"/>
        </w:rPr>
        <w:t>0</w:t>
      </w:r>
      <w:r>
        <w:rPr>
          <w:rFonts w:ascii="Corbel"/>
          <w:smallCaps w:val="0"/>
          <w:spacing w:val="-1"/>
        </w:rPr>
        <w:t>0</w:t>
      </w:r>
      <w:r>
        <w:rPr>
          <w:rFonts w:ascii="Corbel"/>
          <w:smallCaps w:val="0"/>
        </w:rPr>
        <w:t>9</w:t>
      </w:r>
      <w:r>
        <w:rPr>
          <w:rFonts w:ascii="Corbel"/>
          <w:smallCaps w:val="0"/>
          <w:spacing w:val="-2"/>
        </w:rPr>
        <w:t> </w:t>
      </w:r>
      <w:r>
        <w:rPr>
          <w:rFonts w:ascii="Corbel"/>
          <w:smallCaps w:val="0"/>
        </w:rPr>
        <w:t>y </w:t>
      </w:r>
      <w:r>
        <w:rPr>
          <w:rFonts w:ascii="Corbel"/>
          <w:smallCaps/>
          <w:spacing w:val="1"/>
        </w:rPr>
        <w:t>2</w:t>
      </w:r>
      <w:r>
        <w:rPr>
          <w:rFonts w:ascii="Corbel"/>
          <w:smallCaps w:val="0"/>
          <w:spacing w:val="-1"/>
        </w:rPr>
        <w:t>0</w:t>
      </w:r>
      <w:r>
        <w:rPr>
          <w:rFonts w:ascii="Corbel"/>
          <w:smallCaps/>
          <w:spacing w:val="-1"/>
        </w:rPr>
        <w:t>1</w:t>
      </w:r>
      <w:r>
        <w:rPr>
          <w:rFonts w:ascii="Corbel"/>
          <w:smallCaps/>
        </w:rPr>
        <w:t>4</w:t>
      </w:r>
      <w:r>
        <w:rPr>
          <w:rFonts w:ascii="Corbel"/>
          <w:smallCaps w:val="0"/>
        </w:rPr>
        <w:t>.</w:t>
      </w:r>
      <w:r>
        <w:rPr>
          <w:rFonts w:ascii="Corbel"/>
          <w:smallCaps w:val="0"/>
          <w:spacing w:val="-1"/>
        </w:rPr>
        <w:t> </w:t>
      </w:r>
      <w:r>
        <w:rPr>
          <w:rFonts w:ascii="Corbel"/>
          <w:smallCaps w:val="0"/>
        </w:rPr>
        <w:t>(miles</w:t>
      </w:r>
      <w:r>
        <w:rPr>
          <w:rFonts w:ascii="Corbel"/>
          <w:smallCaps w:val="0"/>
          <w:spacing w:val="-2"/>
        </w:rPr>
        <w:t> </w:t>
      </w:r>
      <w:r>
        <w:rPr>
          <w:rFonts w:ascii="Corbel"/>
          <w:smallCaps w:val="0"/>
          <w:spacing w:val="1"/>
        </w:rPr>
        <w:t>d</w:t>
      </w:r>
      <w:r>
        <w:rPr>
          <w:rFonts w:ascii="Corbel"/>
          <w:smallCaps w:val="0"/>
        </w:rPr>
        <w:t>e pe</w:t>
      </w:r>
      <w:r>
        <w:rPr>
          <w:rFonts w:ascii="Corbel"/>
          <w:smallCaps w:val="0"/>
          <w:spacing w:val="-1"/>
        </w:rPr>
        <w:t>so</w:t>
      </w:r>
      <w:r>
        <w:rPr>
          <w:rFonts w:ascii="Corbel"/>
          <w:smallCaps w:val="0"/>
          <w:spacing w:val="-2"/>
        </w:rPr>
        <w:t>s</w:t>
      </w:r>
      <w:r>
        <w:rPr>
          <w:rFonts w:ascii="Corbel"/>
          <w:smallCaps w:val="0"/>
        </w:rPr>
        <w:t>)</w:t>
      </w:r>
    </w:p>
    <w:p>
      <w:pPr>
        <w:pStyle w:val="BodyText"/>
        <w:rPr>
          <w:rFonts w:ascii="Corbel"/>
          <w:sz w:val="20"/>
        </w:rPr>
      </w:pPr>
    </w:p>
    <w:p>
      <w:pPr>
        <w:pStyle w:val="BodyText"/>
        <w:rPr>
          <w:rFonts w:ascii="Corbel"/>
          <w:sz w:val="20"/>
        </w:rPr>
      </w:pPr>
    </w:p>
    <w:p>
      <w:pPr>
        <w:pStyle w:val="BodyText"/>
        <w:spacing w:before="8"/>
        <w:rPr>
          <w:rFonts w:ascii="Corbel"/>
          <w:sz w:val="14"/>
        </w:rPr>
      </w:pPr>
    </w:p>
    <w:tbl>
      <w:tblPr>
        <w:tblW w:w="0" w:type="auto"/>
        <w:jc w:val="left"/>
        <w:tblInd w:w="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35"/>
        <w:gridCol w:w="813"/>
        <w:gridCol w:w="866"/>
        <w:gridCol w:w="849"/>
        <w:gridCol w:w="920"/>
      </w:tblGrid>
      <w:tr>
        <w:trPr>
          <w:trHeight w:val="960" w:hRule="atLeast"/>
        </w:trPr>
        <w:tc>
          <w:tcPr>
            <w:tcW w:w="6635" w:type="dxa"/>
            <w:tcBorders>
              <w:bottom w:val="single" w:sz="6" w:space="0" w:color="4F81BC"/>
              <w:right w:val="single" w:sz="4" w:space="0" w:color="4F81BC"/>
            </w:tcBorders>
          </w:tcPr>
          <w:p>
            <w:pPr>
              <w:pStyle w:val="TableParagraph"/>
              <w:spacing w:before="3"/>
              <w:ind w:left="79"/>
              <w:rPr>
                <w:sz w:val="24"/>
              </w:rPr>
            </w:pPr>
            <w:r>
              <w:rPr>
                <w:color w:val="365F91"/>
                <w:sz w:val="24"/>
              </w:rPr>
              <w:t>SUBSECTOR</w:t>
            </w:r>
          </w:p>
        </w:tc>
        <w:tc>
          <w:tcPr>
            <w:tcW w:w="813" w:type="dxa"/>
            <w:tcBorders>
              <w:left w:val="single" w:sz="4" w:space="0" w:color="4F81BC"/>
              <w:bottom w:val="single" w:sz="6" w:space="0" w:color="4F81BC"/>
            </w:tcBorders>
          </w:tcPr>
          <w:p>
            <w:pPr>
              <w:pStyle w:val="TableParagraph"/>
              <w:spacing w:before="3"/>
              <w:ind w:left="76"/>
              <w:rPr>
                <w:sz w:val="24"/>
              </w:rPr>
            </w:pPr>
            <w:r>
              <w:rPr>
                <w:color w:val="365F91"/>
                <w:sz w:val="24"/>
              </w:rPr>
              <w:t>2009</w:t>
            </w:r>
          </w:p>
        </w:tc>
        <w:tc>
          <w:tcPr>
            <w:tcW w:w="866" w:type="dxa"/>
            <w:tcBorders>
              <w:bottom w:val="single" w:sz="6" w:space="0" w:color="4F81BC"/>
            </w:tcBorders>
          </w:tcPr>
          <w:p>
            <w:pPr>
              <w:pStyle w:val="TableParagraph"/>
              <w:spacing w:before="3"/>
              <w:ind w:left="135"/>
              <w:rPr>
                <w:sz w:val="24"/>
              </w:rPr>
            </w:pPr>
            <w:r>
              <w:rPr>
                <w:color w:val="365F91"/>
                <w:sz w:val="24"/>
              </w:rPr>
              <w:t>2014</w:t>
            </w:r>
          </w:p>
        </w:tc>
        <w:tc>
          <w:tcPr>
            <w:tcW w:w="849" w:type="dxa"/>
            <w:tcBorders>
              <w:bottom w:val="single" w:sz="6" w:space="0" w:color="FFFFFF"/>
            </w:tcBorders>
          </w:tcPr>
          <w:p>
            <w:pPr>
              <w:pStyle w:val="TableParagraph"/>
              <w:spacing w:before="3"/>
              <w:ind w:left="133" w:right="62"/>
              <w:rPr>
                <w:sz w:val="24"/>
              </w:rPr>
            </w:pPr>
            <w:r>
              <w:rPr>
                <w:color w:val="365F91"/>
                <w:sz w:val="24"/>
              </w:rPr>
              <w:t>% PART. 2014</w:t>
            </w:r>
          </w:p>
        </w:tc>
        <w:tc>
          <w:tcPr>
            <w:tcW w:w="920" w:type="dxa"/>
            <w:tcBorders>
              <w:bottom w:val="single" w:sz="6" w:space="0" w:color="FFFFFF"/>
            </w:tcBorders>
          </w:tcPr>
          <w:p>
            <w:pPr>
              <w:pStyle w:val="TableParagraph"/>
              <w:spacing w:before="3"/>
              <w:ind w:left="81" w:right="161"/>
              <w:rPr>
                <w:sz w:val="24"/>
              </w:rPr>
            </w:pPr>
            <w:r>
              <w:rPr>
                <w:color w:val="365F91"/>
                <w:sz w:val="24"/>
              </w:rPr>
              <w:t>VAR% 2009-</w:t>
            </w:r>
          </w:p>
          <w:p>
            <w:pPr>
              <w:pStyle w:val="TableParagraph"/>
              <w:spacing w:before="2"/>
              <w:ind w:left="81"/>
              <w:rPr>
                <w:sz w:val="24"/>
              </w:rPr>
            </w:pPr>
            <w:r>
              <w:rPr>
                <w:color w:val="365F91"/>
                <w:sz w:val="24"/>
              </w:rPr>
              <w:t>2014</w:t>
            </w:r>
          </w:p>
        </w:tc>
      </w:tr>
      <w:tr>
        <w:trPr>
          <w:trHeight w:val="747" w:hRule="atLeast"/>
        </w:trPr>
        <w:tc>
          <w:tcPr>
            <w:tcW w:w="6635" w:type="dxa"/>
            <w:tcBorders>
              <w:top w:val="single" w:sz="6" w:space="0" w:color="4F81BC"/>
              <w:right w:val="single" w:sz="4" w:space="0" w:color="4F81BC"/>
            </w:tcBorders>
          </w:tcPr>
          <w:p>
            <w:pPr>
              <w:pStyle w:val="TableParagraph"/>
              <w:tabs>
                <w:tab w:pos="1454" w:val="left" w:leader="none"/>
                <w:tab w:pos="1877" w:val="left" w:leader="none"/>
                <w:tab w:pos="2477" w:val="left" w:leader="none"/>
                <w:tab w:pos="3444" w:val="left" w:leader="none"/>
                <w:tab w:pos="3975" w:val="left" w:leader="none"/>
                <w:tab w:pos="5264" w:val="left" w:leader="none"/>
                <w:tab w:pos="5794" w:val="left" w:leader="none"/>
              </w:tabs>
              <w:spacing w:before="81"/>
              <w:ind w:left="79" w:right="73"/>
              <w:rPr>
                <w:sz w:val="24"/>
              </w:rPr>
            </w:pPr>
            <w:r>
              <w:rPr>
                <w:color w:val="365F91"/>
                <w:sz w:val="24"/>
              </w:rPr>
              <w:t>Comercio</w:t>
              <w:tab/>
              <w:t>al</w:t>
              <w:tab/>
              <w:t>por</w:t>
              <w:tab/>
              <w:t>menor</w:t>
              <w:tab/>
              <w:t>de</w:t>
              <w:tab/>
              <w:t>vehículos</w:t>
              <w:tab/>
              <w:t>de</w:t>
              <w:tab/>
            </w:r>
            <w:r>
              <w:rPr>
                <w:color w:val="365F91"/>
                <w:spacing w:val="-4"/>
                <w:sz w:val="24"/>
              </w:rPr>
              <w:t>motor, </w:t>
            </w:r>
            <w:r>
              <w:rPr>
                <w:color w:val="365F91"/>
                <w:sz w:val="24"/>
              </w:rPr>
              <w:t>refacciones, combustibles y</w:t>
            </w:r>
            <w:r>
              <w:rPr>
                <w:color w:val="365F91"/>
                <w:spacing w:val="-4"/>
                <w:sz w:val="24"/>
              </w:rPr>
              <w:t> </w:t>
            </w:r>
            <w:r>
              <w:rPr>
                <w:color w:val="365F91"/>
                <w:sz w:val="24"/>
              </w:rPr>
              <w:t>lubricantes.</w:t>
            </w:r>
          </w:p>
        </w:tc>
        <w:tc>
          <w:tcPr>
            <w:tcW w:w="813" w:type="dxa"/>
            <w:tcBorders>
              <w:top w:val="single" w:sz="6" w:space="0" w:color="4F81BC"/>
              <w:left w:val="single" w:sz="4" w:space="0" w:color="4F81BC"/>
            </w:tcBorders>
            <w:shd w:val="clear" w:color="auto" w:fill="DBE4F0"/>
          </w:tcPr>
          <w:p>
            <w:pPr>
              <w:pStyle w:val="TableParagraph"/>
              <w:spacing w:before="81"/>
              <w:ind w:left="76"/>
              <w:rPr>
                <w:sz w:val="24"/>
              </w:rPr>
            </w:pPr>
            <w:r>
              <w:rPr>
                <w:color w:val="365F91"/>
                <w:sz w:val="24"/>
              </w:rPr>
              <w:t>7,450</w:t>
            </w:r>
          </w:p>
        </w:tc>
        <w:tc>
          <w:tcPr>
            <w:tcW w:w="866" w:type="dxa"/>
            <w:tcBorders>
              <w:top w:val="single" w:sz="6" w:space="0" w:color="4F81BC"/>
            </w:tcBorders>
            <w:shd w:val="clear" w:color="auto" w:fill="DBE4F0"/>
          </w:tcPr>
          <w:p>
            <w:pPr>
              <w:pStyle w:val="TableParagraph"/>
              <w:spacing w:before="81"/>
              <w:ind w:left="135"/>
              <w:rPr>
                <w:sz w:val="24"/>
              </w:rPr>
            </w:pPr>
            <w:r>
              <w:rPr>
                <w:color w:val="365F91"/>
                <w:sz w:val="24"/>
              </w:rPr>
              <w:t>33,97</w:t>
            </w:r>
          </w:p>
          <w:p>
            <w:pPr>
              <w:pStyle w:val="TableParagraph"/>
              <w:spacing w:before="1"/>
              <w:ind w:left="135"/>
              <w:rPr>
                <w:sz w:val="24"/>
              </w:rPr>
            </w:pPr>
            <w:r>
              <w:rPr>
                <w:color w:val="365F91"/>
                <w:sz w:val="24"/>
              </w:rPr>
              <w:t>6</w:t>
            </w:r>
          </w:p>
        </w:tc>
        <w:tc>
          <w:tcPr>
            <w:tcW w:w="849" w:type="dxa"/>
            <w:tcBorders>
              <w:top w:val="single" w:sz="6" w:space="0" w:color="FFFFFF"/>
            </w:tcBorders>
            <w:shd w:val="clear" w:color="auto" w:fill="DBE4F0"/>
          </w:tcPr>
          <w:p>
            <w:pPr>
              <w:pStyle w:val="TableParagraph"/>
              <w:spacing w:before="81"/>
              <w:ind w:left="133"/>
              <w:rPr>
                <w:sz w:val="24"/>
              </w:rPr>
            </w:pPr>
            <w:r>
              <w:rPr>
                <w:color w:val="365F91"/>
                <w:sz w:val="24"/>
              </w:rPr>
              <w:t>22.7</w:t>
            </w:r>
          </w:p>
          <w:p>
            <w:pPr>
              <w:pStyle w:val="TableParagraph"/>
              <w:spacing w:before="1"/>
              <w:ind w:left="133"/>
              <w:rPr>
                <w:sz w:val="24"/>
              </w:rPr>
            </w:pPr>
            <w:r>
              <w:rPr>
                <w:color w:val="365F91"/>
                <w:sz w:val="24"/>
              </w:rPr>
              <w:t>%</w:t>
            </w:r>
          </w:p>
        </w:tc>
        <w:tc>
          <w:tcPr>
            <w:tcW w:w="920" w:type="dxa"/>
            <w:tcBorders>
              <w:top w:val="single" w:sz="6" w:space="0" w:color="FFFFFF"/>
            </w:tcBorders>
            <w:shd w:val="clear" w:color="auto" w:fill="DBE4F0"/>
          </w:tcPr>
          <w:p>
            <w:pPr>
              <w:pStyle w:val="TableParagraph"/>
              <w:spacing w:before="81"/>
              <w:ind w:left="81"/>
              <w:rPr>
                <w:sz w:val="24"/>
              </w:rPr>
            </w:pPr>
            <w:r>
              <w:rPr>
                <w:color w:val="365F91"/>
                <w:sz w:val="24"/>
              </w:rPr>
              <w:t>356.1</w:t>
            </w:r>
          </w:p>
          <w:p>
            <w:pPr>
              <w:pStyle w:val="TableParagraph"/>
              <w:spacing w:before="1"/>
              <w:ind w:left="81"/>
              <w:rPr>
                <w:sz w:val="24"/>
              </w:rPr>
            </w:pPr>
            <w:r>
              <w:rPr>
                <w:color w:val="365F91"/>
                <w:sz w:val="24"/>
              </w:rPr>
              <w:t>%</w:t>
            </w:r>
          </w:p>
        </w:tc>
      </w:tr>
      <w:tr>
        <w:trPr>
          <w:trHeight w:val="664" w:hRule="atLeast"/>
        </w:trPr>
        <w:tc>
          <w:tcPr>
            <w:tcW w:w="6635" w:type="dxa"/>
            <w:tcBorders>
              <w:bottom w:val="single" w:sz="34" w:space="0" w:color="FFFFFF"/>
              <w:right w:val="single" w:sz="4" w:space="0" w:color="4F81BC"/>
            </w:tcBorders>
          </w:tcPr>
          <w:p>
            <w:pPr>
              <w:pStyle w:val="TableParagraph"/>
              <w:tabs>
                <w:tab w:pos="1454" w:val="left" w:leader="none"/>
                <w:tab w:pos="1877" w:val="left" w:leader="none"/>
                <w:tab w:pos="2477" w:val="left" w:leader="none"/>
                <w:tab w:pos="3444" w:val="left" w:leader="none"/>
                <w:tab w:pos="3975" w:val="left" w:leader="none"/>
                <w:tab w:pos="5369" w:val="left" w:leader="none"/>
              </w:tabs>
              <w:spacing w:line="290" w:lineRule="atLeast" w:before="82"/>
              <w:ind w:left="79" w:right="74"/>
              <w:rPr>
                <w:sz w:val="24"/>
              </w:rPr>
            </w:pPr>
            <w:r>
              <w:rPr>
                <w:color w:val="365F91"/>
                <w:sz w:val="24"/>
              </w:rPr>
              <w:t>Comercio</w:t>
              <w:tab/>
              <w:t>al</w:t>
              <w:tab/>
              <w:t>por</w:t>
              <w:tab/>
              <w:t>menor</w:t>
              <w:tab/>
              <w:t>de</w:t>
              <w:tab/>
              <w:t>abarrotes,</w:t>
              <w:tab/>
            </w:r>
            <w:r>
              <w:rPr>
                <w:color w:val="365F91"/>
                <w:spacing w:val="-3"/>
                <w:sz w:val="24"/>
              </w:rPr>
              <w:t>alimentos, </w:t>
            </w:r>
            <w:r>
              <w:rPr>
                <w:color w:val="365F91"/>
                <w:sz w:val="24"/>
              </w:rPr>
              <w:t>bebidas, hielo y</w:t>
            </w:r>
            <w:r>
              <w:rPr>
                <w:color w:val="365F91"/>
                <w:spacing w:val="-3"/>
                <w:sz w:val="24"/>
              </w:rPr>
              <w:t> </w:t>
            </w:r>
            <w:r>
              <w:rPr>
                <w:color w:val="365F91"/>
                <w:sz w:val="24"/>
              </w:rPr>
              <w:t>tabaco.</w:t>
            </w:r>
          </w:p>
        </w:tc>
        <w:tc>
          <w:tcPr>
            <w:tcW w:w="813" w:type="dxa"/>
            <w:tcBorders>
              <w:left w:val="single" w:sz="4" w:space="0" w:color="4F81BC"/>
            </w:tcBorders>
          </w:tcPr>
          <w:p>
            <w:pPr>
              <w:pStyle w:val="TableParagraph"/>
              <w:spacing w:before="82"/>
              <w:ind w:left="76"/>
              <w:rPr>
                <w:sz w:val="24"/>
              </w:rPr>
            </w:pPr>
            <w:r>
              <w:rPr>
                <w:color w:val="365F91"/>
                <w:sz w:val="24"/>
              </w:rPr>
              <w:t>24,97</w:t>
            </w:r>
          </w:p>
          <w:p>
            <w:pPr>
              <w:pStyle w:val="TableParagraph"/>
              <w:spacing w:line="267" w:lineRule="exact" w:before="1"/>
              <w:ind w:left="76"/>
              <w:rPr>
                <w:sz w:val="24"/>
              </w:rPr>
            </w:pPr>
            <w:r>
              <w:rPr>
                <w:color w:val="365F91"/>
                <w:sz w:val="24"/>
              </w:rPr>
              <w:t>2</w:t>
            </w:r>
          </w:p>
        </w:tc>
        <w:tc>
          <w:tcPr>
            <w:tcW w:w="866" w:type="dxa"/>
          </w:tcPr>
          <w:p>
            <w:pPr>
              <w:pStyle w:val="TableParagraph"/>
              <w:spacing w:before="82"/>
              <w:ind w:left="135"/>
              <w:rPr>
                <w:sz w:val="24"/>
              </w:rPr>
            </w:pPr>
            <w:r>
              <w:rPr>
                <w:color w:val="365F91"/>
                <w:sz w:val="24"/>
              </w:rPr>
              <w:t>26,18</w:t>
            </w:r>
          </w:p>
          <w:p>
            <w:pPr>
              <w:pStyle w:val="TableParagraph"/>
              <w:spacing w:line="267" w:lineRule="exact" w:before="1"/>
              <w:ind w:left="135"/>
              <w:rPr>
                <w:sz w:val="24"/>
              </w:rPr>
            </w:pPr>
            <w:r>
              <w:rPr>
                <w:color w:val="365F91"/>
                <w:sz w:val="24"/>
              </w:rPr>
              <w:t>0</w:t>
            </w:r>
          </w:p>
        </w:tc>
        <w:tc>
          <w:tcPr>
            <w:tcW w:w="849" w:type="dxa"/>
          </w:tcPr>
          <w:p>
            <w:pPr>
              <w:pStyle w:val="TableParagraph"/>
              <w:spacing w:before="82"/>
              <w:ind w:left="133"/>
              <w:rPr>
                <w:sz w:val="24"/>
              </w:rPr>
            </w:pPr>
            <w:r>
              <w:rPr>
                <w:color w:val="365F91"/>
                <w:sz w:val="24"/>
              </w:rPr>
              <w:t>17.5</w:t>
            </w:r>
          </w:p>
          <w:p>
            <w:pPr>
              <w:pStyle w:val="TableParagraph"/>
              <w:spacing w:line="267" w:lineRule="exact" w:before="1"/>
              <w:ind w:left="133"/>
              <w:rPr>
                <w:sz w:val="24"/>
              </w:rPr>
            </w:pPr>
            <w:r>
              <w:rPr>
                <w:color w:val="365F91"/>
                <w:sz w:val="24"/>
              </w:rPr>
              <w:t>%</w:t>
            </w:r>
          </w:p>
        </w:tc>
        <w:tc>
          <w:tcPr>
            <w:tcW w:w="920" w:type="dxa"/>
          </w:tcPr>
          <w:p>
            <w:pPr>
              <w:pStyle w:val="TableParagraph"/>
              <w:spacing w:before="82"/>
              <w:ind w:left="81"/>
              <w:rPr>
                <w:sz w:val="24"/>
              </w:rPr>
            </w:pPr>
            <w:r>
              <w:rPr>
                <w:color w:val="365F91"/>
                <w:sz w:val="24"/>
              </w:rPr>
              <w:t>4.8%</w:t>
            </w:r>
          </w:p>
        </w:tc>
      </w:tr>
      <w:tr>
        <w:trPr>
          <w:trHeight w:val="739" w:hRule="atLeast"/>
        </w:trPr>
        <w:tc>
          <w:tcPr>
            <w:tcW w:w="6635" w:type="dxa"/>
            <w:tcBorders>
              <w:top w:val="single" w:sz="34" w:space="0" w:color="FFFFFF"/>
              <w:right w:val="single" w:sz="4" w:space="0" w:color="4F81BC"/>
            </w:tcBorders>
          </w:tcPr>
          <w:p>
            <w:pPr>
              <w:pStyle w:val="TableParagraph"/>
              <w:tabs>
                <w:tab w:pos="1262" w:val="left" w:leader="none"/>
                <w:tab w:pos="2462" w:val="left" w:leader="none"/>
                <w:tab w:pos="2986" w:val="left" w:leader="none"/>
                <w:tab w:pos="4176" w:val="left" w:leader="none"/>
                <w:tab w:pos="5268" w:val="left" w:leader="none"/>
                <w:tab w:pos="5598" w:val="left" w:leader="none"/>
              </w:tabs>
              <w:spacing w:before="76"/>
              <w:ind w:left="79" w:right="75"/>
              <w:rPr>
                <w:sz w:val="24"/>
              </w:rPr>
            </w:pPr>
            <w:r>
              <w:rPr>
                <w:color w:val="365F91"/>
                <w:sz w:val="24"/>
              </w:rPr>
              <w:t>Servicios</w:t>
              <w:tab/>
              <w:t>médicos</w:t>
              <w:tab/>
              <w:t>de</w:t>
              <w:tab/>
              <w:t>consulta</w:t>
              <w:tab/>
              <w:t>externa</w:t>
              <w:tab/>
              <w:t>y</w:t>
              <w:tab/>
            </w:r>
            <w:r>
              <w:rPr>
                <w:color w:val="365F91"/>
                <w:spacing w:val="-3"/>
                <w:sz w:val="24"/>
              </w:rPr>
              <w:t>servicios </w:t>
            </w:r>
            <w:r>
              <w:rPr>
                <w:color w:val="365F91"/>
                <w:sz w:val="24"/>
              </w:rPr>
              <w:t>relacionados.</w:t>
            </w:r>
          </w:p>
        </w:tc>
        <w:tc>
          <w:tcPr>
            <w:tcW w:w="813" w:type="dxa"/>
            <w:tcBorders>
              <w:left w:val="single" w:sz="4" w:space="0" w:color="4F81BC"/>
            </w:tcBorders>
            <w:shd w:val="clear" w:color="auto" w:fill="DBE4F0"/>
          </w:tcPr>
          <w:p>
            <w:pPr>
              <w:pStyle w:val="TableParagraph"/>
              <w:spacing w:before="76"/>
              <w:ind w:left="76"/>
              <w:rPr>
                <w:sz w:val="24"/>
              </w:rPr>
            </w:pPr>
            <w:r>
              <w:rPr>
                <w:color w:val="365F91"/>
                <w:sz w:val="24"/>
              </w:rPr>
              <w:t>1,609</w:t>
            </w:r>
          </w:p>
        </w:tc>
        <w:tc>
          <w:tcPr>
            <w:tcW w:w="866" w:type="dxa"/>
            <w:shd w:val="clear" w:color="auto" w:fill="DBE4F0"/>
          </w:tcPr>
          <w:p>
            <w:pPr>
              <w:pStyle w:val="TableParagraph"/>
              <w:spacing w:line="294" w:lineRule="exact" w:before="76"/>
              <w:ind w:left="135"/>
              <w:rPr>
                <w:sz w:val="24"/>
              </w:rPr>
            </w:pPr>
            <w:r>
              <w:rPr>
                <w:color w:val="365F91"/>
                <w:sz w:val="24"/>
              </w:rPr>
              <w:t>16,80</w:t>
            </w:r>
          </w:p>
          <w:p>
            <w:pPr>
              <w:pStyle w:val="TableParagraph"/>
              <w:spacing w:line="294" w:lineRule="exact"/>
              <w:ind w:left="135"/>
              <w:rPr>
                <w:sz w:val="24"/>
              </w:rPr>
            </w:pPr>
            <w:r>
              <w:rPr>
                <w:color w:val="365F91"/>
                <w:sz w:val="24"/>
              </w:rPr>
              <w:t>2</w:t>
            </w:r>
          </w:p>
        </w:tc>
        <w:tc>
          <w:tcPr>
            <w:tcW w:w="849" w:type="dxa"/>
            <w:shd w:val="clear" w:color="auto" w:fill="DBE4F0"/>
          </w:tcPr>
          <w:p>
            <w:pPr>
              <w:pStyle w:val="TableParagraph"/>
              <w:spacing w:line="294" w:lineRule="exact" w:before="76"/>
              <w:ind w:left="133"/>
              <w:rPr>
                <w:sz w:val="24"/>
              </w:rPr>
            </w:pPr>
            <w:r>
              <w:rPr>
                <w:color w:val="365F91"/>
                <w:sz w:val="24"/>
              </w:rPr>
              <w:t>11.2</w:t>
            </w:r>
          </w:p>
          <w:p>
            <w:pPr>
              <w:pStyle w:val="TableParagraph"/>
              <w:spacing w:line="294" w:lineRule="exact"/>
              <w:ind w:left="133"/>
              <w:rPr>
                <w:sz w:val="24"/>
              </w:rPr>
            </w:pPr>
            <w:r>
              <w:rPr>
                <w:color w:val="365F91"/>
                <w:sz w:val="24"/>
              </w:rPr>
              <w:t>%</w:t>
            </w:r>
          </w:p>
        </w:tc>
        <w:tc>
          <w:tcPr>
            <w:tcW w:w="920" w:type="dxa"/>
            <w:shd w:val="clear" w:color="auto" w:fill="DBE4F0"/>
          </w:tcPr>
          <w:p>
            <w:pPr>
              <w:pStyle w:val="TableParagraph"/>
              <w:spacing w:line="294" w:lineRule="exact" w:before="76"/>
              <w:ind w:left="81"/>
              <w:rPr>
                <w:sz w:val="24"/>
              </w:rPr>
            </w:pPr>
            <w:r>
              <w:rPr>
                <w:color w:val="365F91"/>
                <w:sz w:val="24"/>
              </w:rPr>
              <w:t>944.3</w:t>
            </w:r>
          </w:p>
          <w:p>
            <w:pPr>
              <w:pStyle w:val="TableParagraph"/>
              <w:spacing w:line="294" w:lineRule="exact"/>
              <w:ind w:left="81"/>
              <w:rPr>
                <w:sz w:val="24"/>
              </w:rPr>
            </w:pPr>
            <w:r>
              <w:rPr>
                <w:color w:val="365F91"/>
                <w:sz w:val="24"/>
              </w:rPr>
              <w:t>%</w:t>
            </w:r>
          </w:p>
        </w:tc>
      </w:tr>
      <w:tr>
        <w:trPr>
          <w:trHeight w:val="748" w:hRule="atLeast"/>
        </w:trPr>
        <w:tc>
          <w:tcPr>
            <w:tcW w:w="6635" w:type="dxa"/>
            <w:tcBorders>
              <w:right w:val="single" w:sz="4" w:space="0" w:color="4F81BC"/>
            </w:tcBorders>
          </w:tcPr>
          <w:p>
            <w:pPr>
              <w:pStyle w:val="TableParagraph"/>
              <w:tabs>
                <w:tab w:pos="1577" w:val="left" w:leader="none"/>
                <w:tab w:pos="2808" w:val="left" w:leader="none"/>
                <w:tab w:pos="3420" w:val="left" w:leader="none"/>
                <w:tab w:pos="4887" w:val="left" w:leader="none"/>
                <w:tab w:pos="6159" w:val="left" w:leader="none"/>
              </w:tabs>
              <w:spacing w:before="85"/>
              <w:ind w:left="79" w:right="74"/>
              <w:rPr>
                <w:sz w:val="24"/>
              </w:rPr>
            </w:pPr>
            <w:r>
              <w:rPr>
                <w:color w:val="365F91"/>
                <w:sz w:val="24"/>
              </w:rPr>
              <w:t>Transporte</w:t>
              <w:tab/>
              <w:t>terrestre</w:t>
              <w:tab/>
              <w:t>de</w:t>
              <w:tab/>
              <w:t>pasajeros,</w:t>
              <w:tab/>
              <w:t>excepto</w:t>
              <w:tab/>
            </w:r>
            <w:r>
              <w:rPr>
                <w:color w:val="365F91"/>
                <w:spacing w:val="-7"/>
                <w:sz w:val="24"/>
              </w:rPr>
              <w:t>por </w:t>
            </w:r>
            <w:r>
              <w:rPr>
                <w:color w:val="365F91"/>
                <w:sz w:val="24"/>
              </w:rPr>
              <w:t>ferrocarril.</w:t>
            </w:r>
          </w:p>
        </w:tc>
        <w:tc>
          <w:tcPr>
            <w:tcW w:w="813" w:type="dxa"/>
            <w:tcBorders>
              <w:left w:val="single" w:sz="4" w:space="0" w:color="4F81BC"/>
            </w:tcBorders>
          </w:tcPr>
          <w:p>
            <w:pPr>
              <w:pStyle w:val="TableParagraph"/>
              <w:spacing w:before="85"/>
              <w:ind w:left="76"/>
              <w:rPr>
                <w:sz w:val="24"/>
              </w:rPr>
            </w:pPr>
            <w:r>
              <w:rPr>
                <w:color w:val="365F91"/>
                <w:sz w:val="24"/>
              </w:rPr>
              <w:t>0</w:t>
            </w:r>
          </w:p>
        </w:tc>
        <w:tc>
          <w:tcPr>
            <w:tcW w:w="866" w:type="dxa"/>
          </w:tcPr>
          <w:p>
            <w:pPr>
              <w:pStyle w:val="TableParagraph"/>
              <w:spacing w:line="294" w:lineRule="exact" w:before="85"/>
              <w:ind w:left="135"/>
              <w:rPr>
                <w:sz w:val="24"/>
              </w:rPr>
            </w:pPr>
            <w:r>
              <w:rPr>
                <w:color w:val="365F91"/>
                <w:sz w:val="24"/>
              </w:rPr>
              <w:t>10,19</w:t>
            </w:r>
          </w:p>
          <w:p>
            <w:pPr>
              <w:pStyle w:val="TableParagraph"/>
              <w:spacing w:line="294" w:lineRule="exact"/>
              <w:ind w:left="135"/>
              <w:rPr>
                <w:sz w:val="24"/>
              </w:rPr>
            </w:pPr>
            <w:r>
              <w:rPr>
                <w:color w:val="365F91"/>
                <w:sz w:val="24"/>
              </w:rPr>
              <w:t>8</w:t>
            </w:r>
          </w:p>
        </w:tc>
        <w:tc>
          <w:tcPr>
            <w:tcW w:w="849" w:type="dxa"/>
          </w:tcPr>
          <w:p>
            <w:pPr>
              <w:pStyle w:val="TableParagraph"/>
              <w:spacing w:before="85"/>
              <w:ind w:left="133"/>
              <w:rPr>
                <w:sz w:val="24"/>
              </w:rPr>
            </w:pPr>
            <w:r>
              <w:rPr>
                <w:color w:val="365F91"/>
                <w:sz w:val="24"/>
              </w:rPr>
              <w:t>6.8%</w:t>
            </w:r>
          </w:p>
        </w:tc>
        <w:tc>
          <w:tcPr>
            <w:tcW w:w="920" w:type="dxa"/>
          </w:tcPr>
          <w:p>
            <w:pPr>
              <w:pStyle w:val="TableParagraph"/>
              <w:rPr>
                <w:rFonts w:ascii="Times New Roman"/>
                <w:sz w:val="22"/>
              </w:rPr>
            </w:pPr>
          </w:p>
        </w:tc>
      </w:tr>
      <w:tr>
        <w:trPr>
          <w:trHeight w:val="748" w:hRule="atLeast"/>
        </w:trPr>
        <w:tc>
          <w:tcPr>
            <w:tcW w:w="6635" w:type="dxa"/>
            <w:tcBorders>
              <w:right w:val="single" w:sz="4" w:space="0" w:color="4F81BC"/>
            </w:tcBorders>
          </w:tcPr>
          <w:p>
            <w:pPr>
              <w:pStyle w:val="TableParagraph"/>
              <w:spacing w:before="85"/>
              <w:ind w:left="79"/>
              <w:rPr>
                <w:sz w:val="24"/>
              </w:rPr>
            </w:pPr>
            <w:r>
              <w:rPr>
                <w:color w:val="365F91"/>
                <w:sz w:val="24"/>
              </w:rPr>
              <w:t>Servicios de preparación de alimentos y bebidas.</w:t>
            </w:r>
          </w:p>
        </w:tc>
        <w:tc>
          <w:tcPr>
            <w:tcW w:w="813" w:type="dxa"/>
            <w:tcBorders>
              <w:left w:val="single" w:sz="4" w:space="0" w:color="4F81BC"/>
            </w:tcBorders>
            <w:shd w:val="clear" w:color="auto" w:fill="DBE4F0"/>
          </w:tcPr>
          <w:p>
            <w:pPr>
              <w:pStyle w:val="TableParagraph"/>
              <w:spacing w:line="294" w:lineRule="exact" w:before="85"/>
              <w:ind w:left="76"/>
              <w:rPr>
                <w:sz w:val="24"/>
              </w:rPr>
            </w:pPr>
            <w:r>
              <w:rPr>
                <w:color w:val="365F91"/>
                <w:sz w:val="24"/>
              </w:rPr>
              <w:t>13,43</w:t>
            </w:r>
          </w:p>
          <w:p>
            <w:pPr>
              <w:pStyle w:val="TableParagraph"/>
              <w:spacing w:line="294" w:lineRule="exact"/>
              <w:ind w:left="76"/>
              <w:rPr>
                <w:sz w:val="24"/>
              </w:rPr>
            </w:pPr>
            <w:r>
              <w:rPr>
                <w:color w:val="365F91"/>
                <w:sz w:val="24"/>
              </w:rPr>
              <w:t>6</w:t>
            </w:r>
          </w:p>
        </w:tc>
        <w:tc>
          <w:tcPr>
            <w:tcW w:w="866" w:type="dxa"/>
            <w:shd w:val="clear" w:color="auto" w:fill="DBE4F0"/>
          </w:tcPr>
          <w:p>
            <w:pPr>
              <w:pStyle w:val="TableParagraph"/>
              <w:spacing w:before="85"/>
              <w:ind w:left="135"/>
              <w:rPr>
                <w:sz w:val="24"/>
              </w:rPr>
            </w:pPr>
            <w:r>
              <w:rPr>
                <w:color w:val="365F91"/>
                <w:sz w:val="24"/>
              </w:rPr>
              <w:t>9,306</w:t>
            </w:r>
          </w:p>
        </w:tc>
        <w:tc>
          <w:tcPr>
            <w:tcW w:w="849" w:type="dxa"/>
            <w:shd w:val="clear" w:color="auto" w:fill="DBE4F0"/>
          </w:tcPr>
          <w:p>
            <w:pPr>
              <w:pStyle w:val="TableParagraph"/>
              <w:spacing w:before="85"/>
              <w:ind w:left="133"/>
              <w:rPr>
                <w:sz w:val="24"/>
              </w:rPr>
            </w:pPr>
            <w:r>
              <w:rPr>
                <w:color w:val="365F91"/>
                <w:sz w:val="24"/>
              </w:rPr>
              <w:t>6.2%</w:t>
            </w:r>
          </w:p>
        </w:tc>
        <w:tc>
          <w:tcPr>
            <w:tcW w:w="920" w:type="dxa"/>
            <w:shd w:val="clear" w:color="auto" w:fill="DBE4F0"/>
          </w:tcPr>
          <w:p>
            <w:pPr>
              <w:pStyle w:val="TableParagraph"/>
              <w:spacing w:before="85"/>
              <w:ind w:left="81"/>
              <w:rPr>
                <w:sz w:val="24"/>
              </w:rPr>
            </w:pPr>
            <w:r>
              <w:rPr>
                <w:color w:val="365F91"/>
                <w:sz w:val="24"/>
              </w:rPr>
              <w:t>-30.7%</w:t>
            </w:r>
          </w:p>
        </w:tc>
      </w:tr>
      <w:tr>
        <w:trPr>
          <w:trHeight w:val="461" w:hRule="atLeast"/>
        </w:trPr>
        <w:tc>
          <w:tcPr>
            <w:tcW w:w="6635" w:type="dxa"/>
            <w:tcBorders>
              <w:right w:val="single" w:sz="4" w:space="0" w:color="4F81BC"/>
            </w:tcBorders>
          </w:tcPr>
          <w:p>
            <w:pPr>
              <w:pStyle w:val="TableParagraph"/>
              <w:spacing w:before="83"/>
              <w:ind w:left="79"/>
              <w:rPr>
                <w:sz w:val="24"/>
              </w:rPr>
            </w:pPr>
            <w:r>
              <w:rPr>
                <w:color w:val="365F91"/>
                <w:sz w:val="24"/>
              </w:rPr>
              <w:t>Servicios profesionales, científicos y técnicos.</w:t>
            </w:r>
          </w:p>
        </w:tc>
        <w:tc>
          <w:tcPr>
            <w:tcW w:w="813" w:type="dxa"/>
            <w:tcBorders>
              <w:left w:val="single" w:sz="4" w:space="0" w:color="4F81BC"/>
            </w:tcBorders>
          </w:tcPr>
          <w:p>
            <w:pPr>
              <w:pStyle w:val="TableParagraph"/>
              <w:spacing w:before="83"/>
              <w:ind w:left="76"/>
              <w:rPr>
                <w:sz w:val="24"/>
              </w:rPr>
            </w:pPr>
            <w:r>
              <w:rPr>
                <w:color w:val="365F91"/>
                <w:sz w:val="24"/>
              </w:rPr>
              <w:t>2,894</w:t>
            </w:r>
          </w:p>
        </w:tc>
        <w:tc>
          <w:tcPr>
            <w:tcW w:w="866" w:type="dxa"/>
          </w:tcPr>
          <w:p>
            <w:pPr>
              <w:pStyle w:val="TableParagraph"/>
              <w:spacing w:before="83"/>
              <w:ind w:left="135"/>
              <w:rPr>
                <w:sz w:val="24"/>
              </w:rPr>
            </w:pPr>
            <w:r>
              <w:rPr>
                <w:color w:val="365F91"/>
                <w:sz w:val="24"/>
              </w:rPr>
              <w:t>4,791</w:t>
            </w:r>
          </w:p>
        </w:tc>
        <w:tc>
          <w:tcPr>
            <w:tcW w:w="849" w:type="dxa"/>
          </w:tcPr>
          <w:p>
            <w:pPr>
              <w:pStyle w:val="TableParagraph"/>
              <w:spacing w:before="83"/>
              <w:ind w:left="133"/>
              <w:rPr>
                <w:sz w:val="24"/>
              </w:rPr>
            </w:pPr>
            <w:r>
              <w:rPr>
                <w:color w:val="365F91"/>
                <w:sz w:val="24"/>
              </w:rPr>
              <w:t>3.2%</w:t>
            </w:r>
          </w:p>
        </w:tc>
        <w:tc>
          <w:tcPr>
            <w:tcW w:w="920" w:type="dxa"/>
          </w:tcPr>
          <w:p>
            <w:pPr>
              <w:pStyle w:val="TableParagraph"/>
              <w:spacing w:before="83"/>
              <w:ind w:left="81"/>
              <w:rPr>
                <w:sz w:val="24"/>
              </w:rPr>
            </w:pPr>
            <w:r>
              <w:rPr>
                <w:color w:val="365F91"/>
                <w:sz w:val="24"/>
              </w:rPr>
              <w:t>65.5%</w:t>
            </w:r>
          </w:p>
        </w:tc>
      </w:tr>
      <w:tr>
        <w:trPr>
          <w:trHeight w:val="746" w:hRule="atLeast"/>
        </w:trPr>
        <w:tc>
          <w:tcPr>
            <w:tcW w:w="6635" w:type="dxa"/>
            <w:tcBorders>
              <w:right w:val="single" w:sz="4" w:space="0" w:color="4F81BC"/>
            </w:tcBorders>
          </w:tcPr>
          <w:p>
            <w:pPr>
              <w:pStyle w:val="TableParagraph"/>
              <w:spacing w:before="82"/>
              <w:ind w:left="79"/>
              <w:rPr>
                <w:sz w:val="24"/>
              </w:rPr>
            </w:pPr>
            <w:r>
              <w:rPr>
                <w:color w:val="365F91"/>
                <w:sz w:val="24"/>
              </w:rPr>
              <w:t>Comercio al por menor de artículos de ferretería, tlapalería y vidrio.</w:t>
            </w:r>
          </w:p>
        </w:tc>
        <w:tc>
          <w:tcPr>
            <w:tcW w:w="813" w:type="dxa"/>
            <w:tcBorders>
              <w:left w:val="single" w:sz="4" w:space="0" w:color="4F81BC"/>
            </w:tcBorders>
            <w:shd w:val="clear" w:color="auto" w:fill="DBE4F0"/>
          </w:tcPr>
          <w:p>
            <w:pPr>
              <w:pStyle w:val="TableParagraph"/>
              <w:spacing w:before="82"/>
              <w:ind w:left="76"/>
              <w:rPr>
                <w:sz w:val="24"/>
              </w:rPr>
            </w:pPr>
            <w:r>
              <w:rPr>
                <w:color w:val="365F91"/>
                <w:sz w:val="24"/>
              </w:rPr>
              <w:t>4,596</w:t>
            </w:r>
          </w:p>
        </w:tc>
        <w:tc>
          <w:tcPr>
            <w:tcW w:w="866" w:type="dxa"/>
            <w:shd w:val="clear" w:color="auto" w:fill="DBE4F0"/>
          </w:tcPr>
          <w:p>
            <w:pPr>
              <w:pStyle w:val="TableParagraph"/>
              <w:spacing w:before="82"/>
              <w:ind w:left="135"/>
              <w:rPr>
                <w:sz w:val="24"/>
              </w:rPr>
            </w:pPr>
            <w:r>
              <w:rPr>
                <w:color w:val="365F91"/>
                <w:sz w:val="24"/>
              </w:rPr>
              <w:t>4,636</w:t>
            </w:r>
          </w:p>
        </w:tc>
        <w:tc>
          <w:tcPr>
            <w:tcW w:w="849" w:type="dxa"/>
            <w:shd w:val="clear" w:color="auto" w:fill="DBE4F0"/>
          </w:tcPr>
          <w:p>
            <w:pPr>
              <w:pStyle w:val="TableParagraph"/>
              <w:spacing w:before="82"/>
              <w:ind w:left="133"/>
              <w:rPr>
                <w:sz w:val="24"/>
              </w:rPr>
            </w:pPr>
            <w:r>
              <w:rPr>
                <w:color w:val="365F91"/>
                <w:sz w:val="24"/>
              </w:rPr>
              <w:t>3.1%</w:t>
            </w:r>
          </w:p>
        </w:tc>
        <w:tc>
          <w:tcPr>
            <w:tcW w:w="920" w:type="dxa"/>
            <w:shd w:val="clear" w:color="auto" w:fill="DBE4F0"/>
          </w:tcPr>
          <w:p>
            <w:pPr>
              <w:pStyle w:val="TableParagraph"/>
              <w:spacing w:before="82"/>
              <w:ind w:left="81"/>
              <w:rPr>
                <w:sz w:val="24"/>
              </w:rPr>
            </w:pPr>
            <w:r>
              <w:rPr>
                <w:color w:val="365F91"/>
                <w:sz w:val="24"/>
              </w:rPr>
              <w:t>0.9%</w:t>
            </w:r>
          </w:p>
        </w:tc>
      </w:tr>
      <w:tr>
        <w:trPr>
          <w:trHeight w:val="460" w:hRule="atLeast"/>
        </w:trPr>
        <w:tc>
          <w:tcPr>
            <w:tcW w:w="6635" w:type="dxa"/>
            <w:tcBorders>
              <w:right w:val="single" w:sz="4" w:space="0" w:color="4F81BC"/>
            </w:tcBorders>
          </w:tcPr>
          <w:p>
            <w:pPr>
              <w:pStyle w:val="TableParagraph"/>
              <w:spacing w:before="85"/>
              <w:ind w:left="79"/>
              <w:rPr>
                <w:sz w:val="24"/>
              </w:rPr>
            </w:pPr>
            <w:r>
              <w:rPr>
                <w:color w:val="365F91"/>
                <w:sz w:val="24"/>
              </w:rPr>
              <w:t>Servicios de reparación y mantenimiento.</w:t>
            </w:r>
          </w:p>
        </w:tc>
        <w:tc>
          <w:tcPr>
            <w:tcW w:w="813" w:type="dxa"/>
            <w:tcBorders>
              <w:left w:val="single" w:sz="4" w:space="0" w:color="4F81BC"/>
            </w:tcBorders>
          </w:tcPr>
          <w:p>
            <w:pPr>
              <w:pStyle w:val="TableParagraph"/>
              <w:spacing w:before="85"/>
              <w:ind w:left="76"/>
              <w:rPr>
                <w:sz w:val="24"/>
              </w:rPr>
            </w:pPr>
            <w:r>
              <w:rPr>
                <w:color w:val="365F91"/>
                <w:sz w:val="24"/>
              </w:rPr>
              <w:t>5,608</w:t>
            </w:r>
          </w:p>
        </w:tc>
        <w:tc>
          <w:tcPr>
            <w:tcW w:w="866" w:type="dxa"/>
          </w:tcPr>
          <w:p>
            <w:pPr>
              <w:pStyle w:val="TableParagraph"/>
              <w:spacing w:before="85"/>
              <w:ind w:left="135"/>
              <w:rPr>
                <w:sz w:val="24"/>
              </w:rPr>
            </w:pPr>
            <w:r>
              <w:rPr>
                <w:color w:val="365F91"/>
                <w:sz w:val="24"/>
              </w:rPr>
              <w:t>4,397</w:t>
            </w:r>
          </w:p>
        </w:tc>
        <w:tc>
          <w:tcPr>
            <w:tcW w:w="849" w:type="dxa"/>
          </w:tcPr>
          <w:p>
            <w:pPr>
              <w:pStyle w:val="TableParagraph"/>
              <w:spacing w:before="85"/>
              <w:ind w:left="133"/>
              <w:rPr>
                <w:sz w:val="24"/>
              </w:rPr>
            </w:pPr>
            <w:r>
              <w:rPr>
                <w:color w:val="365F91"/>
                <w:sz w:val="24"/>
              </w:rPr>
              <w:t>2.9%</w:t>
            </w:r>
          </w:p>
        </w:tc>
        <w:tc>
          <w:tcPr>
            <w:tcW w:w="920" w:type="dxa"/>
          </w:tcPr>
          <w:p>
            <w:pPr>
              <w:pStyle w:val="TableParagraph"/>
              <w:spacing w:before="85"/>
              <w:ind w:left="81"/>
              <w:rPr>
                <w:sz w:val="24"/>
              </w:rPr>
            </w:pPr>
            <w:r>
              <w:rPr>
                <w:color w:val="365F91"/>
                <w:sz w:val="24"/>
              </w:rPr>
              <w:t>-21.6%</w:t>
            </w:r>
          </w:p>
        </w:tc>
      </w:tr>
      <w:tr>
        <w:trPr>
          <w:trHeight w:val="460" w:hRule="atLeast"/>
        </w:trPr>
        <w:tc>
          <w:tcPr>
            <w:tcW w:w="6635" w:type="dxa"/>
            <w:tcBorders>
              <w:right w:val="single" w:sz="4" w:space="0" w:color="4F81BC"/>
            </w:tcBorders>
          </w:tcPr>
          <w:p>
            <w:pPr>
              <w:pStyle w:val="TableParagraph"/>
              <w:spacing w:before="85"/>
              <w:ind w:left="79"/>
              <w:rPr>
                <w:sz w:val="24"/>
              </w:rPr>
            </w:pPr>
            <w:r>
              <w:rPr>
                <w:color w:val="365F91"/>
                <w:sz w:val="24"/>
              </w:rPr>
              <w:t>Industria alimentaria</w:t>
            </w:r>
          </w:p>
        </w:tc>
        <w:tc>
          <w:tcPr>
            <w:tcW w:w="813" w:type="dxa"/>
            <w:tcBorders>
              <w:left w:val="single" w:sz="4" w:space="0" w:color="4F81BC"/>
            </w:tcBorders>
            <w:shd w:val="clear" w:color="auto" w:fill="DBE4F0"/>
          </w:tcPr>
          <w:p>
            <w:pPr>
              <w:pStyle w:val="TableParagraph"/>
              <w:spacing w:before="85"/>
              <w:ind w:left="76"/>
              <w:rPr>
                <w:sz w:val="24"/>
              </w:rPr>
            </w:pPr>
            <w:r>
              <w:rPr>
                <w:color w:val="365F91"/>
                <w:sz w:val="24"/>
              </w:rPr>
              <w:t>3,573</w:t>
            </w:r>
          </w:p>
        </w:tc>
        <w:tc>
          <w:tcPr>
            <w:tcW w:w="866" w:type="dxa"/>
            <w:shd w:val="clear" w:color="auto" w:fill="DBE4F0"/>
          </w:tcPr>
          <w:p>
            <w:pPr>
              <w:pStyle w:val="TableParagraph"/>
              <w:spacing w:before="85"/>
              <w:ind w:left="135"/>
              <w:rPr>
                <w:sz w:val="24"/>
              </w:rPr>
            </w:pPr>
            <w:r>
              <w:rPr>
                <w:color w:val="365F91"/>
                <w:sz w:val="24"/>
              </w:rPr>
              <w:t>4,101</w:t>
            </w:r>
          </w:p>
        </w:tc>
        <w:tc>
          <w:tcPr>
            <w:tcW w:w="849" w:type="dxa"/>
            <w:shd w:val="clear" w:color="auto" w:fill="DBE4F0"/>
          </w:tcPr>
          <w:p>
            <w:pPr>
              <w:pStyle w:val="TableParagraph"/>
              <w:spacing w:before="85"/>
              <w:ind w:left="133"/>
              <w:rPr>
                <w:sz w:val="24"/>
              </w:rPr>
            </w:pPr>
            <w:r>
              <w:rPr>
                <w:color w:val="365F91"/>
                <w:sz w:val="24"/>
              </w:rPr>
              <w:t>2.7%</w:t>
            </w:r>
          </w:p>
        </w:tc>
        <w:tc>
          <w:tcPr>
            <w:tcW w:w="920" w:type="dxa"/>
            <w:shd w:val="clear" w:color="auto" w:fill="DBE4F0"/>
          </w:tcPr>
          <w:p>
            <w:pPr>
              <w:pStyle w:val="TableParagraph"/>
              <w:spacing w:before="85"/>
              <w:ind w:left="81"/>
              <w:rPr>
                <w:sz w:val="24"/>
              </w:rPr>
            </w:pPr>
            <w:r>
              <w:rPr>
                <w:color w:val="365F91"/>
                <w:sz w:val="24"/>
              </w:rPr>
              <w:t>14.8%</w:t>
            </w:r>
          </w:p>
        </w:tc>
      </w:tr>
      <w:tr>
        <w:trPr>
          <w:trHeight w:val="748" w:hRule="atLeast"/>
        </w:trPr>
        <w:tc>
          <w:tcPr>
            <w:tcW w:w="6635" w:type="dxa"/>
            <w:tcBorders>
              <w:right w:val="single" w:sz="4" w:space="0" w:color="4F81BC"/>
            </w:tcBorders>
          </w:tcPr>
          <w:p>
            <w:pPr>
              <w:pStyle w:val="TableParagraph"/>
              <w:spacing w:before="82"/>
              <w:ind w:left="79" w:right="73"/>
              <w:rPr>
                <w:sz w:val="24"/>
              </w:rPr>
            </w:pPr>
            <w:r>
              <w:rPr>
                <w:color w:val="365F91"/>
                <w:sz w:val="24"/>
              </w:rPr>
              <w:t>Instituciones de intermediación crediticia y financiera no bursátil</w:t>
            </w:r>
          </w:p>
        </w:tc>
        <w:tc>
          <w:tcPr>
            <w:tcW w:w="813" w:type="dxa"/>
            <w:tcBorders>
              <w:left w:val="single" w:sz="4" w:space="0" w:color="4F81BC"/>
            </w:tcBorders>
          </w:tcPr>
          <w:p>
            <w:pPr>
              <w:pStyle w:val="TableParagraph"/>
              <w:spacing w:before="82"/>
              <w:ind w:left="76"/>
              <w:rPr>
                <w:sz w:val="24"/>
              </w:rPr>
            </w:pPr>
            <w:r>
              <w:rPr>
                <w:color w:val="365F91"/>
                <w:sz w:val="24"/>
              </w:rPr>
              <w:t>527</w:t>
            </w:r>
          </w:p>
        </w:tc>
        <w:tc>
          <w:tcPr>
            <w:tcW w:w="866" w:type="dxa"/>
          </w:tcPr>
          <w:p>
            <w:pPr>
              <w:pStyle w:val="TableParagraph"/>
              <w:spacing w:before="82"/>
              <w:ind w:left="135"/>
              <w:rPr>
                <w:sz w:val="24"/>
              </w:rPr>
            </w:pPr>
            <w:r>
              <w:rPr>
                <w:color w:val="365F91"/>
                <w:sz w:val="24"/>
              </w:rPr>
              <w:t>3,938</w:t>
            </w:r>
          </w:p>
        </w:tc>
        <w:tc>
          <w:tcPr>
            <w:tcW w:w="849" w:type="dxa"/>
          </w:tcPr>
          <w:p>
            <w:pPr>
              <w:pStyle w:val="TableParagraph"/>
              <w:spacing w:before="82"/>
              <w:ind w:left="133"/>
              <w:rPr>
                <w:sz w:val="24"/>
              </w:rPr>
            </w:pPr>
            <w:r>
              <w:rPr>
                <w:color w:val="365F91"/>
                <w:sz w:val="24"/>
              </w:rPr>
              <w:t>2.6%</w:t>
            </w:r>
          </w:p>
        </w:tc>
        <w:tc>
          <w:tcPr>
            <w:tcW w:w="920" w:type="dxa"/>
          </w:tcPr>
          <w:p>
            <w:pPr>
              <w:pStyle w:val="TableParagraph"/>
              <w:spacing w:before="82"/>
              <w:ind w:left="81"/>
              <w:rPr>
                <w:sz w:val="24"/>
              </w:rPr>
            </w:pPr>
            <w:r>
              <w:rPr>
                <w:color w:val="365F91"/>
                <w:sz w:val="24"/>
              </w:rPr>
              <w:t>647.2</w:t>
            </w:r>
          </w:p>
          <w:p>
            <w:pPr>
              <w:pStyle w:val="TableParagraph"/>
              <w:spacing w:before="1"/>
              <w:ind w:left="81"/>
              <w:rPr>
                <w:sz w:val="24"/>
              </w:rPr>
            </w:pPr>
            <w:r>
              <w:rPr>
                <w:color w:val="365F91"/>
                <w:sz w:val="24"/>
              </w:rPr>
              <w:t>%</w:t>
            </w:r>
          </w:p>
        </w:tc>
      </w:tr>
      <w:tr>
        <w:trPr>
          <w:trHeight w:val="1042" w:hRule="atLeast"/>
        </w:trPr>
        <w:tc>
          <w:tcPr>
            <w:tcW w:w="6635" w:type="dxa"/>
            <w:tcBorders>
              <w:right w:val="single" w:sz="4" w:space="0" w:color="4F81BC"/>
            </w:tcBorders>
          </w:tcPr>
          <w:p>
            <w:pPr>
              <w:pStyle w:val="TableParagraph"/>
              <w:spacing w:before="82"/>
              <w:ind w:left="79" w:right="72"/>
              <w:jc w:val="both"/>
              <w:rPr>
                <w:sz w:val="24"/>
              </w:rPr>
            </w:pPr>
            <w:r>
              <w:rPr>
                <w:color w:val="365F91"/>
                <w:sz w:val="24"/>
              </w:rPr>
              <w:t>Comercio al por mayor de materias primas agropecuarias y forestales para la industria y materiales de desecho</w:t>
            </w:r>
            <w:r>
              <w:rPr>
                <w:color w:val="365F91"/>
                <w:spacing w:val="-2"/>
                <w:sz w:val="24"/>
              </w:rPr>
              <w:t> </w:t>
            </w:r>
            <w:r>
              <w:rPr>
                <w:color w:val="365F91"/>
                <w:sz w:val="24"/>
              </w:rPr>
              <w:t>.</w:t>
            </w:r>
          </w:p>
        </w:tc>
        <w:tc>
          <w:tcPr>
            <w:tcW w:w="813" w:type="dxa"/>
            <w:tcBorders>
              <w:left w:val="single" w:sz="4" w:space="0" w:color="4F81BC"/>
            </w:tcBorders>
            <w:shd w:val="clear" w:color="auto" w:fill="DBE4F0"/>
          </w:tcPr>
          <w:p>
            <w:pPr>
              <w:pStyle w:val="TableParagraph"/>
              <w:spacing w:before="82"/>
              <w:ind w:left="76"/>
              <w:rPr>
                <w:sz w:val="24"/>
              </w:rPr>
            </w:pPr>
            <w:r>
              <w:rPr>
                <w:color w:val="365F91"/>
                <w:sz w:val="24"/>
              </w:rPr>
              <w:t>14,13</w:t>
            </w:r>
          </w:p>
          <w:p>
            <w:pPr>
              <w:pStyle w:val="TableParagraph"/>
              <w:spacing w:before="1"/>
              <w:ind w:left="76"/>
              <w:rPr>
                <w:sz w:val="24"/>
              </w:rPr>
            </w:pPr>
            <w:r>
              <w:rPr>
                <w:color w:val="365F91"/>
                <w:sz w:val="24"/>
              </w:rPr>
              <w:t>0</w:t>
            </w:r>
          </w:p>
        </w:tc>
        <w:tc>
          <w:tcPr>
            <w:tcW w:w="866" w:type="dxa"/>
            <w:shd w:val="clear" w:color="auto" w:fill="DBE4F0"/>
          </w:tcPr>
          <w:p>
            <w:pPr>
              <w:pStyle w:val="TableParagraph"/>
              <w:spacing w:before="82"/>
              <w:ind w:left="135"/>
              <w:rPr>
                <w:sz w:val="24"/>
              </w:rPr>
            </w:pPr>
            <w:r>
              <w:rPr>
                <w:color w:val="365F91"/>
                <w:sz w:val="24"/>
              </w:rPr>
              <w:t>3,747</w:t>
            </w:r>
          </w:p>
        </w:tc>
        <w:tc>
          <w:tcPr>
            <w:tcW w:w="849" w:type="dxa"/>
            <w:shd w:val="clear" w:color="auto" w:fill="DBE4F0"/>
          </w:tcPr>
          <w:p>
            <w:pPr>
              <w:pStyle w:val="TableParagraph"/>
              <w:spacing w:before="82"/>
              <w:ind w:left="133"/>
              <w:rPr>
                <w:sz w:val="24"/>
              </w:rPr>
            </w:pPr>
            <w:r>
              <w:rPr>
                <w:color w:val="365F91"/>
                <w:sz w:val="24"/>
              </w:rPr>
              <w:t>2.5%</w:t>
            </w:r>
          </w:p>
        </w:tc>
        <w:tc>
          <w:tcPr>
            <w:tcW w:w="920" w:type="dxa"/>
            <w:shd w:val="clear" w:color="auto" w:fill="DBE4F0"/>
          </w:tcPr>
          <w:p>
            <w:pPr>
              <w:pStyle w:val="TableParagraph"/>
              <w:spacing w:before="82"/>
              <w:ind w:left="81"/>
              <w:rPr>
                <w:sz w:val="24"/>
              </w:rPr>
            </w:pPr>
            <w:r>
              <w:rPr>
                <w:color w:val="365F91"/>
                <w:sz w:val="24"/>
              </w:rPr>
              <w:t>-73.5%</w:t>
            </w:r>
          </w:p>
        </w:tc>
      </w:tr>
      <w:tr>
        <w:trPr>
          <w:trHeight w:val="748" w:hRule="atLeast"/>
        </w:trPr>
        <w:tc>
          <w:tcPr>
            <w:tcW w:w="6635" w:type="dxa"/>
            <w:tcBorders>
              <w:right w:val="single" w:sz="4" w:space="0" w:color="4F81BC"/>
            </w:tcBorders>
          </w:tcPr>
          <w:p>
            <w:pPr>
              <w:pStyle w:val="TableParagraph"/>
              <w:spacing w:before="85"/>
              <w:ind w:left="79"/>
              <w:rPr>
                <w:sz w:val="24"/>
              </w:rPr>
            </w:pPr>
            <w:r>
              <w:rPr>
                <w:color w:val="365F91"/>
                <w:sz w:val="24"/>
              </w:rPr>
              <w:t>Otros.</w:t>
            </w:r>
          </w:p>
        </w:tc>
        <w:tc>
          <w:tcPr>
            <w:tcW w:w="813" w:type="dxa"/>
            <w:tcBorders>
              <w:left w:val="single" w:sz="4" w:space="0" w:color="4F81BC"/>
            </w:tcBorders>
          </w:tcPr>
          <w:p>
            <w:pPr>
              <w:pStyle w:val="TableParagraph"/>
              <w:spacing w:line="294" w:lineRule="exact" w:before="85"/>
              <w:ind w:left="76"/>
              <w:rPr>
                <w:sz w:val="24"/>
              </w:rPr>
            </w:pPr>
            <w:r>
              <w:rPr>
                <w:color w:val="365F91"/>
                <w:sz w:val="24"/>
              </w:rPr>
              <w:t>28,83</w:t>
            </w:r>
          </w:p>
          <w:p>
            <w:pPr>
              <w:pStyle w:val="TableParagraph"/>
              <w:spacing w:line="294" w:lineRule="exact"/>
              <w:ind w:left="76"/>
              <w:rPr>
                <w:sz w:val="24"/>
              </w:rPr>
            </w:pPr>
            <w:r>
              <w:rPr>
                <w:color w:val="365F91"/>
                <w:sz w:val="24"/>
              </w:rPr>
              <w:t>7</w:t>
            </w:r>
          </w:p>
        </w:tc>
        <w:tc>
          <w:tcPr>
            <w:tcW w:w="866" w:type="dxa"/>
          </w:tcPr>
          <w:p>
            <w:pPr>
              <w:pStyle w:val="TableParagraph"/>
              <w:spacing w:line="294" w:lineRule="exact" w:before="85"/>
              <w:ind w:left="135"/>
              <w:rPr>
                <w:sz w:val="24"/>
              </w:rPr>
            </w:pPr>
            <w:r>
              <w:rPr>
                <w:color w:val="365F91"/>
                <w:sz w:val="24"/>
              </w:rPr>
              <w:t>27,52</w:t>
            </w:r>
          </w:p>
          <w:p>
            <w:pPr>
              <w:pStyle w:val="TableParagraph"/>
              <w:spacing w:line="294" w:lineRule="exact"/>
              <w:ind w:left="135"/>
              <w:rPr>
                <w:sz w:val="24"/>
              </w:rPr>
            </w:pPr>
            <w:r>
              <w:rPr>
                <w:color w:val="365F91"/>
                <w:sz w:val="24"/>
              </w:rPr>
              <w:t>7</w:t>
            </w:r>
          </w:p>
        </w:tc>
        <w:tc>
          <w:tcPr>
            <w:tcW w:w="849" w:type="dxa"/>
          </w:tcPr>
          <w:p>
            <w:pPr>
              <w:pStyle w:val="TableParagraph"/>
              <w:spacing w:line="294" w:lineRule="exact" w:before="85"/>
              <w:ind w:left="133"/>
              <w:rPr>
                <w:sz w:val="24"/>
              </w:rPr>
            </w:pPr>
            <w:r>
              <w:rPr>
                <w:color w:val="365F91"/>
                <w:sz w:val="24"/>
              </w:rPr>
              <w:t>18.4</w:t>
            </w:r>
          </w:p>
          <w:p>
            <w:pPr>
              <w:pStyle w:val="TableParagraph"/>
              <w:spacing w:line="294" w:lineRule="exact"/>
              <w:ind w:left="133"/>
              <w:rPr>
                <w:sz w:val="24"/>
              </w:rPr>
            </w:pPr>
            <w:r>
              <w:rPr>
                <w:color w:val="365F91"/>
                <w:sz w:val="24"/>
              </w:rPr>
              <w:t>%</w:t>
            </w:r>
          </w:p>
        </w:tc>
        <w:tc>
          <w:tcPr>
            <w:tcW w:w="920" w:type="dxa"/>
          </w:tcPr>
          <w:p>
            <w:pPr>
              <w:pStyle w:val="TableParagraph"/>
              <w:spacing w:before="85"/>
              <w:ind w:left="81"/>
              <w:rPr>
                <w:sz w:val="24"/>
              </w:rPr>
            </w:pPr>
            <w:r>
              <w:rPr>
                <w:color w:val="365F91"/>
                <w:sz w:val="24"/>
              </w:rPr>
              <w:t>-4.5%</w:t>
            </w:r>
          </w:p>
        </w:tc>
      </w:tr>
    </w:tbl>
    <w:p>
      <w:pPr>
        <w:pStyle w:val="BodyText"/>
        <w:spacing w:before="10"/>
        <w:rPr>
          <w:rFonts w:ascii="Corbel"/>
          <w:sz w:val="6"/>
        </w:rPr>
      </w:pPr>
    </w:p>
    <w:p>
      <w:pPr>
        <w:spacing w:before="102"/>
        <w:ind w:left="1001" w:right="1257" w:firstLine="0"/>
        <w:jc w:val="center"/>
        <w:rPr>
          <w:sz w:val="15"/>
        </w:rPr>
      </w:pPr>
      <w:r>
        <w:rPr>
          <w:b/>
          <w:sz w:val="15"/>
        </w:rPr>
        <w:t>Fuente: </w:t>
      </w:r>
      <w:r>
        <w:rPr>
          <w:color w:val="333333"/>
          <w:sz w:val="15"/>
        </w:rPr>
        <w:t>IIEG, Instituto de Información Estadística y Geográfica del Estado de Jalisco; con información de INEGI, DENUE.</w:t>
      </w:r>
    </w:p>
    <w:p>
      <w:pPr>
        <w:spacing w:after="0"/>
        <w:jc w:val="center"/>
        <w:rPr>
          <w:sz w:val="15"/>
        </w:rPr>
        <w:sectPr>
          <w:pgSz w:w="12240" w:h="15840"/>
          <w:pgMar w:header="178" w:footer="1233" w:top="1120" w:bottom="1360" w:left="460" w:right="2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pStyle w:val="Heading2"/>
        <w:spacing w:before="50"/>
      </w:pPr>
      <w:r>
        <w:rPr/>
        <w:t>Empleo</w:t>
      </w:r>
    </w:p>
    <w:p>
      <w:pPr>
        <w:pStyle w:val="BodyText"/>
        <w:spacing w:before="9"/>
        <w:rPr>
          <w:rFonts w:ascii="Corbel"/>
          <w:b/>
          <w:sz w:val="25"/>
        </w:rPr>
      </w:pPr>
    </w:p>
    <w:p>
      <w:pPr>
        <w:pStyle w:val="BodyText"/>
        <w:ind w:left="901"/>
        <w:jc w:val="both"/>
      </w:pPr>
      <w:r>
        <w:rPr/>
        <w:t>Trabajadores asegurados en el IMSS</w:t>
      </w:r>
    </w:p>
    <w:p>
      <w:pPr>
        <w:pStyle w:val="BodyText"/>
        <w:spacing w:line="276" w:lineRule="auto" w:before="40"/>
        <w:ind w:left="901" w:right="1154"/>
        <w:jc w:val="both"/>
      </w:pPr>
      <w:r>
        <w:rPr/>
        <w:t>El número de trabajadores asegurados registrados ante el IMSS, ha incrementado 157 trabajadores en diciembre del 2017 en comparación con diciembre del 2013, pero hubo también un decremento de 103 trabajadores a lo reflejado en diciembre del 2016, lo que representa una disminución en las actividades</w:t>
      </w:r>
      <w:r>
        <w:rPr>
          <w:spacing w:val="-12"/>
        </w:rPr>
        <w:t> </w:t>
      </w:r>
      <w:r>
        <w:rPr/>
        <w:t>económicas.</w:t>
      </w:r>
    </w:p>
    <w:p>
      <w:pPr>
        <w:pStyle w:val="BodyText"/>
        <w:spacing w:before="3"/>
        <w:rPr>
          <w:sz w:val="25"/>
        </w:rPr>
      </w:pPr>
    </w:p>
    <w:p>
      <w:pPr>
        <w:pStyle w:val="BodyText"/>
        <w:spacing w:line="276" w:lineRule="auto"/>
        <w:ind w:left="901" w:right="1157"/>
        <w:jc w:val="both"/>
      </w:pPr>
      <w:r>
        <w:rPr/>
        <w:t>La disminución que se presentó en diciembre de 2017 fue en 4 grupos económicos, 104 trabajadores en construcción de edificaciones y obras de ingeniería civil, 31 trabajadores en servicios de administración pública y seguridad social, 10 trabajadores en compraventa en tiendas de autoservicios y departamentos especializados y 7 trabajadores en otras, la disminución más relevante refleja que hay menos construcciones o que omiten los requisitos correspondientes a sus trabajadores.</w:t>
      </w:r>
    </w:p>
    <w:p>
      <w:pPr>
        <w:pStyle w:val="BodyText"/>
        <w:rPr>
          <w:sz w:val="26"/>
        </w:rPr>
      </w:pPr>
    </w:p>
    <w:p>
      <w:pPr>
        <w:pStyle w:val="BodyText"/>
        <w:spacing w:before="213"/>
        <w:ind w:left="3652" w:right="3910"/>
        <w:jc w:val="center"/>
        <w:rPr>
          <w:rFonts w:ascii="Corbel"/>
        </w:rPr>
      </w:pPr>
      <w:r>
        <w:rPr>
          <w:rFonts w:ascii="Corbel"/>
          <w:color w:val="333333"/>
          <w:spacing w:val="-1"/>
          <w:w w:val="100"/>
        </w:rPr>
        <w:t>T</w:t>
      </w:r>
      <w:r>
        <w:rPr>
          <w:rFonts w:ascii="Corbel"/>
          <w:color w:val="333333"/>
          <w:spacing w:val="-2"/>
          <w:w w:val="100"/>
        </w:rPr>
        <w:t>A</w:t>
      </w:r>
      <w:r>
        <w:rPr>
          <w:rFonts w:ascii="Corbel"/>
          <w:color w:val="333333"/>
          <w:w w:val="100"/>
        </w:rPr>
        <w:t>BLA</w:t>
      </w:r>
      <w:r>
        <w:rPr>
          <w:rFonts w:ascii="Corbel"/>
          <w:color w:val="333333"/>
          <w:spacing w:val="-2"/>
        </w:rPr>
        <w:t> </w:t>
      </w:r>
      <w:r>
        <w:rPr>
          <w:rFonts w:ascii="Corbel"/>
          <w:smallCaps/>
          <w:color w:val="333333"/>
          <w:spacing w:val="-1"/>
          <w:w w:val="100"/>
        </w:rPr>
        <w:t>14</w:t>
      </w:r>
      <w:r>
        <w:rPr>
          <w:rFonts w:ascii="Corbel"/>
          <w:smallCaps/>
          <w:color w:val="333333"/>
          <w:w w:val="100"/>
        </w:rPr>
        <w:t>.</w:t>
      </w:r>
      <w:r>
        <w:rPr>
          <w:rFonts w:ascii="Corbel"/>
          <w:smallCaps w:val="0"/>
          <w:color w:val="333333"/>
          <w:spacing w:val="-1"/>
        </w:rPr>
        <w:t> </w:t>
      </w:r>
      <w:r>
        <w:rPr>
          <w:rFonts w:ascii="Corbel"/>
          <w:smallCaps w:val="0"/>
          <w:color w:val="333333"/>
          <w:spacing w:val="-1"/>
          <w:w w:val="100"/>
        </w:rPr>
        <w:t>T</w:t>
      </w:r>
      <w:r>
        <w:rPr>
          <w:rFonts w:ascii="Corbel"/>
          <w:smallCaps w:val="0"/>
          <w:color w:val="333333"/>
          <w:spacing w:val="-2"/>
          <w:w w:val="100"/>
        </w:rPr>
        <w:t>RA</w:t>
      </w:r>
      <w:r>
        <w:rPr>
          <w:rFonts w:ascii="Corbel"/>
          <w:smallCaps w:val="0"/>
          <w:color w:val="333333"/>
          <w:w w:val="100"/>
        </w:rPr>
        <w:t>B</w:t>
      </w:r>
      <w:r>
        <w:rPr>
          <w:rFonts w:ascii="Corbel"/>
          <w:smallCaps w:val="0"/>
          <w:color w:val="333333"/>
          <w:spacing w:val="-2"/>
          <w:w w:val="100"/>
        </w:rPr>
        <w:t>A</w:t>
      </w:r>
      <w:r>
        <w:rPr>
          <w:rFonts w:ascii="Corbel"/>
          <w:smallCaps w:val="0"/>
          <w:color w:val="333333"/>
          <w:spacing w:val="-1"/>
          <w:w w:val="100"/>
        </w:rPr>
        <w:t>J</w:t>
      </w:r>
      <w:r>
        <w:rPr>
          <w:rFonts w:ascii="Corbel"/>
          <w:smallCaps w:val="0"/>
          <w:color w:val="333333"/>
          <w:spacing w:val="-2"/>
          <w:w w:val="100"/>
        </w:rPr>
        <w:t>A</w:t>
      </w:r>
      <w:r>
        <w:rPr>
          <w:rFonts w:ascii="Corbel"/>
          <w:smallCaps w:val="0"/>
          <w:color w:val="333333"/>
          <w:w w:val="100"/>
        </w:rPr>
        <w:t>DO</w:t>
      </w:r>
      <w:r>
        <w:rPr>
          <w:rFonts w:ascii="Corbel"/>
          <w:smallCaps w:val="0"/>
          <w:color w:val="333333"/>
          <w:spacing w:val="-1"/>
          <w:w w:val="100"/>
        </w:rPr>
        <w:t>R</w:t>
      </w:r>
      <w:r>
        <w:rPr>
          <w:rFonts w:ascii="Corbel"/>
          <w:smallCaps w:val="0"/>
          <w:color w:val="333333"/>
          <w:w w:val="100"/>
        </w:rPr>
        <w:t>ES</w:t>
      </w:r>
      <w:r>
        <w:rPr>
          <w:rFonts w:ascii="Corbel"/>
          <w:smallCaps w:val="0"/>
          <w:color w:val="333333"/>
        </w:rPr>
        <w:t> </w:t>
      </w:r>
      <w:r>
        <w:rPr>
          <w:rFonts w:ascii="Corbel"/>
          <w:smallCaps w:val="0"/>
          <w:color w:val="333333"/>
          <w:spacing w:val="-2"/>
          <w:w w:val="100"/>
        </w:rPr>
        <w:t>A</w:t>
      </w:r>
      <w:r>
        <w:rPr>
          <w:rFonts w:ascii="Corbel"/>
          <w:smallCaps w:val="0"/>
          <w:color w:val="333333"/>
          <w:w w:val="100"/>
        </w:rPr>
        <w:t>S</w:t>
      </w:r>
      <w:r>
        <w:rPr>
          <w:rFonts w:ascii="Corbel"/>
          <w:smallCaps w:val="0"/>
          <w:color w:val="333333"/>
          <w:spacing w:val="1"/>
          <w:w w:val="100"/>
        </w:rPr>
        <w:t>E</w:t>
      </w:r>
      <w:r>
        <w:rPr>
          <w:rFonts w:ascii="Corbel"/>
          <w:smallCaps w:val="0"/>
          <w:color w:val="333333"/>
          <w:spacing w:val="-2"/>
          <w:w w:val="100"/>
        </w:rPr>
        <w:t>G</w:t>
      </w:r>
      <w:r>
        <w:rPr>
          <w:rFonts w:ascii="Corbel"/>
          <w:smallCaps w:val="0"/>
          <w:color w:val="333333"/>
          <w:w w:val="100"/>
        </w:rPr>
        <w:t>UR</w:t>
      </w:r>
      <w:r>
        <w:rPr>
          <w:rFonts w:ascii="Corbel"/>
          <w:smallCaps w:val="0"/>
          <w:color w:val="333333"/>
          <w:spacing w:val="-2"/>
          <w:w w:val="100"/>
        </w:rPr>
        <w:t>A</w:t>
      </w:r>
      <w:r>
        <w:rPr>
          <w:rFonts w:ascii="Corbel"/>
          <w:smallCaps w:val="0"/>
          <w:color w:val="333333"/>
          <w:w w:val="100"/>
        </w:rPr>
        <w:t>DOS M</w:t>
      </w:r>
      <w:r>
        <w:rPr>
          <w:rFonts w:ascii="Corbel"/>
          <w:smallCaps w:val="0"/>
          <w:color w:val="333333"/>
          <w:spacing w:val="-2"/>
          <w:w w:val="100"/>
        </w:rPr>
        <w:t>AG</w:t>
      </w:r>
      <w:r>
        <w:rPr>
          <w:rFonts w:ascii="Corbel"/>
          <w:smallCaps w:val="0"/>
          <w:color w:val="333333"/>
          <w:w w:val="100"/>
        </w:rPr>
        <w:t>DALENA,</w:t>
      </w:r>
      <w:r>
        <w:rPr>
          <w:rFonts w:ascii="Corbel"/>
          <w:smallCaps w:val="0"/>
          <w:color w:val="333333"/>
          <w:spacing w:val="-2"/>
        </w:rPr>
        <w:t> </w:t>
      </w:r>
      <w:r>
        <w:rPr>
          <w:rFonts w:ascii="Corbel"/>
          <w:smallCaps w:val="0"/>
          <w:color w:val="333333"/>
          <w:spacing w:val="-1"/>
          <w:w w:val="100"/>
        </w:rPr>
        <w:t>J</w:t>
      </w:r>
      <w:r>
        <w:rPr>
          <w:rFonts w:ascii="Corbel"/>
          <w:smallCaps w:val="0"/>
          <w:color w:val="333333"/>
          <w:spacing w:val="-2"/>
          <w:w w:val="100"/>
        </w:rPr>
        <w:t>A</w:t>
      </w:r>
      <w:r>
        <w:rPr>
          <w:rFonts w:ascii="Corbel"/>
          <w:smallCaps w:val="0"/>
          <w:color w:val="333333"/>
          <w:w w:val="100"/>
        </w:rPr>
        <w:t>L</w:t>
      </w:r>
      <w:r>
        <w:rPr>
          <w:rFonts w:ascii="Corbel"/>
          <w:smallCaps w:val="0"/>
          <w:color w:val="333333"/>
          <w:spacing w:val="1"/>
          <w:w w:val="100"/>
        </w:rPr>
        <w:t>I</w:t>
      </w:r>
      <w:r>
        <w:rPr>
          <w:rFonts w:ascii="Corbel"/>
          <w:smallCaps w:val="0"/>
          <w:color w:val="333333"/>
          <w:w w:val="100"/>
        </w:rPr>
        <w:t>SCO</w:t>
      </w:r>
      <w:r>
        <w:rPr>
          <w:rFonts w:ascii="Corbel"/>
          <w:smallCaps w:val="0"/>
          <w:color w:val="333333"/>
          <w:spacing w:val="-1"/>
        </w:rPr>
        <w:t> </w:t>
      </w:r>
      <w:r>
        <w:rPr>
          <w:rFonts w:ascii="Corbel"/>
          <w:smallCaps/>
          <w:color w:val="333333"/>
          <w:spacing w:val="-3"/>
          <w:w w:val="100"/>
        </w:rPr>
        <w:t>2</w:t>
      </w:r>
      <w:r>
        <w:rPr>
          <w:rFonts w:ascii="Corbel"/>
          <w:smallCaps w:val="0"/>
          <w:color w:val="333333"/>
          <w:spacing w:val="-1"/>
          <w:w w:val="100"/>
        </w:rPr>
        <w:t>0</w:t>
      </w:r>
      <w:r>
        <w:rPr>
          <w:rFonts w:ascii="Corbel"/>
          <w:smallCaps/>
          <w:color w:val="333333"/>
          <w:spacing w:val="-1"/>
          <w:w w:val="100"/>
        </w:rPr>
        <w:t>1</w:t>
      </w:r>
      <w:r>
        <w:rPr>
          <w:rFonts w:ascii="Corbel"/>
          <w:smallCaps/>
          <w:color w:val="333333"/>
          <w:w w:val="100"/>
        </w:rPr>
        <w:t>3</w:t>
      </w:r>
      <w:r>
        <w:rPr>
          <w:rFonts w:ascii="Corbel"/>
          <w:smallCaps w:val="0"/>
          <w:color w:val="333333"/>
          <w:w w:val="100"/>
        </w:rPr>
        <w:t>-</w:t>
      </w:r>
      <w:r>
        <w:rPr>
          <w:rFonts w:ascii="Corbel"/>
          <w:smallCaps/>
          <w:color w:val="333333"/>
          <w:w w:val="100"/>
        </w:rPr>
        <w:t>2</w:t>
      </w:r>
      <w:r>
        <w:rPr>
          <w:rFonts w:ascii="Corbel"/>
          <w:smallCaps/>
          <w:color w:val="333333"/>
          <w:spacing w:val="-1"/>
          <w:w w:val="100"/>
        </w:rPr>
        <w:t>017</w:t>
      </w:r>
    </w:p>
    <w:p>
      <w:pPr>
        <w:pStyle w:val="BodyText"/>
        <w:spacing w:before="10" w:after="1"/>
        <w:rPr>
          <w:rFonts w:ascii="Corbel"/>
          <w:sz w:val="24"/>
        </w:rPr>
      </w:pPr>
    </w:p>
    <w:tbl>
      <w:tblPr>
        <w:tblW w:w="0" w:type="auto"/>
        <w:jc w:val="left"/>
        <w:tblInd w:w="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3"/>
        <w:gridCol w:w="633"/>
        <w:gridCol w:w="708"/>
        <w:gridCol w:w="707"/>
        <w:gridCol w:w="734"/>
        <w:gridCol w:w="763"/>
        <w:gridCol w:w="1160"/>
        <w:gridCol w:w="948"/>
      </w:tblGrid>
      <w:tr>
        <w:trPr>
          <w:trHeight w:val="1213" w:hRule="atLeast"/>
        </w:trPr>
        <w:tc>
          <w:tcPr>
            <w:tcW w:w="4643" w:type="dxa"/>
            <w:tcBorders>
              <w:bottom w:val="single" w:sz="6" w:space="0" w:color="4F81BC"/>
              <w:right w:val="single" w:sz="4" w:space="0" w:color="4F81BC"/>
            </w:tcBorders>
          </w:tcPr>
          <w:p>
            <w:pPr>
              <w:pStyle w:val="TableParagraph"/>
              <w:spacing w:line="220" w:lineRule="exact"/>
              <w:ind w:left="79"/>
              <w:rPr>
                <w:sz w:val="18"/>
              </w:rPr>
            </w:pPr>
            <w:r>
              <w:rPr>
                <w:color w:val="365F91"/>
                <w:sz w:val="18"/>
              </w:rPr>
              <w:t>GRUPOS ECONÓMICOS</w:t>
            </w:r>
          </w:p>
        </w:tc>
        <w:tc>
          <w:tcPr>
            <w:tcW w:w="633" w:type="dxa"/>
            <w:tcBorders>
              <w:left w:val="single" w:sz="4" w:space="0" w:color="4F81BC"/>
              <w:bottom w:val="single" w:sz="6" w:space="0" w:color="4F81BC"/>
            </w:tcBorders>
          </w:tcPr>
          <w:p>
            <w:pPr>
              <w:pStyle w:val="TableParagraph"/>
              <w:ind w:left="73" w:right="135"/>
              <w:rPr>
                <w:sz w:val="18"/>
              </w:rPr>
            </w:pPr>
            <w:r>
              <w:rPr>
                <w:color w:val="365F91"/>
                <w:sz w:val="18"/>
              </w:rPr>
              <w:t>Dic. 2013</w:t>
            </w:r>
          </w:p>
        </w:tc>
        <w:tc>
          <w:tcPr>
            <w:tcW w:w="708" w:type="dxa"/>
            <w:tcBorders>
              <w:bottom w:val="single" w:sz="6" w:space="0" w:color="4F81BC"/>
            </w:tcBorders>
          </w:tcPr>
          <w:p>
            <w:pPr>
              <w:pStyle w:val="TableParagraph"/>
              <w:ind w:left="153" w:right="135"/>
              <w:rPr>
                <w:sz w:val="18"/>
              </w:rPr>
            </w:pPr>
            <w:r>
              <w:rPr>
                <w:color w:val="365F91"/>
                <w:sz w:val="18"/>
              </w:rPr>
              <w:t>Dic. 2014</w:t>
            </w:r>
          </w:p>
        </w:tc>
        <w:tc>
          <w:tcPr>
            <w:tcW w:w="707" w:type="dxa"/>
            <w:tcBorders>
              <w:bottom w:val="single" w:sz="6" w:space="0" w:color="4F81BC"/>
            </w:tcBorders>
          </w:tcPr>
          <w:p>
            <w:pPr>
              <w:pStyle w:val="TableParagraph"/>
              <w:ind w:left="154" w:right="133"/>
              <w:rPr>
                <w:sz w:val="18"/>
              </w:rPr>
            </w:pPr>
            <w:r>
              <w:rPr>
                <w:color w:val="365F91"/>
                <w:sz w:val="18"/>
              </w:rPr>
              <w:t>Dic. 2015</w:t>
            </w:r>
          </w:p>
        </w:tc>
        <w:tc>
          <w:tcPr>
            <w:tcW w:w="734" w:type="dxa"/>
            <w:tcBorders>
              <w:bottom w:val="single" w:sz="6" w:space="0" w:color="4F81BC"/>
            </w:tcBorders>
          </w:tcPr>
          <w:p>
            <w:pPr>
              <w:pStyle w:val="TableParagraph"/>
              <w:ind w:left="152" w:right="162"/>
              <w:rPr>
                <w:sz w:val="18"/>
              </w:rPr>
            </w:pPr>
            <w:r>
              <w:rPr>
                <w:color w:val="365F91"/>
                <w:sz w:val="18"/>
              </w:rPr>
              <w:t>Dic. 2016</w:t>
            </w:r>
          </w:p>
        </w:tc>
        <w:tc>
          <w:tcPr>
            <w:tcW w:w="763" w:type="dxa"/>
            <w:tcBorders>
              <w:bottom w:val="single" w:sz="6" w:space="0" w:color="4F81BC"/>
            </w:tcBorders>
          </w:tcPr>
          <w:p>
            <w:pPr>
              <w:pStyle w:val="TableParagraph"/>
              <w:ind w:left="182" w:right="161"/>
              <w:rPr>
                <w:sz w:val="18"/>
              </w:rPr>
            </w:pPr>
            <w:r>
              <w:rPr>
                <w:color w:val="365F91"/>
                <w:sz w:val="18"/>
              </w:rPr>
              <w:t>Dic. 2017</w:t>
            </w:r>
          </w:p>
        </w:tc>
        <w:tc>
          <w:tcPr>
            <w:tcW w:w="1160" w:type="dxa"/>
            <w:tcBorders>
              <w:bottom w:val="single" w:sz="6" w:space="0" w:color="4F81BC"/>
            </w:tcBorders>
          </w:tcPr>
          <w:p>
            <w:pPr>
              <w:pStyle w:val="TableParagraph"/>
              <w:tabs>
                <w:tab w:pos="720" w:val="left" w:leader="none"/>
              </w:tabs>
              <w:ind w:left="182" w:right="76"/>
              <w:rPr>
                <w:sz w:val="18"/>
              </w:rPr>
            </w:pPr>
            <w:r>
              <w:rPr>
                <w:color w:val="365F91"/>
                <w:sz w:val="18"/>
              </w:rPr>
              <w:t>%</w:t>
              <w:tab/>
            </w:r>
            <w:r>
              <w:rPr>
                <w:color w:val="365F91"/>
                <w:spacing w:val="-5"/>
                <w:sz w:val="18"/>
              </w:rPr>
              <w:t>part </w:t>
            </w:r>
            <w:r>
              <w:rPr>
                <w:color w:val="365F91"/>
                <w:sz w:val="18"/>
              </w:rPr>
              <w:t>2017</w:t>
            </w:r>
          </w:p>
        </w:tc>
        <w:tc>
          <w:tcPr>
            <w:tcW w:w="948" w:type="dxa"/>
            <w:tcBorders>
              <w:bottom w:val="single" w:sz="6" w:space="0" w:color="4F81BC"/>
            </w:tcBorders>
          </w:tcPr>
          <w:p>
            <w:pPr>
              <w:pStyle w:val="TableParagraph"/>
              <w:ind w:left="81" w:right="77"/>
              <w:rPr>
                <w:sz w:val="18"/>
              </w:rPr>
            </w:pPr>
            <w:r>
              <w:rPr>
                <w:color w:val="365F91"/>
                <w:sz w:val="18"/>
              </w:rPr>
              <w:t>Var. Abs 2013-</w:t>
            </w:r>
          </w:p>
          <w:p>
            <w:pPr>
              <w:pStyle w:val="TableParagraph"/>
              <w:ind w:left="81"/>
              <w:rPr>
                <w:sz w:val="18"/>
              </w:rPr>
            </w:pPr>
            <w:r>
              <w:rPr>
                <w:color w:val="365F91"/>
                <w:sz w:val="18"/>
              </w:rPr>
              <w:t>2017</w:t>
            </w:r>
          </w:p>
        </w:tc>
      </w:tr>
      <w:tr>
        <w:trPr>
          <w:trHeight w:val="732" w:hRule="atLeast"/>
        </w:trPr>
        <w:tc>
          <w:tcPr>
            <w:tcW w:w="4643" w:type="dxa"/>
            <w:tcBorders>
              <w:top w:val="single" w:sz="6" w:space="0" w:color="4F81BC"/>
              <w:right w:val="single" w:sz="4" w:space="0" w:color="4F81BC"/>
            </w:tcBorders>
          </w:tcPr>
          <w:p>
            <w:pPr>
              <w:pStyle w:val="TableParagraph"/>
              <w:tabs>
                <w:tab w:pos="1461" w:val="left" w:leader="none"/>
                <w:tab w:pos="1917" w:val="left" w:leader="none"/>
                <w:tab w:pos="3308" w:val="left" w:leader="none"/>
                <w:tab w:pos="3620" w:val="left" w:leader="none"/>
                <w:tab w:pos="4323" w:val="left" w:leader="none"/>
              </w:tabs>
              <w:spacing w:before="76"/>
              <w:ind w:left="79" w:right="74"/>
              <w:rPr>
                <w:sz w:val="18"/>
              </w:rPr>
            </w:pPr>
            <w:r>
              <w:rPr>
                <w:color w:val="365F91"/>
                <w:sz w:val="18"/>
              </w:rPr>
              <w:t>Construcción</w:t>
              <w:tab/>
              <w:t>de</w:t>
              <w:tab/>
              <w:t>edificaciones</w:t>
              <w:tab/>
              <w:t>y</w:t>
              <w:tab/>
              <w:t>obras</w:t>
              <w:tab/>
            </w:r>
            <w:r>
              <w:rPr>
                <w:color w:val="365F91"/>
                <w:spacing w:val="-10"/>
                <w:sz w:val="18"/>
              </w:rPr>
              <w:t>de </w:t>
            </w:r>
            <w:r>
              <w:rPr>
                <w:color w:val="365F91"/>
                <w:sz w:val="18"/>
              </w:rPr>
              <w:t>ingeniería civil</w:t>
            </w:r>
          </w:p>
        </w:tc>
        <w:tc>
          <w:tcPr>
            <w:tcW w:w="633" w:type="dxa"/>
            <w:tcBorders>
              <w:top w:val="single" w:sz="6" w:space="0" w:color="4F81BC"/>
              <w:left w:val="single" w:sz="4" w:space="0" w:color="4F81BC"/>
            </w:tcBorders>
            <w:shd w:val="clear" w:color="auto" w:fill="DBE4F0"/>
          </w:tcPr>
          <w:p>
            <w:pPr>
              <w:pStyle w:val="TableParagraph"/>
              <w:spacing w:before="76"/>
              <w:ind w:left="73"/>
              <w:rPr>
                <w:sz w:val="18"/>
              </w:rPr>
            </w:pPr>
            <w:r>
              <w:rPr>
                <w:color w:val="365F91"/>
                <w:sz w:val="18"/>
              </w:rPr>
              <w:t>195</w:t>
            </w:r>
          </w:p>
        </w:tc>
        <w:tc>
          <w:tcPr>
            <w:tcW w:w="708" w:type="dxa"/>
            <w:tcBorders>
              <w:top w:val="single" w:sz="6" w:space="0" w:color="4F81BC"/>
            </w:tcBorders>
            <w:shd w:val="clear" w:color="auto" w:fill="DBE4F0"/>
          </w:tcPr>
          <w:p>
            <w:pPr>
              <w:pStyle w:val="TableParagraph"/>
              <w:spacing w:before="76"/>
              <w:ind w:left="153"/>
              <w:rPr>
                <w:sz w:val="18"/>
              </w:rPr>
            </w:pPr>
            <w:r>
              <w:rPr>
                <w:color w:val="365F91"/>
                <w:sz w:val="18"/>
              </w:rPr>
              <w:t>142</w:t>
            </w:r>
          </w:p>
        </w:tc>
        <w:tc>
          <w:tcPr>
            <w:tcW w:w="707" w:type="dxa"/>
            <w:tcBorders>
              <w:top w:val="single" w:sz="6" w:space="0" w:color="4F81BC"/>
            </w:tcBorders>
            <w:shd w:val="clear" w:color="auto" w:fill="DBE4F0"/>
          </w:tcPr>
          <w:p>
            <w:pPr>
              <w:pStyle w:val="TableParagraph"/>
              <w:spacing w:before="76"/>
              <w:ind w:left="154"/>
              <w:rPr>
                <w:sz w:val="18"/>
              </w:rPr>
            </w:pPr>
            <w:r>
              <w:rPr>
                <w:color w:val="365F91"/>
                <w:sz w:val="18"/>
              </w:rPr>
              <w:t>80</w:t>
            </w:r>
          </w:p>
        </w:tc>
        <w:tc>
          <w:tcPr>
            <w:tcW w:w="734" w:type="dxa"/>
            <w:tcBorders>
              <w:top w:val="single" w:sz="6" w:space="0" w:color="4F81BC"/>
            </w:tcBorders>
            <w:shd w:val="clear" w:color="auto" w:fill="DBE4F0"/>
          </w:tcPr>
          <w:p>
            <w:pPr>
              <w:pStyle w:val="TableParagraph"/>
              <w:spacing w:before="76"/>
              <w:ind w:left="152"/>
              <w:rPr>
                <w:sz w:val="18"/>
              </w:rPr>
            </w:pPr>
            <w:r>
              <w:rPr>
                <w:color w:val="365F91"/>
                <w:sz w:val="18"/>
              </w:rPr>
              <w:t>536</w:t>
            </w:r>
          </w:p>
        </w:tc>
        <w:tc>
          <w:tcPr>
            <w:tcW w:w="763" w:type="dxa"/>
            <w:tcBorders>
              <w:top w:val="single" w:sz="6" w:space="0" w:color="4F81BC"/>
            </w:tcBorders>
            <w:shd w:val="clear" w:color="auto" w:fill="DBE4F0"/>
          </w:tcPr>
          <w:p>
            <w:pPr>
              <w:pStyle w:val="TableParagraph"/>
              <w:spacing w:before="76"/>
              <w:ind w:left="182"/>
              <w:rPr>
                <w:sz w:val="18"/>
              </w:rPr>
            </w:pPr>
            <w:r>
              <w:rPr>
                <w:color w:val="365F91"/>
                <w:sz w:val="18"/>
              </w:rPr>
              <w:t>432</w:t>
            </w:r>
          </w:p>
        </w:tc>
        <w:tc>
          <w:tcPr>
            <w:tcW w:w="1160" w:type="dxa"/>
            <w:tcBorders>
              <w:top w:val="single" w:sz="6" w:space="0" w:color="4F81BC"/>
            </w:tcBorders>
            <w:shd w:val="clear" w:color="auto" w:fill="DBE4F0"/>
          </w:tcPr>
          <w:p>
            <w:pPr>
              <w:pStyle w:val="TableParagraph"/>
              <w:spacing w:before="76"/>
              <w:ind w:left="182"/>
              <w:rPr>
                <w:sz w:val="18"/>
              </w:rPr>
            </w:pPr>
            <w:r>
              <w:rPr>
                <w:color w:val="365F91"/>
                <w:sz w:val="18"/>
              </w:rPr>
              <w:t>37.6%</w:t>
            </w:r>
          </w:p>
        </w:tc>
        <w:tc>
          <w:tcPr>
            <w:tcW w:w="948" w:type="dxa"/>
            <w:tcBorders>
              <w:top w:val="single" w:sz="6" w:space="0" w:color="4F81BC"/>
            </w:tcBorders>
            <w:shd w:val="clear" w:color="auto" w:fill="DBE4F0"/>
          </w:tcPr>
          <w:p>
            <w:pPr>
              <w:pStyle w:val="TableParagraph"/>
              <w:spacing w:before="76"/>
              <w:ind w:left="81"/>
              <w:rPr>
                <w:sz w:val="18"/>
              </w:rPr>
            </w:pPr>
            <w:r>
              <w:rPr>
                <w:color w:val="365F91"/>
                <w:sz w:val="18"/>
              </w:rPr>
              <w:t>237</w:t>
            </w:r>
          </w:p>
        </w:tc>
      </w:tr>
      <w:tr>
        <w:trPr>
          <w:trHeight w:val="739" w:hRule="atLeast"/>
        </w:trPr>
        <w:tc>
          <w:tcPr>
            <w:tcW w:w="4643" w:type="dxa"/>
            <w:tcBorders>
              <w:right w:val="single" w:sz="4" w:space="0" w:color="4F81BC"/>
            </w:tcBorders>
          </w:tcPr>
          <w:p>
            <w:pPr>
              <w:pStyle w:val="TableParagraph"/>
              <w:spacing w:before="78"/>
              <w:ind w:left="79"/>
              <w:rPr>
                <w:sz w:val="18"/>
              </w:rPr>
            </w:pPr>
            <w:r>
              <w:rPr>
                <w:color w:val="365F91"/>
                <w:sz w:val="18"/>
              </w:rPr>
              <w:t>Servicios de administración pública y seguridad social</w:t>
            </w:r>
          </w:p>
        </w:tc>
        <w:tc>
          <w:tcPr>
            <w:tcW w:w="633" w:type="dxa"/>
            <w:tcBorders>
              <w:left w:val="single" w:sz="4" w:space="0" w:color="4F81BC"/>
            </w:tcBorders>
          </w:tcPr>
          <w:p>
            <w:pPr>
              <w:pStyle w:val="TableParagraph"/>
              <w:spacing w:before="78"/>
              <w:ind w:left="73"/>
              <w:rPr>
                <w:sz w:val="18"/>
              </w:rPr>
            </w:pPr>
            <w:r>
              <w:rPr>
                <w:color w:val="365F91"/>
                <w:sz w:val="18"/>
              </w:rPr>
              <w:t>340</w:t>
            </w:r>
          </w:p>
        </w:tc>
        <w:tc>
          <w:tcPr>
            <w:tcW w:w="708" w:type="dxa"/>
          </w:tcPr>
          <w:p>
            <w:pPr>
              <w:pStyle w:val="TableParagraph"/>
              <w:spacing w:before="78"/>
              <w:ind w:left="153"/>
              <w:rPr>
                <w:sz w:val="18"/>
              </w:rPr>
            </w:pPr>
            <w:r>
              <w:rPr>
                <w:color w:val="365F91"/>
                <w:sz w:val="18"/>
              </w:rPr>
              <w:t>299</w:t>
            </w:r>
          </w:p>
        </w:tc>
        <w:tc>
          <w:tcPr>
            <w:tcW w:w="707" w:type="dxa"/>
          </w:tcPr>
          <w:p>
            <w:pPr>
              <w:pStyle w:val="TableParagraph"/>
              <w:spacing w:before="78"/>
              <w:ind w:left="154"/>
              <w:rPr>
                <w:sz w:val="18"/>
              </w:rPr>
            </w:pPr>
            <w:r>
              <w:rPr>
                <w:color w:val="365F91"/>
                <w:sz w:val="18"/>
              </w:rPr>
              <w:t>254</w:t>
            </w:r>
          </w:p>
        </w:tc>
        <w:tc>
          <w:tcPr>
            <w:tcW w:w="734" w:type="dxa"/>
          </w:tcPr>
          <w:p>
            <w:pPr>
              <w:pStyle w:val="TableParagraph"/>
              <w:spacing w:before="78"/>
              <w:ind w:left="152"/>
              <w:rPr>
                <w:sz w:val="18"/>
              </w:rPr>
            </w:pPr>
            <w:r>
              <w:rPr>
                <w:color w:val="365F91"/>
                <w:sz w:val="18"/>
              </w:rPr>
              <w:t>257</w:t>
            </w:r>
          </w:p>
        </w:tc>
        <w:tc>
          <w:tcPr>
            <w:tcW w:w="763" w:type="dxa"/>
          </w:tcPr>
          <w:p>
            <w:pPr>
              <w:pStyle w:val="TableParagraph"/>
              <w:spacing w:before="78"/>
              <w:ind w:left="182"/>
              <w:rPr>
                <w:sz w:val="18"/>
              </w:rPr>
            </w:pPr>
            <w:r>
              <w:rPr>
                <w:color w:val="365F91"/>
                <w:sz w:val="18"/>
              </w:rPr>
              <w:t>226</w:t>
            </w:r>
          </w:p>
        </w:tc>
        <w:tc>
          <w:tcPr>
            <w:tcW w:w="1160" w:type="dxa"/>
          </w:tcPr>
          <w:p>
            <w:pPr>
              <w:pStyle w:val="TableParagraph"/>
              <w:spacing w:before="78"/>
              <w:ind w:left="182"/>
              <w:rPr>
                <w:sz w:val="18"/>
              </w:rPr>
            </w:pPr>
            <w:r>
              <w:rPr>
                <w:color w:val="365F91"/>
                <w:sz w:val="18"/>
              </w:rPr>
              <w:t>19.7%</w:t>
            </w:r>
          </w:p>
        </w:tc>
        <w:tc>
          <w:tcPr>
            <w:tcW w:w="948" w:type="dxa"/>
          </w:tcPr>
          <w:p>
            <w:pPr>
              <w:pStyle w:val="TableParagraph"/>
              <w:spacing w:before="78"/>
              <w:ind w:left="81"/>
              <w:rPr>
                <w:sz w:val="18"/>
              </w:rPr>
            </w:pPr>
            <w:r>
              <w:rPr>
                <w:color w:val="365F91"/>
                <w:sz w:val="18"/>
              </w:rPr>
              <w:t>-114</w:t>
            </w:r>
          </w:p>
        </w:tc>
      </w:tr>
      <w:tr>
        <w:trPr>
          <w:trHeight w:val="739" w:hRule="atLeast"/>
        </w:trPr>
        <w:tc>
          <w:tcPr>
            <w:tcW w:w="4643" w:type="dxa"/>
            <w:tcBorders>
              <w:right w:val="single" w:sz="4" w:space="0" w:color="4F81BC"/>
            </w:tcBorders>
          </w:tcPr>
          <w:p>
            <w:pPr>
              <w:pStyle w:val="TableParagraph"/>
              <w:tabs>
                <w:tab w:pos="1622" w:val="left" w:leader="none"/>
                <w:tab w:pos="2162" w:val="left" w:leader="none"/>
                <w:tab w:pos="3015" w:val="left" w:leader="none"/>
                <w:tab w:pos="4464" w:val="left" w:leader="none"/>
              </w:tabs>
              <w:spacing w:before="80"/>
              <w:ind w:left="79" w:right="74"/>
              <w:rPr>
                <w:sz w:val="18"/>
              </w:rPr>
            </w:pPr>
            <w:r>
              <w:rPr>
                <w:color w:val="365F91"/>
                <w:sz w:val="18"/>
              </w:rPr>
              <w:t>Compraventa</w:t>
              <w:tab/>
              <w:t>de</w:t>
              <w:tab/>
              <w:t>gases,</w:t>
              <w:tab/>
              <w:t>combustibles</w:t>
              <w:tab/>
            </w:r>
            <w:r>
              <w:rPr>
                <w:color w:val="365F91"/>
                <w:spacing w:val="-17"/>
                <w:sz w:val="18"/>
              </w:rPr>
              <w:t>y </w:t>
            </w:r>
            <w:r>
              <w:rPr>
                <w:color w:val="365F91"/>
                <w:sz w:val="18"/>
              </w:rPr>
              <w:t>lubricantes</w:t>
            </w:r>
          </w:p>
        </w:tc>
        <w:tc>
          <w:tcPr>
            <w:tcW w:w="633" w:type="dxa"/>
            <w:tcBorders>
              <w:left w:val="single" w:sz="4" w:space="0" w:color="4F81BC"/>
            </w:tcBorders>
            <w:shd w:val="clear" w:color="auto" w:fill="DBE4F0"/>
          </w:tcPr>
          <w:p>
            <w:pPr>
              <w:pStyle w:val="TableParagraph"/>
              <w:spacing w:before="80"/>
              <w:ind w:left="73"/>
              <w:rPr>
                <w:sz w:val="18"/>
              </w:rPr>
            </w:pPr>
            <w:r>
              <w:rPr>
                <w:color w:val="365F91"/>
                <w:sz w:val="18"/>
              </w:rPr>
              <w:t>65</w:t>
            </w:r>
          </w:p>
        </w:tc>
        <w:tc>
          <w:tcPr>
            <w:tcW w:w="708" w:type="dxa"/>
            <w:shd w:val="clear" w:color="auto" w:fill="DBE4F0"/>
          </w:tcPr>
          <w:p>
            <w:pPr>
              <w:pStyle w:val="TableParagraph"/>
              <w:spacing w:before="80"/>
              <w:ind w:left="153"/>
              <w:rPr>
                <w:sz w:val="18"/>
              </w:rPr>
            </w:pPr>
            <w:r>
              <w:rPr>
                <w:color w:val="365F91"/>
                <w:sz w:val="18"/>
              </w:rPr>
              <w:t>66</w:t>
            </w:r>
          </w:p>
        </w:tc>
        <w:tc>
          <w:tcPr>
            <w:tcW w:w="707" w:type="dxa"/>
            <w:shd w:val="clear" w:color="auto" w:fill="DBE4F0"/>
          </w:tcPr>
          <w:p>
            <w:pPr>
              <w:pStyle w:val="TableParagraph"/>
              <w:spacing w:before="80"/>
              <w:ind w:left="154"/>
              <w:rPr>
                <w:sz w:val="18"/>
              </w:rPr>
            </w:pPr>
            <w:r>
              <w:rPr>
                <w:color w:val="365F91"/>
                <w:sz w:val="18"/>
              </w:rPr>
              <w:t>65</w:t>
            </w:r>
          </w:p>
        </w:tc>
        <w:tc>
          <w:tcPr>
            <w:tcW w:w="734" w:type="dxa"/>
            <w:shd w:val="clear" w:color="auto" w:fill="DBE4F0"/>
          </w:tcPr>
          <w:p>
            <w:pPr>
              <w:pStyle w:val="TableParagraph"/>
              <w:spacing w:before="80"/>
              <w:ind w:left="152"/>
              <w:rPr>
                <w:sz w:val="18"/>
              </w:rPr>
            </w:pPr>
            <w:r>
              <w:rPr>
                <w:color w:val="365F91"/>
                <w:sz w:val="18"/>
              </w:rPr>
              <w:t>63</w:t>
            </w:r>
          </w:p>
        </w:tc>
        <w:tc>
          <w:tcPr>
            <w:tcW w:w="763" w:type="dxa"/>
            <w:shd w:val="clear" w:color="auto" w:fill="DBE4F0"/>
          </w:tcPr>
          <w:p>
            <w:pPr>
              <w:pStyle w:val="TableParagraph"/>
              <w:spacing w:before="80"/>
              <w:ind w:left="182"/>
              <w:rPr>
                <w:sz w:val="18"/>
              </w:rPr>
            </w:pPr>
            <w:r>
              <w:rPr>
                <w:color w:val="365F91"/>
                <w:sz w:val="18"/>
              </w:rPr>
              <w:t>98</w:t>
            </w:r>
          </w:p>
        </w:tc>
        <w:tc>
          <w:tcPr>
            <w:tcW w:w="1160" w:type="dxa"/>
            <w:shd w:val="clear" w:color="auto" w:fill="DBE4F0"/>
          </w:tcPr>
          <w:p>
            <w:pPr>
              <w:pStyle w:val="TableParagraph"/>
              <w:spacing w:before="80"/>
              <w:ind w:left="182"/>
              <w:rPr>
                <w:sz w:val="18"/>
              </w:rPr>
            </w:pPr>
            <w:r>
              <w:rPr>
                <w:color w:val="365F91"/>
                <w:sz w:val="18"/>
              </w:rPr>
              <w:t>8.5%</w:t>
            </w:r>
          </w:p>
        </w:tc>
        <w:tc>
          <w:tcPr>
            <w:tcW w:w="948" w:type="dxa"/>
            <w:shd w:val="clear" w:color="auto" w:fill="DBE4F0"/>
          </w:tcPr>
          <w:p>
            <w:pPr>
              <w:pStyle w:val="TableParagraph"/>
              <w:spacing w:before="80"/>
              <w:ind w:left="81"/>
              <w:rPr>
                <w:sz w:val="18"/>
              </w:rPr>
            </w:pPr>
            <w:r>
              <w:rPr>
                <w:color w:val="365F91"/>
                <w:sz w:val="18"/>
              </w:rPr>
              <w:t>33</w:t>
            </w:r>
          </w:p>
        </w:tc>
      </w:tr>
      <w:tr>
        <w:trPr>
          <w:trHeight w:val="742" w:hRule="atLeast"/>
        </w:trPr>
        <w:tc>
          <w:tcPr>
            <w:tcW w:w="4643" w:type="dxa"/>
            <w:tcBorders>
              <w:right w:val="single" w:sz="4" w:space="0" w:color="4F81BC"/>
            </w:tcBorders>
          </w:tcPr>
          <w:p>
            <w:pPr>
              <w:pStyle w:val="TableParagraph"/>
              <w:spacing w:before="80"/>
              <w:ind w:left="79"/>
              <w:rPr>
                <w:sz w:val="18"/>
              </w:rPr>
            </w:pPr>
            <w:r>
              <w:rPr>
                <w:color w:val="365F91"/>
                <w:sz w:val="18"/>
              </w:rPr>
              <w:t>Compraventa de alimentos, bebidas y productos del tabaco</w:t>
            </w:r>
          </w:p>
        </w:tc>
        <w:tc>
          <w:tcPr>
            <w:tcW w:w="633" w:type="dxa"/>
            <w:tcBorders>
              <w:left w:val="single" w:sz="4" w:space="0" w:color="4F81BC"/>
            </w:tcBorders>
          </w:tcPr>
          <w:p>
            <w:pPr>
              <w:pStyle w:val="TableParagraph"/>
              <w:spacing w:before="80"/>
              <w:ind w:left="73"/>
              <w:rPr>
                <w:sz w:val="18"/>
              </w:rPr>
            </w:pPr>
            <w:r>
              <w:rPr>
                <w:color w:val="365F91"/>
                <w:sz w:val="18"/>
              </w:rPr>
              <w:t>54</w:t>
            </w:r>
          </w:p>
        </w:tc>
        <w:tc>
          <w:tcPr>
            <w:tcW w:w="708" w:type="dxa"/>
          </w:tcPr>
          <w:p>
            <w:pPr>
              <w:pStyle w:val="TableParagraph"/>
              <w:spacing w:before="80"/>
              <w:ind w:left="153"/>
              <w:rPr>
                <w:sz w:val="18"/>
              </w:rPr>
            </w:pPr>
            <w:r>
              <w:rPr>
                <w:color w:val="365F91"/>
                <w:sz w:val="18"/>
              </w:rPr>
              <w:t>56</w:t>
            </w:r>
          </w:p>
        </w:tc>
        <w:tc>
          <w:tcPr>
            <w:tcW w:w="707" w:type="dxa"/>
          </w:tcPr>
          <w:p>
            <w:pPr>
              <w:pStyle w:val="TableParagraph"/>
              <w:spacing w:before="80"/>
              <w:ind w:left="154"/>
              <w:rPr>
                <w:sz w:val="18"/>
              </w:rPr>
            </w:pPr>
            <w:r>
              <w:rPr>
                <w:color w:val="365F91"/>
                <w:sz w:val="18"/>
              </w:rPr>
              <w:t>87</w:t>
            </w:r>
          </w:p>
        </w:tc>
        <w:tc>
          <w:tcPr>
            <w:tcW w:w="734" w:type="dxa"/>
          </w:tcPr>
          <w:p>
            <w:pPr>
              <w:pStyle w:val="TableParagraph"/>
              <w:spacing w:before="80"/>
              <w:ind w:left="152"/>
              <w:rPr>
                <w:sz w:val="18"/>
              </w:rPr>
            </w:pPr>
            <w:r>
              <w:rPr>
                <w:color w:val="365F91"/>
                <w:sz w:val="18"/>
              </w:rPr>
              <w:t>88</w:t>
            </w:r>
          </w:p>
        </w:tc>
        <w:tc>
          <w:tcPr>
            <w:tcW w:w="763" w:type="dxa"/>
          </w:tcPr>
          <w:p>
            <w:pPr>
              <w:pStyle w:val="TableParagraph"/>
              <w:spacing w:before="80"/>
              <w:ind w:left="182"/>
              <w:rPr>
                <w:sz w:val="18"/>
              </w:rPr>
            </w:pPr>
            <w:r>
              <w:rPr>
                <w:color w:val="365F91"/>
                <w:sz w:val="18"/>
              </w:rPr>
              <w:t>91</w:t>
            </w:r>
          </w:p>
        </w:tc>
        <w:tc>
          <w:tcPr>
            <w:tcW w:w="1160" w:type="dxa"/>
          </w:tcPr>
          <w:p>
            <w:pPr>
              <w:pStyle w:val="TableParagraph"/>
              <w:spacing w:before="80"/>
              <w:ind w:left="182"/>
              <w:rPr>
                <w:sz w:val="18"/>
              </w:rPr>
            </w:pPr>
            <w:r>
              <w:rPr>
                <w:color w:val="365F91"/>
                <w:sz w:val="18"/>
              </w:rPr>
              <w:t>7.9%</w:t>
            </w:r>
          </w:p>
        </w:tc>
        <w:tc>
          <w:tcPr>
            <w:tcW w:w="948" w:type="dxa"/>
          </w:tcPr>
          <w:p>
            <w:pPr>
              <w:pStyle w:val="TableParagraph"/>
              <w:spacing w:before="80"/>
              <w:ind w:left="81"/>
              <w:rPr>
                <w:sz w:val="18"/>
              </w:rPr>
            </w:pPr>
            <w:r>
              <w:rPr>
                <w:color w:val="365F91"/>
                <w:sz w:val="18"/>
              </w:rPr>
              <w:t>37</w:t>
            </w:r>
          </w:p>
        </w:tc>
      </w:tr>
      <w:tr>
        <w:trPr>
          <w:trHeight w:val="1020" w:hRule="atLeast"/>
        </w:trPr>
        <w:tc>
          <w:tcPr>
            <w:tcW w:w="4643" w:type="dxa"/>
            <w:tcBorders>
              <w:right w:val="single" w:sz="4" w:space="0" w:color="4F81BC"/>
            </w:tcBorders>
          </w:tcPr>
          <w:p>
            <w:pPr>
              <w:pStyle w:val="TableParagraph"/>
              <w:spacing w:before="78"/>
              <w:ind w:left="79"/>
              <w:rPr>
                <w:sz w:val="18"/>
              </w:rPr>
            </w:pPr>
            <w:r>
              <w:rPr>
                <w:color w:val="365F91"/>
                <w:sz w:val="18"/>
              </w:rPr>
              <w:t>Compraventa en tiendas de autoservicios y departamentos especializados</w:t>
            </w:r>
          </w:p>
        </w:tc>
        <w:tc>
          <w:tcPr>
            <w:tcW w:w="633" w:type="dxa"/>
            <w:tcBorders>
              <w:left w:val="single" w:sz="4" w:space="0" w:color="4F81BC"/>
            </w:tcBorders>
            <w:shd w:val="clear" w:color="auto" w:fill="DBE4F0"/>
          </w:tcPr>
          <w:p>
            <w:pPr>
              <w:pStyle w:val="TableParagraph"/>
              <w:spacing w:before="78"/>
              <w:ind w:left="73"/>
              <w:rPr>
                <w:sz w:val="18"/>
              </w:rPr>
            </w:pPr>
            <w:r>
              <w:rPr>
                <w:color w:val="365F91"/>
                <w:sz w:val="18"/>
              </w:rPr>
              <w:t>107</w:t>
            </w:r>
          </w:p>
        </w:tc>
        <w:tc>
          <w:tcPr>
            <w:tcW w:w="708" w:type="dxa"/>
            <w:shd w:val="clear" w:color="auto" w:fill="DBE4F0"/>
          </w:tcPr>
          <w:p>
            <w:pPr>
              <w:pStyle w:val="TableParagraph"/>
              <w:spacing w:before="78"/>
              <w:ind w:left="153"/>
              <w:rPr>
                <w:sz w:val="18"/>
              </w:rPr>
            </w:pPr>
            <w:r>
              <w:rPr>
                <w:color w:val="365F91"/>
                <w:sz w:val="18"/>
              </w:rPr>
              <w:t>104</w:t>
            </w:r>
          </w:p>
        </w:tc>
        <w:tc>
          <w:tcPr>
            <w:tcW w:w="707" w:type="dxa"/>
            <w:shd w:val="clear" w:color="auto" w:fill="DBE4F0"/>
          </w:tcPr>
          <w:p>
            <w:pPr>
              <w:pStyle w:val="TableParagraph"/>
              <w:spacing w:before="78"/>
              <w:ind w:left="154"/>
              <w:rPr>
                <w:sz w:val="18"/>
              </w:rPr>
            </w:pPr>
            <w:r>
              <w:rPr>
                <w:color w:val="365F91"/>
                <w:sz w:val="18"/>
              </w:rPr>
              <w:t>70</w:t>
            </w:r>
          </w:p>
        </w:tc>
        <w:tc>
          <w:tcPr>
            <w:tcW w:w="734" w:type="dxa"/>
            <w:shd w:val="clear" w:color="auto" w:fill="DBE4F0"/>
          </w:tcPr>
          <w:p>
            <w:pPr>
              <w:pStyle w:val="TableParagraph"/>
              <w:spacing w:before="78"/>
              <w:ind w:left="152"/>
              <w:rPr>
                <w:sz w:val="18"/>
              </w:rPr>
            </w:pPr>
            <w:r>
              <w:rPr>
                <w:color w:val="365F91"/>
                <w:sz w:val="18"/>
              </w:rPr>
              <w:t>89</w:t>
            </w:r>
          </w:p>
        </w:tc>
        <w:tc>
          <w:tcPr>
            <w:tcW w:w="763" w:type="dxa"/>
            <w:shd w:val="clear" w:color="auto" w:fill="DBE4F0"/>
          </w:tcPr>
          <w:p>
            <w:pPr>
              <w:pStyle w:val="TableParagraph"/>
              <w:spacing w:before="78"/>
              <w:ind w:left="182"/>
              <w:rPr>
                <w:sz w:val="18"/>
              </w:rPr>
            </w:pPr>
            <w:r>
              <w:rPr>
                <w:color w:val="365F91"/>
                <w:sz w:val="18"/>
              </w:rPr>
              <w:t>79</w:t>
            </w:r>
          </w:p>
        </w:tc>
        <w:tc>
          <w:tcPr>
            <w:tcW w:w="1160" w:type="dxa"/>
            <w:shd w:val="clear" w:color="auto" w:fill="DBE4F0"/>
          </w:tcPr>
          <w:p>
            <w:pPr>
              <w:pStyle w:val="TableParagraph"/>
              <w:spacing w:before="78"/>
              <w:ind w:left="182"/>
              <w:rPr>
                <w:sz w:val="18"/>
              </w:rPr>
            </w:pPr>
            <w:r>
              <w:rPr>
                <w:color w:val="365F91"/>
                <w:sz w:val="18"/>
              </w:rPr>
              <w:t>6.9%</w:t>
            </w:r>
          </w:p>
        </w:tc>
        <w:tc>
          <w:tcPr>
            <w:tcW w:w="948" w:type="dxa"/>
            <w:shd w:val="clear" w:color="auto" w:fill="DBE4F0"/>
          </w:tcPr>
          <w:p>
            <w:pPr>
              <w:pStyle w:val="TableParagraph"/>
              <w:spacing w:before="78"/>
              <w:ind w:left="81"/>
              <w:rPr>
                <w:sz w:val="18"/>
              </w:rPr>
            </w:pPr>
            <w:r>
              <w:rPr>
                <w:color w:val="365F91"/>
                <w:sz w:val="18"/>
              </w:rPr>
              <w:t>-28</w:t>
            </w:r>
          </w:p>
        </w:tc>
      </w:tr>
      <w:tr>
        <w:trPr>
          <w:trHeight w:val="739" w:hRule="atLeast"/>
        </w:trPr>
        <w:tc>
          <w:tcPr>
            <w:tcW w:w="4643" w:type="dxa"/>
            <w:tcBorders>
              <w:right w:val="single" w:sz="4" w:space="0" w:color="4F81BC"/>
            </w:tcBorders>
          </w:tcPr>
          <w:p>
            <w:pPr>
              <w:pStyle w:val="TableParagraph"/>
              <w:spacing w:before="78"/>
              <w:ind w:left="79"/>
              <w:rPr>
                <w:sz w:val="18"/>
              </w:rPr>
            </w:pPr>
            <w:r>
              <w:rPr>
                <w:color w:val="365F91"/>
                <w:sz w:val="18"/>
              </w:rPr>
              <w:t>Compraventa de materias primas, materiales y auxiliares</w:t>
            </w:r>
          </w:p>
        </w:tc>
        <w:tc>
          <w:tcPr>
            <w:tcW w:w="633" w:type="dxa"/>
            <w:tcBorders>
              <w:left w:val="single" w:sz="4" w:space="0" w:color="4F81BC"/>
            </w:tcBorders>
          </w:tcPr>
          <w:p>
            <w:pPr>
              <w:pStyle w:val="TableParagraph"/>
              <w:spacing w:before="78"/>
              <w:ind w:left="73"/>
              <w:rPr>
                <w:sz w:val="18"/>
              </w:rPr>
            </w:pPr>
            <w:r>
              <w:rPr>
                <w:color w:val="365F91"/>
                <w:sz w:val="18"/>
              </w:rPr>
              <w:t>32</w:t>
            </w:r>
          </w:p>
        </w:tc>
        <w:tc>
          <w:tcPr>
            <w:tcW w:w="708" w:type="dxa"/>
          </w:tcPr>
          <w:p>
            <w:pPr>
              <w:pStyle w:val="TableParagraph"/>
              <w:spacing w:before="78"/>
              <w:ind w:left="153"/>
              <w:rPr>
                <w:sz w:val="18"/>
              </w:rPr>
            </w:pPr>
            <w:r>
              <w:rPr>
                <w:color w:val="365F91"/>
                <w:sz w:val="18"/>
              </w:rPr>
              <w:t>33</w:t>
            </w:r>
          </w:p>
        </w:tc>
        <w:tc>
          <w:tcPr>
            <w:tcW w:w="707" w:type="dxa"/>
          </w:tcPr>
          <w:p>
            <w:pPr>
              <w:pStyle w:val="TableParagraph"/>
              <w:spacing w:before="78"/>
              <w:ind w:left="154"/>
              <w:rPr>
                <w:sz w:val="18"/>
              </w:rPr>
            </w:pPr>
            <w:r>
              <w:rPr>
                <w:color w:val="365F91"/>
                <w:sz w:val="18"/>
              </w:rPr>
              <w:t>30</w:t>
            </w:r>
          </w:p>
        </w:tc>
        <w:tc>
          <w:tcPr>
            <w:tcW w:w="734" w:type="dxa"/>
          </w:tcPr>
          <w:p>
            <w:pPr>
              <w:pStyle w:val="TableParagraph"/>
              <w:spacing w:before="78"/>
              <w:ind w:left="152"/>
              <w:rPr>
                <w:sz w:val="18"/>
              </w:rPr>
            </w:pPr>
            <w:r>
              <w:rPr>
                <w:color w:val="365F91"/>
                <w:sz w:val="18"/>
              </w:rPr>
              <w:t>41</w:t>
            </w:r>
          </w:p>
        </w:tc>
        <w:tc>
          <w:tcPr>
            <w:tcW w:w="763" w:type="dxa"/>
          </w:tcPr>
          <w:p>
            <w:pPr>
              <w:pStyle w:val="TableParagraph"/>
              <w:spacing w:before="78"/>
              <w:ind w:left="182"/>
              <w:rPr>
                <w:sz w:val="18"/>
              </w:rPr>
            </w:pPr>
            <w:r>
              <w:rPr>
                <w:color w:val="365F91"/>
                <w:sz w:val="18"/>
              </w:rPr>
              <w:t>41</w:t>
            </w:r>
          </w:p>
        </w:tc>
        <w:tc>
          <w:tcPr>
            <w:tcW w:w="1160" w:type="dxa"/>
          </w:tcPr>
          <w:p>
            <w:pPr>
              <w:pStyle w:val="TableParagraph"/>
              <w:spacing w:before="78"/>
              <w:ind w:left="182"/>
              <w:rPr>
                <w:sz w:val="18"/>
              </w:rPr>
            </w:pPr>
            <w:r>
              <w:rPr>
                <w:color w:val="365F91"/>
                <w:sz w:val="18"/>
              </w:rPr>
              <w:t>3.6%</w:t>
            </w:r>
          </w:p>
        </w:tc>
        <w:tc>
          <w:tcPr>
            <w:tcW w:w="948" w:type="dxa"/>
          </w:tcPr>
          <w:p>
            <w:pPr>
              <w:pStyle w:val="TableParagraph"/>
              <w:spacing w:before="78"/>
              <w:ind w:left="81"/>
              <w:rPr>
                <w:sz w:val="18"/>
              </w:rPr>
            </w:pPr>
            <w:r>
              <w:rPr>
                <w:color w:val="365F91"/>
                <w:sz w:val="18"/>
              </w:rPr>
              <w:t>9</w:t>
            </w:r>
          </w:p>
        </w:tc>
      </w:tr>
    </w:tbl>
    <w:p>
      <w:pPr>
        <w:spacing w:after="0"/>
        <w:rPr>
          <w:sz w:val="18"/>
        </w:rPr>
        <w:sectPr>
          <w:pgSz w:w="12240" w:h="15840"/>
          <w:pgMar w:header="178" w:footer="1233" w:top="1120" w:bottom="1360" w:left="460" w:right="220"/>
        </w:sectPr>
      </w:pPr>
    </w:p>
    <w:p>
      <w:pPr>
        <w:pStyle w:val="BodyText"/>
        <w:rPr>
          <w:rFonts w:ascii="Corbel"/>
          <w:sz w:val="20"/>
        </w:rPr>
      </w:pPr>
    </w:p>
    <w:p>
      <w:pPr>
        <w:pStyle w:val="BodyText"/>
        <w:spacing w:before="3"/>
        <w:rPr>
          <w:rFonts w:ascii="Corbel"/>
          <w:sz w:val="21"/>
        </w:rPr>
      </w:pPr>
    </w:p>
    <w:tbl>
      <w:tblPr>
        <w:tblW w:w="0" w:type="auto"/>
        <w:jc w:val="left"/>
        <w:tblInd w:w="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63"/>
        <w:gridCol w:w="584"/>
        <w:gridCol w:w="708"/>
        <w:gridCol w:w="707"/>
        <w:gridCol w:w="808"/>
        <w:gridCol w:w="763"/>
        <w:gridCol w:w="1031"/>
        <w:gridCol w:w="1052"/>
      </w:tblGrid>
      <w:tr>
        <w:trPr>
          <w:trHeight w:val="739" w:hRule="atLeast"/>
        </w:trPr>
        <w:tc>
          <w:tcPr>
            <w:tcW w:w="4763" w:type="dxa"/>
            <w:tcBorders>
              <w:right w:val="single" w:sz="4" w:space="0" w:color="4F81BC"/>
            </w:tcBorders>
          </w:tcPr>
          <w:p>
            <w:pPr>
              <w:pStyle w:val="TableParagraph"/>
              <w:spacing w:before="78"/>
              <w:ind w:left="200"/>
              <w:rPr>
                <w:sz w:val="18"/>
              </w:rPr>
            </w:pPr>
            <w:r>
              <w:rPr>
                <w:color w:val="365F91"/>
                <w:sz w:val="18"/>
              </w:rPr>
              <w:t>Servicios de enseñanza, investigación científica y difusión cultural</w:t>
            </w:r>
          </w:p>
        </w:tc>
        <w:tc>
          <w:tcPr>
            <w:tcW w:w="584" w:type="dxa"/>
            <w:tcBorders>
              <w:left w:val="single" w:sz="4" w:space="0" w:color="4F81BC"/>
            </w:tcBorders>
            <w:shd w:val="clear" w:color="auto" w:fill="DBE4F0"/>
          </w:tcPr>
          <w:p>
            <w:pPr>
              <w:pStyle w:val="TableParagraph"/>
              <w:spacing w:before="78"/>
              <w:ind w:left="74"/>
              <w:rPr>
                <w:sz w:val="18"/>
              </w:rPr>
            </w:pPr>
            <w:r>
              <w:rPr>
                <w:color w:val="365F91"/>
                <w:sz w:val="18"/>
              </w:rPr>
              <w:t>7</w:t>
            </w:r>
          </w:p>
        </w:tc>
        <w:tc>
          <w:tcPr>
            <w:tcW w:w="708" w:type="dxa"/>
            <w:shd w:val="clear" w:color="auto" w:fill="DBE4F0"/>
          </w:tcPr>
          <w:p>
            <w:pPr>
              <w:pStyle w:val="TableParagraph"/>
              <w:spacing w:before="78"/>
              <w:ind w:left="203"/>
              <w:rPr>
                <w:sz w:val="18"/>
              </w:rPr>
            </w:pPr>
            <w:r>
              <w:rPr>
                <w:color w:val="365F91"/>
                <w:sz w:val="18"/>
              </w:rPr>
              <w:t>8</w:t>
            </w:r>
          </w:p>
        </w:tc>
        <w:tc>
          <w:tcPr>
            <w:tcW w:w="707" w:type="dxa"/>
            <w:shd w:val="clear" w:color="auto" w:fill="DBE4F0"/>
          </w:tcPr>
          <w:p>
            <w:pPr>
              <w:pStyle w:val="TableParagraph"/>
              <w:spacing w:before="78"/>
              <w:ind w:left="203"/>
              <w:rPr>
                <w:sz w:val="18"/>
              </w:rPr>
            </w:pPr>
            <w:r>
              <w:rPr>
                <w:color w:val="365F91"/>
                <w:sz w:val="18"/>
              </w:rPr>
              <w:t>16</w:t>
            </w:r>
          </w:p>
        </w:tc>
        <w:tc>
          <w:tcPr>
            <w:tcW w:w="808" w:type="dxa"/>
            <w:shd w:val="clear" w:color="auto" w:fill="DBE4F0"/>
          </w:tcPr>
          <w:p>
            <w:pPr>
              <w:pStyle w:val="TableParagraph"/>
              <w:spacing w:before="78"/>
              <w:ind w:left="202"/>
              <w:rPr>
                <w:sz w:val="18"/>
              </w:rPr>
            </w:pPr>
            <w:r>
              <w:rPr>
                <w:color w:val="365F91"/>
                <w:sz w:val="18"/>
              </w:rPr>
              <w:t>15</w:t>
            </w:r>
          </w:p>
        </w:tc>
        <w:tc>
          <w:tcPr>
            <w:tcW w:w="763" w:type="dxa"/>
            <w:shd w:val="clear" w:color="auto" w:fill="DBE4F0"/>
          </w:tcPr>
          <w:p>
            <w:pPr>
              <w:pStyle w:val="TableParagraph"/>
              <w:spacing w:before="78"/>
              <w:ind w:left="157"/>
              <w:rPr>
                <w:sz w:val="18"/>
              </w:rPr>
            </w:pPr>
            <w:r>
              <w:rPr>
                <w:color w:val="365F91"/>
                <w:sz w:val="18"/>
              </w:rPr>
              <w:t>17</w:t>
            </w:r>
          </w:p>
        </w:tc>
        <w:tc>
          <w:tcPr>
            <w:tcW w:w="1031" w:type="dxa"/>
            <w:shd w:val="clear" w:color="auto" w:fill="DBE4F0"/>
          </w:tcPr>
          <w:p>
            <w:pPr>
              <w:pStyle w:val="TableParagraph"/>
              <w:spacing w:before="78"/>
              <w:ind w:left="158"/>
              <w:rPr>
                <w:sz w:val="18"/>
              </w:rPr>
            </w:pPr>
            <w:r>
              <w:rPr>
                <w:color w:val="365F91"/>
                <w:sz w:val="18"/>
              </w:rPr>
              <w:t>1.5%</w:t>
            </w:r>
          </w:p>
        </w:tc>
        <w:tc>
          <w:tcPr>
            <w:tcW w:w="1052" w:type="dxa"/>
            <w:shd w:val="clear" w:color="auto" w:fill="DBE4F0"/>
          </w:tcPr>
          <w:p>
            <w:pPr>
              <w:pStyle w:val="TableParagraph"/>
              <w:spacing w:before="78"/>
              <w:ind w:left="186"/>
              <w:rPr>
                <w:sz w:val="18"/>
              </w:rPr>
            </w:pPr>
            <w:r>
              <w:rPr>
                <w:color w:val="365F91"/>
                <w:sz w:val="18"/>
              </w:rPr>
              <w:t>-7</w:t>
            </w:r>
          </w:p>
        </w:tc>
      </w:tr>
      <w:tr>
        <w:trPr>
          <w:trHeight w:val="460" w:hRule="atLeast"/>
        </w:trPr>
        <w:tc>
          <w:tcPr>
            <w:tcW w:w="4763" w:type="dxa"/>
            <w:tcBorders>
              <w:right w:val="single" w:sz="4" w:space="0" w:color="4F81BC"/>
            </w:tcBorders>
          </w:tcPr>
          <w:p>
            <w:pPr>
              <w:pStyle w:val="TableParagraph"/>
              <w:spacing w:before="80"/>
              <w:ind w:left="200"/>
              <w:rPr>
                <w:sz w:val="18"/>
              </w:rPr>
            </w:pPr>
            <w:r>
              <w:rPr>
                <w:color w:val="365F91"/>
                <w:sz w:val="18"/>
              </w:rPr>
              <w:t>otras</w:t>
            </w:r>
          </w:p>
        </w:tc>
        <w:tc>
          <w:tcPr>
            <w:tcW w:w="584" w:type="dxa"/>
            <w:tcBorders>
              <w:left w:val="single" w:sz="4" w:space="0" w:color="4F81BC"/>
            </w:tcBorders>
          </w:tcPr>
          <w:p>
            <w:pPr>
              <w:pStyle w:val="TableParagraph"/>
              <w:spacing w:before="80"/>
              <w:ind w:left="74"/>
              <w:rPr>
                <w:sz w:val="18"/>
              </w:rPr>
            </w:pPr>
            <w:r>
              <w:rPr>
                <w:color w:val="365F91"/>
                <w:sz w:val="18"/>
              </w:rPr>
              <w:t>118</w:t>
            </w:r>
          </w:p>
        </w:tc>
        <w:tc>
          <w:tcPr>
            <w:tcW w:w="708" w:type="dxa"/>
          </w:tcPr>
          <w:p>
            <w:pPr>
              <w:pStyle w:val="TableParagraph"/>
              <w:spacing w:before="80"/>
              <w:ind w:left="203"/>
              <w:rPr>
                <w:sz w:val="18"/>
              </w:rPr>
            </w:pPr>
            <w:r>
              <w:rPr>
                <w:color w:val="365F91"/>
                <w:sz w:val="18"/>
              </w:rPr>
              <w:t>101</w:t>
            </w:r>
          </w:p>
        </w:tc>
        <w:tc>
          <w:tcPr>
            <w:tcW w:w="707" w:type="dxa"/>
          </w:tcPr>
          <w:p>
            <w:pPr>
              <w:pStyle w:val="TableParagraph"/>
              <w:spacing w:before="80"/>
              <w:ind w:left="203"/>
              <w:rPr>
                <w:sz w:val="18"/>
              </w:rPr>
            </w:pPr>
            <w:r>
              <w:rPr>
                <w:color w:val="365F91"/>
                <w:sz w:val="18"/>
              </w:rPr>
              <w:t>100</w:t>
            </w:r>
          </w:p>
        </w:tc>
        <w:tc>
          <w:tcPr>
            <w:tcW w:w="808" w:type="dxa"/>
          </w:tcPr>
          <w:p>
            <w:pPr>
              <w:pStyle w:val="TableParagraph"/>
              <w:spacing w:before="80"/>
              <w:ind w:left="202"/>
              <w:rPr>
                <w:sz w:val="18"/>
              </w:rPr>
            </w:pPr>
            <w:r>
              <w:rPr>
                <w:color w:val="365F91"/>
                <w:sz w:val="18"/>
              </w:rPr>
              <w:t>112</w:t>
            </w:r>
          </w:p>
        </w:tc>
        <w:tc>
          <w:tcPr>
            <w:tcW w:w="763" w:type="dxa"/>
          </w:tcPr>
          <w:p>
            <w:pPr>
              <w:pStyle w:val="TableParagraph"/>
              <w:spacing w:before="80"/>
              <w:ind w:left="157"/>
              <w:rPr>
                <w:sz w:val="18"/>
              </w:rPr>
            </w:pPr>
            <w:r>
              <w:rPr>
                <w:color w:val="365F91"/>
                <w:sz w:val="18"/>
              </w:rPr>
              <w:t>105</w:t>
            </w:r>
          </w:p>
        </w:tc>
        <w:tc>
          <w:tcPr>
            <w:tcW w:w="1031" w:type="dxa"/>
          </w:tcPr>
          <w:p>
            <w:pPr>
              <w:pStyle w:val="TableParagraph"/>
              <w:spacing w:before="80"/>
              <w:ind w:left="158"/>
              <w:rPr>
                <w:sz w:val="18"/>
              </w:rPr>
            </w:pPr>
            <w:r>
              <w:rPr>
                <w:color w:val="365F91"/>
                <w:sz w:val="18"/>
              </w:rPr>
              <w:t>9.1%</w:t>
            </w:r>
          </w:p>
        </w:tc>
        <w:tc>
          <w:tcPr>
            <w:tcW w:w="1052" w:type="dxa"/>
          </w:tcPr>
          <w:p>
            <w:pPr>
              <w:pStyle w:val="TableParagraph"/>
              <w:spacing w:before="80"/>
              <w:ind w:left="186"/>
              <w:rPr>
                <w:sz w:val="18"/>
              </w:rPr>
            </w:pPr>
            <w:r>
              <w:rPr>
                <w:color w:val="365F91"/>
                <w:sz w:val="18"/>
              </w:rPr>
              <w:t>-13</w:t>
            </w:r>
          </w:p>
        </w:tc>
      </w:tr>
      <w:tr>
        <w:trPr>
          <w:trHeight w:val="739" w:hRule="atLeast"/>
        </w:trPr>
        <w:tc>
          <w:tcPr>
            <w:tcW w:w="4763" w:type="dxa"/>
            <w:tcBorders>
              <w:right w:val="single" w:sz="4" w:space="0" w:color="4F81BC"/>
            </w:tcBorders>
          </w:tcPr>
          <w:p>
            <w:pPr>
              <w:pStyle w:val="TableParagraph"/>
              <w:spacing w:before="78"/>
              <w:ind w:left="200"/>
              <w:rPr>
                <w:sz w:val="18"/>
              </w:rPr>
            </w:pPr>
            <w:r>
              <w:rPr>
                <w:sz w:val="18"/>
              </w:rPr>
              <w:t>total</w:t>
            </w:r>
          </w:p>
        </w:tc>
        <w:tc>
          <w:tcPr>
            <w:tcW w:w="584" w:type="dxa"/>
            <w:tcBorders>
              <w:left w:val="single" w:sz="4" w:space="0" w:color="4F81BC"/>
            </w:tcBorders>
            <w:shd w:val="clear" w:color="auto" w:fill="DBE4F0"/>
          </w:tcPr>
          <w:p>
            <w:pPr>
              <w:pStyle w:val="TableParagraph"/>
              <w:spacing w:before="78"/>
              <w:ind w:left="74"/>
              <w:rPr>
                <w:sz w:val="18"/>
              </w:rPr>
            </w:pPr>
            <w:r>
              <w:rPr>
                <w:sz w:val="18"/>
              </w:rPr>
              <w:t>993</w:t>
            </w:r>
          </w:p>
        </w:tc>
        <w:tc>
          <w:tcPr>
            <w:tcW w:w="708" w:type="dxa"/>
            <w:shd w:val="clear" w:color="auto" w:fill="DBE4F0"/>
          </w:tcPr>
          <w:p>
            <w:pPr>
              <w:pStyle w:val="TableParagraph"/>
              <w:spacing w:before="78"/>
              <w:ind w:left="203"/>
              <w:rPr>
                <w:sz w:val="18"/>
              </w:rPr>
            </w:pPr>
            <w:r>
              <w:rPr>
                <w:sz w:val="18"/>
              </w:rPr>
              <w:t>884</w:t>
            </w:r>
          </w:p>
        </w:tc>
        <w:tc>
          <w:tcPr>
            <w:tcW w:w="707" w:type="dxa"/>
            <w:shd w:val="clear" w:color="auto" w:fill="DBE4F0"/>
          </w:tcPr>
          <w:p>
            <w:pPr>
              <w:pStyle w:val="TableParagraph"/>
              <w:spacing w:before="78"/>
              <w:ind w:left="203"/>
              <w:rPr>
                <w:sz w:val="18"/>
              </w:rPr>
            </w:pPr>
            <w:r>
              <w:rPr>
                <w:sz w:val="18"/>
              </w:rPr>
              <w:t>762</w:t>
            </w:r>
          </w:p>
        </w:tc>
        <w:tc>
          <w:tcPr>
            <w:tcW w:w="808" w:type="dxa"/>
            <w:shd w:val="clear" w:color="auto" w:fill="DBE4F0"/>
          </w:tcPr>
          <w:p>
            <w:pPr>
              <w:pStyle w:val="TableParagraph"/>
              <w:spacing w:before="78"/>
              <w:ind w:left="202"/>
              <w:rPr>
                <w:sz w:val="18"/>
              </w:rPr>
            </w:pPr>
            <w:r>
              <w:rPr>
                <w:sz w:val="18"/>
              </w:rPr>
              <w:t>1,263</w:t>
            </w:r>
          </w:p>
        </w:tc>
        <w:tc>
          <w:tcPr>
            <w:tcW w:w="763" w:type="dxa"/>
            <w:shd w:val="clear" w:color="auto" w:fill="DBE4F0"/>
          </w:tcPr>
          <w:p>
            <w:pPr>
              <w:pStyle w:val="TableParagraph"/>
              <w:spacing w:before="78"/>
              <w:ind w:left="157"/>
              <w:rPr>
                <w:sz w:val="18"/>
              </w:rPr>
            </w:pPr>
            <w:r>
              <w:rPr>
                <w:sz w:val="18"/>
              </w:rPr>
              <w:t>1,150</w:t>
            </w:r>
          </w:p>
        </w:tc>
        <w:tc>
          <w:tcPr>
            <w:tcW w:w="1031" w:type="dxa"/>
            <w:shd w:val="clear" w:color="auto" w:fill="DBE4F0"/>
          </w:tcPr>
          <w:p>
            <w:pPr>
              <w:pStyle w:val="TableParagraph"/>
              <w:spacing w:before="78"/>
              <w:ind w:left="158"/>
              <w:rPr>
                <w:sz w:val="18"/>
              </w:rPr>
            </w:pPr>
            <w:r>
              <w:rPr>
                <w:sz w:val="18"/>
              </w:rPr>
              <w:t>100.00%</w:t>
            </w:r>
          </w:p>
        </w:tc>
        <w:tc>
          <w:tcPr>
            <w:tcW w:w="1052" w:type="dxa"/>
            <w:shd w:val="clear" w:color="auto" w:fill="DBE4F0"/>
          </w:tcPr>
          <w:p>
            <w:pPr>
              <w:pStyle w:val="TableParagraph"/>
              <w:spacing w:before="78"/>
              <w:ind w:left="186"/>
              <w:rPr>
                <w:sz w:val="18"/>
              </w:rPr>
            </w:pPr>
            <w:r>
              <w:rPr>
                <w:sz w:val="18"/>
              </w:rPr>
              <w:t>157</w:t>
            </w:r>
          </w:p>
        </w:tc>
      </w:tr>
    </w:tbl>
    <w:p>
      <w:pPr>
        <w:pStyle w:val="BodyText"/>
        <w:spacing w:before="10"/>
        <w:rPr>
          <w:rFonts w:ascii="Corbel"/>
          <w:sz w:val="6"/>
        </w:rPr>
      </w:pPr>
    </w:p>
    <w:p>
      <w:pPr>
        <w:spacing w:before="102"/>
        <w:ind w:left="954" w:right="0" w:firstLine="0"/>
        <w:jc w:val="both"/>
        <w:rPr>
          <w:sz w:val="15"/>
        </w:rPr>
      </w:pPr>
      <w:r>
        <w:rPr>
          <w:b/>
          <w:sz w:val="15"/>
        </w:rPr>
        <w:t>Fuente: </w:t>
      </w:r>
      <w:r>
        <w:rPr>
          <w:color w:val="333333"/>
          <w:sz w:val="15"/>
        </w:rPr>
        <w:t>IIEG, Instituto de Información Estadística y Geográfica del Estado de Jalisco; en base a datos proporcionados por el IMSS.</w:t>
      </w:r>
    </w:p>
    <w:p>
      <w:pPr>
        <w:pStyle w:val="BodyText"/>
        <w:rPr>
          <w:sz w:val="18"/>
        </w:rPr>
      </w:pPr>
    </w:p>
    <w:p>
      <w:pPr>
        <w:pStyle w:val="BodyText"/>
        <w:spacing w:before="11"/>
        <w:rPr>
          <w:sz w:val="20"/>
        </w:rPr>
      </w:pPr>
    </w:p>
    <w:p>
      <w:pPr>
        <w:pStyle w:val="BodyText"/>
        <w:spacing w:line="276" w:lineRule="auto"/>
        <w:ind w:left="901" w:right="1155"/>
        <w:jc w:val="both"/>
      </w:pPr>
      <w:r>
        <w:rPr/>
        <w:t>Cabe hacer mención que los habitantes del municipio de Magdalena se desplazan a otras localidades a trabajar, principalmente a la ciudad de Guadalajara y el municipio de Tequila, a donde se desplazan principalmente trabajadores de la construcción en búsqueda de mejores ingresos.</w:t>
      </w:r>
    </w:p>
    <w:p>
      <w:pPr>
        <w:pStyle w:val="BodyText"/>
        <w:spacing w:before="6"/>
        <w:rPr>
          <w:sz w:val="25"/>
        </w:rPr>
      </w:pPr>
    </w:p>
    <w:p>
      <w:pPr>
        <w:pStyle w:val="BodyText"/>
        <w:spacing w:line="276" w:lineRule="auto"/>
        <w:ind w:left="901" w:right="1145"/>
      </w:pPr>
      <w:r>
        <w:rPr/>
        <w:t>En el municipio, es difícil hacer una estimación del ingreso per cápita, pero es un buen indicador</w:t>
      </w:r>
      <w:r>
        <w:rPr>
          <w:spacing w:val="5"/>
        </w:rPr>
        <w:t> </w:t>
      </w:r>
      <w:r>
        <w:rPr/>
        <w:t>el</w:t>
      </w:r>
      <w:r>
        <w:rPr>
          <w:spacing w:val="7"/>
        </w:rPr>
        <w:t> </w:t>
      </w:r>
      <w:r>
        <w:rPr/>
        <w:t>que</w:t>
      </w:r>
      <w:r>
        <w:rPr>
          <w:spacing w:val="7"/>
        </w:rPr>
        <w:t> </w:t>
      </w:r>
      <w:r>
        <w:rPr/>
        <w:t>recibe</w:t>
      </w:r>
      <w:r>
        <w:rPr>
          <w:spacing w:val="7"/>
        </w:rPr>
        <w:t> </w:t>
      </w:r>
      <w:r>
        <w:rPr/>
        <w:t>un</w:t>
      </w:r>
      <w:r>
        <w:rPr>
          <w:spacing w:val="6"/>
        </w:rPr>
        <w:t> </w:t>
      </w:r>
      <w:r>
        <w:rPr/>
        <w:t>trabajador</w:t>
      </w:r>
      <w:r>
        <w:rPr>
          <w:spacing w:val="7"/>
        </w:rPr>
        <w:t> </w:t>
      </w:r>
      <w:r>
        <w:rPr/>
        <w:t>que</w:t>
      </w:r>
      <w:r>
        <w:rPr>
          <w:spacing w:val="6"/>
        </w:rPr>
        <w:t> </w:t>
      </w:r>
      <w:r>
        <w:rPr/>
        <w:t>se</w:t>
      </w:r>
      <w:r>
        <w:rPr>
          <w:spacing w:val="6"/>
        </w:rPr>
        <w:t> </w:t>
      </w:r>
      <w:r>
        <w:rPr/>
        <w:t>emplea</w:t>
      </w:r>
      <w:r>
        <w:rPr>
          <w:spacing w:val="6"/>
        </w:rPr>
        <w:t> </w:t>
      </w:r>
      <w:r>
        <w:rPr/>
        <w:t>como</w:t>
      </w:r>
      <w:r>
        <w:rPr>
          <w:spacing w:val="5"/>
        </w:rPr>
        <w:t> </w:t>
      </w:r>
      <w:r>
        <w:rPr/>
        <w:t>peón</w:t>
      </w:r>
      <w:r>
        <w:rPr>
          <w:spacing w:val="3"/>
        </w:rPr>
        <w:t> </w:t>
      </w:r>
      <w:r>
        <w:rPr/>
        <w:t>de</w:t>
      </w:r>
      <w:r>
        <w:rPr>
          <w:spacing w:val="6"/>
        </w:rPr>
        <w:t> </w:t>
      </w:r>
      <w:r>
        <w:rPr/>
        <w:t>albañil,</w:t>
      </w:r>
      <w:r>
        <w:rPr>
          <w:spacing w:val="5"/>
        </w:rPr>
        <w:t> </w:t>
      </w:r>
      <w:r>
        <w:rPr/>
        <w:t>que</w:t>
      </w:r>
      <w:r>
        <w:rPr>
          <w:spacing w:val="6"/>
        </w:rPr>
        <w:t> </w:t>
      </w:r>
      <w:r>
        <w:rPr/>
        <w:t>es</w:t>
      </w:r>
      <w:r>
        <w:rPr>
          <w:spacing w:val="6"/>
        </w:rPr>
        <w:t> </w:t>
      </w:r>
      <w:r>
        <w:rPr>
          <w:spacing w:val="-3"/>
        </w:rPr>
        <w:t>de</w:t>
      </w:r>
    </w:p>
    <w:p>
      <w:pPr>
        <w:pStyle w:val="BodyText"/>
        <w:spacing w:line="269" w:lineRule="exact"/>
        <w:ind w:left="901"/>
      </w:pPr>
      <w:r>
        <w:rPr/>
        <w:t>$</w:t>
      </w:r>
      <w:r>
        <w:rPr>
          <w:spacing w:val="10"/>
        </w:rPr>
        <w:t> </w:t>
      </w:r>
      <w:r>
        <w:rPr/>
        <w:t>200.00</w:t>
      </w:r>
      <w:r>
        <w:rPr>
          <w:spacing w:val="10"/>
        </w:rPr>
        <w:t> </w:t>
      </w:r>
      <w:r>
        <w:rPr/>
        <w:t>pesos</w:t>
      </w:r>
      <w:r>
        <w:rPr>
          <w:spacing w:val="11"/>
        </w:rPr>
        <w:t> </w:t>
      </w:r>
      <w:r>
        <w:rPr/>
        <w:t>diarios,</w:t>
      </w:r>
      <w:r>
        <w:rPr>
          <w:spacing w:val="9"/>
        </w:rPr>
        <w:t> </w:t>
      </w:r>
      <w:r>
        <w:rPr/>
        <w:t>en</w:t>
      </w:r>
      <w:r>
        <w:rPr>
          <w:spacing w:val="11"/>
        </w:rPr>
        <w:t> </w:t>
      </w:r>
      <w:r>
        <w:rPr/>
        <w:t>tanto</w:t>
      </w:r>
      <w:r>
        <w:rPr>
          <w:spacing w:val="9"/>
        </w:rPr>
        <w:t> </w:t>
      </w:r>
      <w:r>
        <w:rPr/>
        <w:t>que</w:t>
      </w:r>
      <w:r>
        <w:rPr>
          <w:spacing w:val="11"/>
        </w:rPr>
        <w:t> </w:t>
      </w:r>
      <w:r>
        <w:rPr/>
        <w:t>el</w:t>
      </w:r>
      <w:r>
        <w:rPr>
          <w:spacing w:val="11"/>
        </w:rPr>
        <w:t> </w:t>
      </w:r>
      <w:r>
        <w:rPr/>
        <w:t>maestro</w:t>
      </w:r>
      <w:r>
        <w:rPr>
          <w:spacing w:val="11"/>
        </w:rPr>
        <w:t> </w:t>
      </w:r>
      <w:r>
        <w:rPr/>
        <w:t>albañil,</w:t>
      </w:r>
      <w:r>
        <w:rPr>
          <w:spacing w:val="9"/>
        </w:rPr>
        <w:t> </w:t>
      </w:r>
      <w:r>
        <w:rPr/>
        <w:t>recibe</w:t>
      </w:r>
      <w:r>
        <w:rPr>
          <w:spacing w:val="12"/>
        </w:rPr>
        <w:t> </w:t>
      </w:r>
      <w:r>
        <w:rPr/>
        <w:t>por</w:t>
      </w:r>
      <w:r>
        <w:rPr>
          <w:spacing w:val="10"/>
        </w:rPr>
        <w:t> </w:t>
      </w:r>
      <w:r>
        <w:rPr/>
        <w:t>su</w:t>
      </w:r>
      <w:r>
        <w:rPr>
          <w:spacing w:val="10"/>
        </w:rPr>
        <w:t> </w:t>
      </w:r>
      <w:r>
        <w:rPr/>
        <w:t>jornada</w:t>
      </w:r>
      <w:r>
        <w:rPr>
          <w:spacing w:val="12"/>
        </w:rPr>
        <w:t> </w:t>
      </w:r>
      <w:r>
        <w:rPr/>
        <w:t>entre</w:t>
      </w:r>
      <w:r>
        <w:rPr>
          <w:spacing w:val="8"/>
        </w:rPr>
        <w:t> </w:t>
      </w:r>
      <w:r>
        <w:rPr/>
        <w:t>los</w:t>
      </w:r>
      <w:r>
        <w:rPr>
          <w:spacing w:val="11"/>
        </w:rPr>
        <w:t> </w:t>
      </w:r>
      <w:r>
        <w:rPr/>
        <w:t>$</w:t>
      </w:r>
    </w:p>
    <w:p>
      <w:pPr>
        <w:pStyle w:val="BodyText"/>
        <w:spacing w:before="40"/>
        <w:ind w:left="901"/>
      </w:pPr>
      <w:r>
        <w:rPr/>
        <w:t>350.00 y $ 450.00 pesos M. N ordinariamente.</w:t>
      </w:r>
    </w:p>
    <w:p>
      <w:pPr>
        <w:pStyle w:val="BodyText"/>
        <w:spacing w:before="9"/>
        <w:rPr>
          <w:sz w:val="28"/>
        </w:rPr>
      </w:pPr>
    </w:p>
    <w:p>
      <w:pPr>
        <w:pStyle w:val="BodyText"/>
        <w:spacing w:line="276" w:lineRule="auto"/>
        <w:ind w:left="901" w:right="1154"/>
        <w:jc w:val="both"/>
      </w:pPr>
      <w:r>
        <w:rPr/>
        <w:t>El municipio a su vez, es generador de ingresos ya que en el trabajan obreros y profesionistas de otros municipios; en el sector primario, (cuadrillas de cortadores de caña y jimadores de agave) y en el secundario y terciario, aun cuando en menor escala, maestros, doctores, enfermeras, obreros, personal administrativo e ingenieros. Quienes laboran en Magdalena y en fechas diarias o semanalmente, retornan a sus municipios de origen o vecindad.</w:t>
      </w:r>
    </w:p>
    <w:p>
      <w:pPr>
        <w:pStyle w:val="BodyText"/>
        <w:spacing w:before="7"/>
        <w:rPr>
          <w:sz w:val="23"/>
        </w:rPr>
      </w:pPr>
    </w:p>
    <w:p>
      <w:pPr>
        <w:pStyle w:val="Heading2"/>
      </w:pPr>
      <w:r>
        <w:rPr/>
        <w:t>Agricultura y ganadería</w:t>
      </w:r>
    </w:p>
    <w:p>
      <w:pPr>
        <w:pStyle w:val="BodyText"/>
        <w:spacing w:before="9"/>
        <w:rPr>
          <w:rFonts w:ascii="Corbel"/>
          <w:b/>
          <w:sz w:val="25"/>
        </w:rPr>
      </w:pPr>
    </w:p>
    <w:p>
      <w:pPr>
        <w:pStyle w:val="BodyText"/>
        <w:spacing w:line="276" w:lineRule="auto" w:before="1"/>
        <w:ind w:left="901" w:right="1156"/>
        <w:jc w:val="both"/>
      </w:pPr>
      <w:r>
        <w:rPr/>
        <w:t>El municipio de Magdalena, Jalisco, está conformado en su aspecto topográfico, por aproximadamente un 60% de terrenos montañosos en tanto que el restante 40% está constituido por fértiles valles, que se originaron de la desecación de lo que fuera la gran laguna de Magdalena, cuyas playas bañaron las aguas en las estribaciones de lo que ahora es San Marcos, Etzatlán, San Juanito de Escobedo, Magdalena y San Andrés.</w:t>
      </w:r>
    </w:p>
    <w:p>
      <w:pPr>
        <w:pStyle w:val="BodyText"/>
        <w:spacing w:before="2"/>
        <w:rPr>
          <w:sz w:val="25"/>
        </w:rPr>
      </w:pPr>
    </w:p>
    <w:p>
      <w:pPr>
        <w:pStyle w:val="BodyText"/>
        <w:spacing w:line="276" w:lineRule="auto" w:before="1"/>
        <w:ind w:left="901" w:right="1155"/>
        <w:jc w:val="both"/>
      </w:pPr>
      <w:r>
        <w:rPr/>
        <w:t>Estas características topográficas le permiten que cuente con amplías posibilidades y aptitud para la agricultura en los terrenos planos y lomeríos que circundan el valle, en tanto que las áreas cerriles, son aptas para el pastoreo en la época de lluvias.</w:t>
      </w:r>
    </w:p>
    <w:p>
      <w:pPr>
        <w:pStyle w:val="BodyText"/>
        <w:spacing w:before="11"/>
        <w:rPr>
          <w:sz w:val="23"/>
        </w:rPr>
      </w:pPr>
    </w:p>
    <w:p>
      <w:pPr>
        <w:pStyle w:val="BodyText"/>
        <w:spacing w:line="276" w:lineRule="auto"/>
        <w:ind w:left="901" w:right="1156"/>
        <w:jc w:val="both"/>
      </w:pPr>
      <w:r>
        <w:rPr/>
        <w:t>De ahí que su agricultura y ganadería, son un pilar importante de la economía municipal, a ellos, debe brindarse especial atención, para incrementar sus rendimientos y ampliar el espectro de cultivos, buscando que sean aprovechadas estas tierras, en</w:t>
      </w:r>
    </w:p>
    <w:p>
      <w:pPr>
        <w:spacing w:after="0" w:line="276" w:lineRule="auto"/>
        <w:jc w:val="both"/>
        <w:sectPr>
          <w:pgSz w:w="12240" w:h="15840"/>
          <w:pgMar w:header="178" w:footer="1233" w:top="1120" w:bottom="1360" w:left="460" w:right="220"/>
        </w:sectPr>
      </w:pPr>
    </w:p>
    <w:p>
      <w:pPr>
        <w:pStyle w:val="BodyText"/>
        <w:rPr>
          <w:sz w:val="20"/>
        </w:rPr>
      </w:pPr>
    </w:p>
    <w:p>
      <w:pPr>
        <w:pStyle w:val="BodyText"/>
        <w:spacing w:before="3"/>
        <w:rPr>
          <w:sz w:val="21"/>
        </w:rPr>
      </w:pPr>
    </w:p>
    <w:p>
      <w:pPr>
        <w:pStyle w:val="BodyText"/>
        <w:spacing w:line="276" w:lineRule="auto"/>
        <w:ind w:left="901" w:right="1156"/>
        <w:jc w:val="both"/>
      </w:pPr>
      <w:r>
        <w:rPr/>
        <w:t>cultivos de alto rendimiento y de alto valor en el mercado, analizando y definiendo sus máximas potencialidades y propiciando cultivos más adecuados y aptos.</w:t>
      </w:r>
    </w:p>
    <w:p>
      <w:pPr>
        <w:pStyle w:val="BodyText"/>
        <w:spacing w:line="276" w:lineRule="auto" w:before="201"/>
        <w:ind w:left="901" w:right="1155"/>
        <w:jc w:val="both"/>
      </w:pPr>
      <w:r>
        <w:rPr/>
        <w:t>El valor de la producción agrícola en Magdalena se ha mantenido con un crecimiento sostenido durante el periodo 2012–2016, sin embargo, en 2015 presento un aumento sustancial. En 2016 presenta un decremento en comparación con el año anterior del 13.6%, con una participación de 0.60% en el total de la producción.</w:t>
      </w:r>
    </w:p>
    <w:p>
      <w:pPr>
        <w:pStyle w:val="BodyText"/>
        <w:spacing w:before="196"/>
        <w:ind w:left="1001" w:right="1259"/>
        <w:jc w:val="center"/>
        <w:rPr>
          <w:rFonts w:ascii="Corbel" w:hAnsi="Corbel"/>
        </w:rPr>
      </w:pPr>
      <w:r>
        <w:rPr>
          <w:rFonts w:ascii="Corbel" w:hAnsi="Corbel"/>
          <w:spacing w:val="-1"/>
          <w:w w:val="100"/>
        </w:rPr>
        <w:t>F</w:t>
      </w:r>
      <w:r>
        <w:rPr>
          <w:rFonts w:ascii="Corbel" w:hAnsi="Corbel"/>
          <w:w w:val="100"/>
        </w:rPr>
        <w:t>I</w:t>
      </w:r>
      <w:r>
        <w:rPr>
          <w:rFonts w:ascii="Corbel" w:hAnsi="Corbel"/>
          <w:spacing w:val="-2"/>
          <w:w w:val="100"/>
        </w:rPr>
        <w:t>G</w:t>
      </w:r>
      <w:r>
        <w:rPr>
          <w:rFonts w:ascii="Corbel" w:hAnsi="Corbel"/>
          <w:w w:val="100"/>
        </w:rPr>
        <w:t>URA</w:t>
      </w:r>
      <w:r>
        <w:rPr>
          <w:rFonts w:ascii="Corbel" w:hAnsi="Corbel"/>
          <w:spacing w:val="-3"/>
        </w:rPr>
        <w:t> </w:t>
      </w:r>
      <w:r>
        <w:rPr>
          <w:rFonts w:ascii="Corbel" w:hAnsi="Corbel"/>
          <w:spacing w:val="-1"/>
          <w:w w:val="100"/>
        </w:rPr>
        <w:t>9</w:t>
      </w:r>
      <w:r>
        <w:rPr>
          <w:rFonts w:ascii="Corbel" w:hAnsi="Corbel"/>
          <w:w w:val="100"/>
        </w:rPr>
        <w:t>.</w:t>
      </w:r>
      <w:r>
        <w:rPr>
          <w:rFonts w:ascii="Corbel" w:hAnsi="Corbel"/>
          <w:spacing w:val="-2"/>
        </w:rPr>
        <w:t> </w:t>
      </w:r>
      <w:r>
        <w:rPr>
          <w:rFonts w:ascii="Corbel" w:hAnsi="Corbel"/>
          <w:w w:val="100"/>
        </w:rPr>
        <w:t>VAL</w:t>
      </w:r>
      <w:r>
        <w:rPr>
          <w:rFonts w:ascii="Corbel" w:hAnsi="Corbel"/>
          <w:spacing w:val="-1"/>
          <w:w w:val="100"/>
        </w:rPr>
        <w:t>O</w:t>
      </w:r>
      <w:r>
        <w:rPr>
          <w:rFonts w:ascii="Corbel" w:hAnsi="Corbel"/>
          <w:w w:val="100"/>
        </w:rPr>
        <w:t>R</w:t>
      </w:r>
      <w:r>
        <w:rPr>
          <w:rFonts w:ascii="Corbel" w:hAnsi="Corbel"/>
          <w:spacing w:val="-2"/>
        </w:rPr>
        <w:t> </w:t>
      </w:r>
      <w:r>
        <w:rPr>
          <w:rFonts w:ascii="Corbel" w:hAnsi="Corbel"/>
          <w:w w:val="100"/>
        </w:rPr>
        <w:t>DE</w:t>
      </w:r>
      <w:r>
        <w:rPr>
          <w:rFonts w:ascii="Corbel" w:hAnsi="Corbel"/>
          <w:spacing w:val="-1"/>
        </w:rPr>
        <w:t> </w:t>
      </w:r>
      <w:r>
        <w:rPr>
          <w:rFonts w:ascii="Corbel" w:hAnsi="Corbel"/>
          <w:spacing w:val="-2"/>
          <w:w w:val="100"/>
        </w:rPr>
        <w:t>PR</w:t>
      </w:r>
      <w:r>
        <w:rPr>
          <w:rFonts w:ascii="Corbel" w:hAnsi="Corbel"/>
          <w:spacing w:val="1"/>
          <w:w w:val="100"/>
        </w:rPr>
        <w:t>O</w:t>
      </w:r>
      <w:r>
        <w:rPr>
          <w:rFonts w:ascii="Corbel" w:hAnsi="Corbel"/>
          <w:w w:val="100"/>
        </w:rPr>
        <w:t>D</w:t>
      </w:r>
      <w:r>
        <w:rPr>
          <w:rFonts w:ascii="Corbel" w:hAnsi="Corbel"/>
          <w:spacing w:val="1"/>
          <w:w w:val="100"/>
        </w:rPr>
        <w:t>U</w:t>
      </w:r>
      <w:r>
        <w:rPr>
          <w:rFonts w:ascii="Corbel" w:hAnsi="Corbel"/>
          <w:spacing w:val="-1"/>
          <w:w w:val="100"/>
        </w:rPr>
        <w:t>CC</w:t>
      </w:r>
      <w:r>
        <w:rPr>
          <w:rFonts w:ascii="Corbel" w:hAnsi="Corbel"/>
          <w:w w:val="100"/>
        </w:rPr>
        <w:t>I</w:t>
      </w:r>
      <w:r>
        <w:rPr>
          <w:rFonts w:ascii="Corbel" w:hAnsi="Corbel"/>
          <w:spacing w:val="-3"/>
          <w:w w:val="100"/>
        </w:rPr>
        <w:t>O</w:t>
      </w:r>
      <w:r>
        <w:rPr>
          <w:rFonts w:ascii="Corbel" w:hAnsi="Corbel"/>
          <w:w w:val="100"/>
        </w:rPr>
        <w:t>N</w:t>
      </w:r>
      <w:r>
        <w:rPr>
          <w:rFonts w:ascii="Corbel" w:hAnsi="Corbel"/>
        </w:rPr>
        <w:t> </w:t>
      </w:r>
      <w:r>
        <w:rPr>
          <w:rFonts w:ascii="Corbel" w:hAnsi="Corbel"/>
          <w:spacing w:val="-2"/>
          <w:w w:val="100"/>
        </w:rPr>
        <w:t>AGR</w:t>
      </w:r>
      <w:r>
        <w:rPr>
          <w:rFonts w:ascii="Corbel" w:hAnsi="Corbel"/>
          <w:w w:val="100"/>
        </w:rPr>
        <w:t>Í</w:t>
      </w:r>
      <w:r>
        <w:rPr>
          <w:rFonts w:ascii="Corbel" w:hAnsi="Corbel"/>
          <w:spacing w:val="-1"/>
          <w:w w:val="100"/>
        </w:rPr>
        <w:t>CO</w:t>
      </w:r>
      <w:r>
        <w:rPr>
          <w:rFonts w:ascii="Corbel" w:hAnsi="Corbel"/>
          <w:w w:val="100"/>
        </w:rPr>
        <w:t>LA</w:t>
      </w:r>
      <w:r>
        <w:rPr>
          <w:rFonts w:ascii="Corbel" w:hAnsi="Corbel"/>
          <w:spacing w:val="-2"/>
        </w:rPr>
        <w:t> </w:t>
      </w:r>
      <w:r>
        <w:rPr>
          <w:rFonts w:ascii="Corbel" w:hAnsi="Corbel"/>
          <w:w w:val="100"/>
        </w:rPr>
        <w:t>M</w:t>
      </w:r>
      <w:r>
        <w:rPr>
          <w:rFonts w:ascii="Corbel" w:hAnsi="Corbel"/>
          <w:spacing w:val="-2"/>
          <w:w w:val="100"/>
        </w:rPr>
        <w:t>AG</w:t>
      </w:r>
      <w:r>
        <w:rPr>
          <w:rFonts w:ascii="Corbel" w:hAnsi="Corbel"/>
          <w:w w:val="100"/>
        </w:rPr>
        <w:t>DALENA</w:t>
      </w:r>
      <w:r>
        <w:rPr>
          <w:rFonts w:ascii="Corbel" w:hAnsi="Corbel"/>
          <w:spacing w:val="-1"/>
        </w:rPr>
        <w:t> </w:t>
      </w:r>
      <w:r>
        <w:rPr>
          <w:rFonts w:ascii="Corbel" w:hAnsi="Corbel"/>
          <w:smallCaps/>
          <w:w w:val="100"/>
        </w:rPr>
        <w:t>2</w:t>
      </w:r>
      <w:r>
        <w:rPr>
          <w:rFonts w:ascii="Corbel" w:hAnsi="Corbel"/>
          <w:smallCaps/>
          <w:spacing w:val="-1"/>
          <w:w w:val="100"/>
        </w:rPr>
        <w:t>012</w:t>
      </w:r>
      <w:r>
        <w:rPr>
          <w:rFonts w:ascii="Corbel" w:hAnsi="Corbel"/>
          <w:smallCaps w:val="0"/>
          <w:w w:val="100"/>
        </w:rPr>
        <w:t>-</w:t>
      </w:r>
      <w:r>
        <w:rPr>
          <w:rFonts w:ascii="Corbel" w:hAnsi="Corbel"/>
          <w:smallCaps/>
          <w:w w:val="100"/>
        </w:rPr>
        <w:t>2</w:t>
      </w:r>
      <w:r>
        <w:rPr>
          <w:rFonts w:ascii="Corbel" w:hAnsi="Corbel"/>
          <w:smallCaps/>
          <w:spacing w:val="-1"/>
          <w:w w:val="100"/>
        </w:rPr>
        <w:t>01</w:t>
      </w:r>
      <w:r>
        <w:rPr>
          <w:rFonts w:ascii="Corbel" w:hAnsi="Corbel"/>
          <w:smallCaps/>
          <w:w w:val="100"/>
        </w:rPr>
        <w:t>6</w:t>
      </w:r>
      <w:r>
        <w:rPr>
          <w:rFonts w:ascii="Corbel" w:hAnsi="Corbel"/>
          <w:smallCaps w:val="0"/>
          <w:spacing w:val="-2"/>
        </w:rPr>
        <w:t> </w:t>
      </w:r>
      <w:r>
        <w:rPr>
          <w:rFonts w:ascii="Corbel" w:hAnsi="Corbel"/>
          <w:smallCaps w:val="0"/>
          <w:spacing w:val="-2"/>
          <w:w w:val="100"/>
        </w:rPr>
        <w:t>(</w:t>
      </w:r>
      <w:r>
        <w:rPr>
          <w:rFonts w:ascii="Corbel" w:hAnsi="Corbel"/>
          <w:smallCaps w:val="0"/>
          <w:w w:val="100"/>
        </w:rPr>
        <w:t>M</w:t>
      </w:r>
      <w:r>
        <w:rPr>
          <w:rFonts w:ascii="Corbel" w:hAnsi="Corbel"/>
          <w:smallCaps w:val="0"/>
          <w:spacing w:val="-2"/>
          <w:w w:val="100"/>
        </w:rPr>
        <w:t>I</w:t>
      </w:r>
      <w:r>
        <w:rPr>
          <w:rFonts w:ascii="Corbel" w:hAnsi="Corbel"/>
          <w:smallCaps w:val="0"/>
          <w:spacing w:val="-3"/>
          <w:w w:val="100"/>
        </w:rPr>
        <w:t>L</w:t>
      </w:r>
      <w:r>
        <w:rPr>
          <w:rFonts w:ascii="Corbel" w:hAnsi="Corbel"/>
          <w:smallCaps w:val="0"/>
          <w:w w:val="100"/>
        </w:rPr>
        <w:t>ES</w:t>
      </w:r>
      <w:r>
        <w:rPr>
          <w:rFonts w:ascii="Corbel" w:hAnsi="Corbel"/>
          <w:smallCaps w:val="0"/>
        </w:rPr>
        <w:t> </w:t>
      </w:r>
      <w:r>
        <w:rPr>
          <w:rFonts w:ascii="Corbel" w:hAnsi="Corbel"/>
          <w:smallCaps w:val="0"/>
          <w:w w:val="100"/>
        </w:rPr>
        <w:t>DE</w:t>
      </w:r>
      <w:r>
        <w:rPr>
          <w:rFonts w:ascii="Corbel" w:hAnsi="Corbel"/>
          <w:smallCaps w:val="0"/>
          <w:spacing w:val="-1"/>
        </w:rPr>
        <w:t> </w:t>
      </w:r>
      <w:r>
        <w:rPr>
          <w:rFonts w:ascii="Corbel" w:hAnsi="Corbel"/>
          <w:smallCaps w:val="0"/>
          <w:spacing w:val="-2"/>
          <w:w w:val="100"/>
        </w:rPr>
        <w:t>PE</w:t>
      </w:r>
      <w:r>
        <w:rPr>
          <w:rFonts w:ascii="Corbel" w:hAnsi="Corbel"/>
          <w:smallCaps w:val="0"/>
          <w:w w:val="100"/>
        </w:rPr>
        <w:t>SO</w:t>
      </w:r>
      <w:r>
        <w:rPr>
          <w:rFonts w:ascii="Corbel" w:hAnsi="Corbel"/>
          <w:smallCaps w:val="0"/>
          <w:spacing w:val="-2"/>
          <w:w w:val="100"/>
        </w:rPr>
        <w:t>S</w:t>
      </w:r>
      <w:r>
        <w:rPr>
          <w:rFonts w:ascii="Corbel" w:hAnsi="Corbel"/>
          <w:smallCaps w:val="0"/>
          <w:w w:val="100"/>
        </w:rPr>
        <w:t>)</w:t>
      </w:r>
    </w:p>
    <w:p>
      <w:pPr>
        <w:pStyle w:val="BodyText"/>
        <w:spacing w:before="1"/>
        <w:rPr>
          <w:rFonts w:ascii="Corbel"/>
          <w:sz w:val="18"/>
        </w:rPr>
      </w:pPr>
      <w:r>
        <w:rPr/>
        <w:pict>
          <v:group style="position:absolute;margin-left:89.279999pt;margin-top:13.012997pt;width:432pt;height:252pt;mso-position-horizontal-relative:page;mso-position-vertical-relative:paragraph;z-index:-251564032;mso-wrap-distance-left:0;mso-wrap-distance-right:0" coordorigin="1786,260" coordsize="8640,5040">
            <v:shape style="position:absolute;left:1785;top:260;width:8640;height:5040" type="#_x0000_t75" stroked="false">
              <v:imagedata r:id="rId56" o:title=""/>
            </v:shape>
            <v:shape style="position:absolute;left:3052;top:478;width:7067;height:4379" type="#_x0000_t75" stroked="false">
              <v:imagedata r:id="rId57" o:title=""/>
            </v:shape>
            <v:shape style="position:absolute;left:8761;top:4935;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2016</w:t>
                    </w:r>
                  </w:p>
                </w:txbxContent>
              </v:textbox>
              <w10:wrap type="none"/>
            </v:shape>
            <v:shape style="position:absolute;left:7456;top:4935;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2015</w:t>
                    </w:r>
                  </w:p>
                </w:txbxContent>
              </v:textbox>
              <w10:wrap type="none"/>
            </v:shape>
            <v:shape style="position:absolute;left:6152;top:4935;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2014</w:t>
                    </w:r>
                  </w:p>
                </w:txbxContent>
              </v:textbox>
              <w10:wrap type="none"/>
            </v:shape>
            <v:shape style="position:absolute;left:4848;top:4935;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2013</w:t>
                    </w:r>
                  </w:p>
                </w:txbxContent>
              </v:textbox>
              <w10:wrap type="none"/>
            </v:shape>
            <v:shape style="position:absolute;left:3544;top:4935;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2012</w:t>
                    </w:r>
                  </w:p>
                </w:txbxContent>
              </v:textbox>
              <w10:wrap type="none"/>
            </v:shape>
            <v:shape style="position:absolute;left:2035;top:3596;width:921;height:1330" type="#_x0000_t202" filled="false" stroked="false">
              <v:textbox inset="0,0,0,0">
                <w:txbxContent>
                  <w:p>
                    <w:pPr>
                      <w:spacing w:line="201" w:lineRule="exact" w:before="0"/>
                      <w:ind w:left="0" w:right="0" w:firstLine="0"/>
                      <w:jc w:val="left"/>
                      <w:rPr>
                        <w:rFonts w:ascii="Arial"/>
                        <w:sz w:val="18"/>
                      </w:rPr>
                    </w:pPr>
                    <w:r>
                      <w:rPr>
                        <w:rFonts w:ascii="Arial"/>
                        <w:color w:val="D9D9D9"/>
                        <w:sz w:val="18"/>
                      </w:rPr>
                      <w:t>100,000.00</w:t>
                    </w:r>
                  </w:p>
                  <w:p>
                    <w:pPr>
                      <w:spacing w:line="240" w:lineRule="auto" w:before="3"/>
                      <w:rPr>
                        <w:rFonts w:ascii="Corbel"/>
                        <w:sz w:val="29"/>
                      </w:rPr>
                    </w:pPr>
                  </w:p>
                  <w:p>
                    <w:pPr>
                      <w:spacing w:before="0"/>
                      <w:ind w:left="0" w:right="18" w:firstLine="0"/>
                      <w:jc w:val="right"/>
                      <w:rPr>
                        <w:rFonts w:ascii="Arial"/>
                        <w:sz w:val="18"/>
                      </w:rPr>
                    </w:pPr>
                    <w:r>
                      <w:rPr>
                        <w:rFonts w:ascii="Arial"/>
                        <w:color w:val="D9D9D9"/>
                        <w:spacing w:val="-1"/>
                        <w:sz w:val="18"/>
                      </w:rPr>
                      <w:t>50,000.00</w:t>
                    </w:r>
                  </w:p>
                  <w:p>
                    <w:pPr>
                      <w:spacing w:line="240" w:lineRule="auto" w:before="3"/>
                      <w:rPr>
                        <w:rFonts w:ascii="Corbel"/>
                        <w:sz w:val="29"/>
                      </w:rPr>
                    </w:pPr>
                  </w:p>
                  <w:p>
                    <w:pPr>
                      <w:spacing w:before="0"/>
                      <w:ind w:left="0" w:right="18" w:firstLine="0"/>
                      <w:jc w:val="right"/>
                      <w:rPr>
                        <w:rFonts w:ascii="Arial"/>
                        <w:sz w:val="18"/>
                      </w:rPr>
                    </w:pPr>
                    <w:r>
                      <w:rPr>
                        <w:rFonts w:ascii="Arial"/>
                        <w:color w:val="D9D9D9"/>
                        <w:spacing w:val="-1"/>
                        <w:sz w:val="18"/>
                      </w:rPr>
                      <w:t>0.00</w:t>
                    </w:r>
                  </w:p>
                </w:txbxContent>
              </v:textbox>
              <w10:wrap type="none"/>
            </v:shape>
            <v:shape style="position:absolute;left:3424;top:3330;width:926;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229,678.10</w:t>
                    </w:r>
                  </w:p>
                </w:txbxContent>
              </v:textbox>
              <w10:wrap type="none"/>
            </v:shape>
            <v:shape style="position:absolute;left:8641;top:3074;width:929;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275,034.90</w:t>
                    </w:r>
                  </w:p>
                </w:txbxContent>
              </v:textbox>
              <w10:wrap type="none"/>
            </v:shape>
            <v:shape style="position:absolute;left:4728;top:3145;width:926;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262,336.60</w:t>
                    </w:r>
                  </w:p>
                </w:txbxContent>
              </v:textbox>
              <w10:wrap type="none"/>
            </v:shape>
            <v:shape style="position:absolute;left:7336;top:2829;width:929;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318,364.00</w:t>
                    </w:r>
                  </w:p>
                </w:txbxContent>
              </v:textbox>
              <w10:wrap type="none"/>
            </v:shape>
            <v:shape style="position:absolute;left:6032;top:2962;width:929;height:202" type="#_x0000_t202" filled="false" stroked="false">
              <v:textbox inset="0,0,0,0">
                <w:txbxContent>
                  <w:p>
                    <w:pPr>
                      <w:spacing w:line="202" w:lineRule="exact" w:before="0"/>
                      <w:ind w:left="0" w:right="0" w:firstLine="0"/>
                      <w:jc w:val="left"/>
                      <w:rPr>
                        <w:rFonts w:ascii="Arial"/>
                        <w:sz w:val="18"/>
                      </w:rPr>
                    </w:pPr>
                    <w:r>
                      <w:rPr>
                        <w:rFonts w:ascii="Arial"/>
                        <w:color w:val="D9D9D9"/>
                        <w:sz w:val="18"/>
                      </w:rPr>
                      <w:t>294,745.90</w:t>
                    </w:r>
                  </w:p>
                </w:txbxContent>
              </v:textbox>
              <w10:wrap type="none"/>
            </v:shape>
            <v:shape style="position:absolute;left:2035;top:776;width:921;height:2458" type="#_x0000_t202" filled="false" stroked="false">
              <v:textbox inset="0,0,0,0">
                <w:txbxContent>
                  <w:p>
                    <w:pPr>
                      <w:spacing w:line="201" w:lineRule="exact" w:before="0"/>
                      <w:ind w:left="0" w:right="0" w:firstLine="0"/>
                      <w:jc w:val="left"/>
                      <w:rPr>
                        <w:rFonts w:ascii="Arial"/>
                        <w:sz w:val="18"/>
                      </w:rPr>
                    </w:pPr>
                    <w:r>
                      <w:rPr>
                        <w:rFonts w:ascii="Arial"/>
                        <w:color w:val="D9D9D9"/>
                        <w:sz w:val="18"/>
                      </w:rPr>
                      <w:t>350,000.00</w:t>
                    </w:r>
                  </w:p>
                  <w:p>
                    <w:pPr>
                      <w:spacing w:line="240" w:lineRule="auto" w:before="3"/>
                      <w:rPr>
                        <w:rFonts w:ascii="Corbel"/>
                        <w:sz w:val="29"/>
                      </w:rPr>
                    </w:pPr>
                  </w:p>
                  <w:p>
                    <w:pPr>
                      <w:spacing w:before="0"/>
                      <w:ind w:left="0" w:right="0" w:firstLine="0"/>
                      <w:jc w:val="left"/>
                      <w:rPr>
                        <w:rFonts w:ascii="Arial"/>
                        <w:sz w:val="18"/>
                      </w:rPr>
                    </w:pPr>
                    <w:r>
                      <w:rPr>
                        <w:rFonts w:ascii="Arial"/>
                        <w:color w:val="D9D9D9"/>
                        <w:sz w:val="18"/>
                      </w:rPr>
                      <w:t>300,000.00</w:t>
                    </w:r>
                  </w:p>
                  <w:p>
                    <w:pPr>
                      <w:spacing w:line="240" w:lineRule="auto" w:before="3"/>
                      <w:rPr>
                        <w:rFonts w:ascii="Corbel"/>
                        <w:sz w:val="29"/>
                      </w:rPr>
                    </w:pPr>
                  </w:p>
                  <w:p>
                    <w:pPr>
                      <w:spacing w:before="0"/>
                      <w:ind w:left="0" w:right="0" w:firstLine="0"/>
                      <w:jc w:val="left"/>
                      <w:rPr>
                        <w:rFonts w:ascii="Arial"/>
                        <w:sz w:val="18"/>
                      </w:rPr>
                    </w:pPr>
                    <w:r>
                      <w:rPr>
                        <w:rFonts w:ascii="Arial"/>
                        <w:color w:val="D9D9D9"/>
                        <w:sz w:val="18"/>
                      </w:rPr>
                      <w:t>250,000.00</w:t>
                    </w:r>
                  </w:p>
                  <w:p>
                    <w:pPr>
                      <w:spacing w:line="240" w:lineRule="auto" w:before="3"/>
                      <w:rPr>
                        <w:rFonts w:ascii="Corbel"/>
                        <w:sz w:val="29"/>
                      </w:rPr>
                    </w:pPr>
                  </w:p>
                  <w:p>
                    <w:pPr>
                      <w:spacing w:before="0"/>
                      <w:ind w:left="0" w:right="0" w:firstLine="0"/>
                      <w:jc w:val="left"/>
                      <w:rPr>
                        <w:rFonts w:ascii="Arial"/>
                        <w:sz w:val="18"/>
                      </w:rPr>
                    </w:pPr>
                    <w:r>
                      <w:rPr>
                        <w:rFonts w:ascii="Arial"/>
                        <w:color w:val="D9D9D9"/>
                        <w:sz w:val="18"/>
                      </w:rPr>
                      <w:t>200,000.00</w:t>
                    </w:r>
                  </w:p>
                  <w:p>
                    <w:pPr>
                      <w:spacing w:line="240" w:lineRule="auto" w:before="3"/>
                      <w:rPr>
                        <w:rFonts w:ascii="Corbel"/>
                        <w:sz w:val="29"/>
                      </w:rPr>
                    </w:pPr>
                  </w:p>
                  <w:p>
                    <w:pPr>
                      <w:spacing w:before="0"/>
                      <w:ind w:left="0" w:right="0" w:firstLine="0"/>
                      <w:jc w:val="left"/>
                      <w:rPr>
                        <w:rFonts w:ascii="Arial"/>
                        <w:sz w:val="18"/>
                      </w:rPr>
                    </w:pPr>
                    <w:r>
                      <w:rPr>
                        <w:rFonts w:ascii="Arial"/>
                        <w:color w:val="D9D9D9"/>
                        <w:sz w:val="18"/>
                      </w:rPr>
                      <w:t>150,000.00</w:t>
                    </w:r>
                  </w:p>
                </w:txbxContent>
              </v:textbox>
              <w10:wrap type="none"/>
            </v:shape>
            <w10:wrap type="topAndBottom"/>
          </v:group>
        </w:pict>
      </w:r>
    </w:p>
    <w:p>
      <w:pPr>
        <w:pStyle w:val="BodyText"/>
        <w:spacing w:before="7"/>
        <w:rPr>
          <w:rFonts w:ascii="Corbel"/>
          <w:sz w:val="18"/>
        </w:rPr>
      </w:pPr>
    </w:p>
    <w:p>
      <w:pPr>
        <w:spacing w:before="0"/>
        <w:ind w:left="1001" w:right="1262" w:firstLine="0"/>
        <w:jc w:val="center"/>
        <w:rPr>
          <w:sz w:val="15"/>
        </w:rPr>
      </w:pPr>
      <w:r>
        <w:rPr>
          <w:b/>
          <w:sz w:val="15"/>
        </w:rPr>
        <w:t>Fuente: </w:t>
      </w:r>
      <w:r>
        <w:rPr>
          <w:color w:val="333333"/>
          <w:sz w:val="15"/>
        </w:rPr>
        <w:t>IIEG, Instituto de Información Estadística y Geográfica del Estado de Jalisco; información de SIAP / SAGARPA - OEIDRUS.</w:t>
      </w:r>
    </w:p>
    <w:p>
      <w:pPr>
        <w:pStyle w:val="BodyText"/>
        <w:spacing w:before="5"/>
        <w:rPr>
          <w:sz w:val="16"/>
        </w:rPr>
      </w:pPr>
    </w:p>
    <w:p>
      <w:pPr>
        <w:pStyle w:val="BodyText"/>
        <w:spacing w:line="276" w:lineRule="auto" w:before="1"/>
        <w:ind w:left="901" w:right="1154"/>
        <w:jc w:val="both"/>
      </w:pPr>
      <w:r>
        <w:rPr/>
        <w:t>Por su parte, la producción ganadera en Magdalena ha presentado variaciones durante el periodo 2012-2016. Siendo su valor más alto el del año 2014. Representando solamente el 0.09% de la producción ganadera total del Estado para el 2016.</w:t>
      </w:r>
    </w:p>
    <w:p>
      <w:pPr>
        <w:pStyle w:val="BodyText"/>
        <w:spacing w:line="276" w:lineRule="auto" w:before="199"/>
        <w:ind w:left="901" w:right="1155"/>
        <w:jc w:val="both"/>
      </w:pPr>
      <w:r>
        <w:rPr/>
        <w:t>El municipio de Magdalena, ha sido particularmente próspero en el renglón agropecuario, el sector ganadero ha dedicado un particular esfuerzo a su superación, y desde hace muchos años, Magdalena fue el centro de operación de la COMPRAVENTA de ganado vacuno, porcino, caballar, en menor cantidad caprino y ovino, no solo de las localidades que conforman el municipio sino de una amplia Región de la Sierra de Hostotipaquillo y Tequila, donde eran bajadas las "manadas” de ganado para ser vendidas a los rastros locales o ser embarcadas al Rastro de Guadalajara.</w:t>
      </w:r>
    </w:p>
    <w:p>
      <w:pPr>
        <w:pStyle w:val="BodyText"/>
        <w:spacing w:line="276" w:lineRule="auto" w:before="201"/>
        <w:ind w:left="901" w:right="1156"/>
        <w:jc w:val="both"/>
      </w:pPr>
      <w:r>
        <w:rPr/>
        <w:t>En la actualidad, no hay en Magdalena grandes criadores de ganado, ni engordas representativas, no obstante, se cubre con creces el mercado local.</w:t>
      </w:r>
    </w:p>
    <w:p>
      <w:pPr>
        <w:spacing w:after="0" w:line="276" w:lineRule="auto"/>
        <w:jc w:val="both"/>
        <w:sectPr>
          <w:pgSz w:w="12240" w:h="15840"/>
          <w:pgMar w:header="178" w:footer="1233"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El ganado vacuno que se cría en el municipio, es de diversas razas, entre otras, suizo lechero, hosting, cebú y semental, predominando entre los más importantes el ganado de cruza entre cebú y semental, conforme a los datos reportados por la oficina de ganadería de la localidad, que es la encargada de llevar el registro pormenorizado de la actividad pecuaria.</w:t>
      </w:r>
    </w:p>
    <w:p>
      <w:pPr>
        <w:pStyle w:val="BodyText"/>
        <w:spacing w:before="5"/>
        <w:rPr>
          <w:sz w:val="25"/>
        </w:rPr>
      </w:pPr>
    </w:p>
    <w:p>
      <w:pPr>
        <w:pStyle w:val="BodyText"/>
        <w:spacing w:line="276" w:lineRule="auto"/>
        <w:ind w:left="901" w:right="1156"/>
        <w:jc w:val="both"/>
      </w:pPr>
      <w:r>
        <w:rPr/>
        <w:t>El ganado cabrío es de larga tradición que se cría en Magdalena, se pastoreaba en las zonas federales del Ferrocarril del Pacífico y se tenían manadas de 50, 100 y mayores. El ganado ovino, es de reciente producción en el municipio, resultando muy favorecidos a la fecha, los de tipo peli buey.</w:t>
      </w:r>
    </w:p>
    <w:p>
      <w:pPr>
        <w:spacing w:before="184"/>
        <w:ind w:left="2946" w:right="3206" w:firstLine="0"/>
        <w:jc w:val="center"/>
        <w:rPr>
          <w:sz w:val="21"/>
        </w:rPr>
      </w:pPr>
      <w:r>
        <w:rPr/>
        <w:pict>
          <v:group style="position:absolute;margin-left:119.760002pt;margin-top:40.471497pt;width:372.4pt;height:217.1pt;mso-position-horizontal-relative:page;mso-position-vertical-relative:paragraph;z-index:-251556864;mso-wrap-distance-left:0;mso-wrap-distance-right:0" coordorigin="2395,809" coordsize="7448,4342">
            <v:shape style="position:absolute;left:2395;top:809;width:7448;height:4342" type="#_x0000_t75" stroked="false">
              <v:imagedata r:id="rId59" o:title=""/>
            </v:shape>
            <v:shape style="position:absolute;left:3556;top:1027;width:5985;height:3683" type="#_x0000_t75" stroked="false">
              <v:imagedata r:id="rId60" o:title=""/>
            </v:shape>
            <v:shape style="position:absolute;left:8354;top:4786;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2016</w:t>
                    </w:r>
                  </w:p>
                </w:txbxContent>
              </v:textbox>
              <w10:wrap type="none"/>
            </v:shape>
            <v:shape style="position:absolute;left:7252;top:4786;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2015</w:t>
                    </w:r>
                  </w:p>
                </w:txbxContent>
              </v:textbox>
              <w10:wrap type="none"/>
            </v:shape>
            <v:shape style="position:absolute;left:6150;top:4786;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2014</w:t>
                    </w:r>
                  </w:p>
                </w:txbxContent>
              </v:textbox>
              <w10:wrap type="none"/>
            </v:shape>
            <v:shape style="position:absolute;left:5048;top:4786;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2013</w:t>
                    </w:r>
                  </w:p>
                </w:txbxContent>
              </v:textbox>
              <w10:wrap type="none"/>
            </v:shape>
            <v:shape style="position:absolute;left:3946;top:4786;width:420;height:202" type="#_x0000_t202" filled="false" stroked="false">
              <v:textbox inset="0,0,0,0">
                <w:txbxContent>
                  <w:p>
                    <w:pPr>
                      <w:spacing w:line="201" w:lineRule="exact" w:before="0"/>
                      <w:ind w:left="0" w:right="0" w:firstLine="0"/>
                      <w:jc w:val="left"/>
                      <w:rPr>
                        <w:rFonts w:ascii="Arial"/>
                        <w:sz w:val="18"/>
                      </w:rPr>
                    </w:pPr>
                    <w:r>
                      <w:rPr>
                        <w:rFonts w:ascii="Arial"/>
                        <w:color w:val="D9D9D9"/>
                        <w:sz w:val="18"/>
                      </w:rPr>
                      <w:t>2012</w:t>
                    </w:r>
                  </w:p>
                </w:txbxContent>
              </v:textbox>
              <w10:wrap type="none"/>
            </v:shape>
            <v:shape style="position:absolute;left:2639;top:1272;width:821;height:3506" type="#_x0000_t202" filled="false" stroked="false">
              <v:textbox inset="0,0,0,0">
                <w:txbxContent>
                  <w:p>
                    <w:pPr>
                      <w:spacing w:line="201" w:lineRule="exact" w:before="0"/>
                      <w:ind w:left="0" w:right="0" w:firstLine="0"/>
                      <w:jc w:val="left"/>
                      <w:rPr>
                        <w:rFonts w:ascii="Arial"/>
                        <w:sz w:val="18"/>
                      </w:rPr>
                    </w:pPr>
                    <w:r>
                      <w:rPr>
                        <w:rFonts w:ascii="Arial"/>
                        <w:color w:val="D9D9D9"/>
                        <w:sz w:val="18"/>
                      </w:rPr>
                      <w:t>90,000.00</w:t>
                    </w:r>
                  </w:p>
                  <w:p>
                    <w:pPr>
                      <w:spacing w:before="159"/>
                      <w:ind w:left="0" w:right="18" w:firstLine="0"/>
                      <w:jc w:val="right"/>
                      <w:rPr>
                        <w:rFonts w:ascii="Arial"/>
                        <w:sz w:val="18"/>
                      </w:rPr>
                    </w:pPr>
                    <w:r>
                      <w:rPr>
                        <w:rFonts w:ascii="Arial"/>
                        <w:color w:val="D9D9D9"/>
                        <w:spacing w:val="-1"/>
                        <w:sz w:val="18"/>
                      </w:rPr>
                      <w:t>80,000.00</w:t>
                    </w:r>
                  </w:p>
                  <w:p>
                    <w:pPr>
                      <w:spacing w:before="161"/>
                      <w:ind w:left="0" w:right="18" w:firstLine="0"/>
                      <w:jc w:val="right"/>
                      <w:rPr>
                        <w:rFonts w:ascii="Arial"/>
                        <w:sz w:val="18"/>
                      </w:rPr>
                    </w:pPr>
                    <w:r>
                      <w:rPr>
                        <w:rFonts w:ascii="Arial"/>
                        <w:color w:val="D9D9D9"/>
                        <w:spacing w:val="-1"/>
                        <w:sz w:val="18"/>
                      </w:rPr>
                      <w:t>70,000.00</w:t>
                    </w:r>
                  </w:p>
                  <w:p>
                    <w:pPr>
                      <w:spacing w:before="160"/>
                      <w:ind w:left="0" w:right="18" w:firstLine="0"/>
                      <w:jc w:val="right"/>
                      <w:rPr>
                        <w:rFonts w:ascii="Arial"/>
                        <w:sz w:val="18"/>
                      </w:rPr>
                    </w:pPr>
                    <w:r>
                      <w:rPr>
                        <w:rFonts w:ascii="Arial"/>
                        <w:color w:val="D9D9D9"/>
                        <w:spacing w:val="-1"/>
                        <w:sz w:val="18"/>
                      </w:rPr>
                      <w:t>60,000.00</w:t>
                    </w:r>
                  </w:p>
                  <w:p>
                    <w:pPr>
                      <w:spacing w:before="160"/>
                      <w:ind w:left="0" w:right="18" w:firstLine="0"/>
                      <w:jc w:val="right"/>
                      <w:rPr>
                        <w:rFonts w:ascii="Arial"/>
                        <w:sz w:val="18"/>
                      </w:rPr>
                    </w:pPr>
                    <w:r>
                      <w:rPr>
                        <w:rFonts w:ascii="Arial"/>
                        <w:color w:val="D9D9D9"/>
                        <w:spacing w:val="-1"/>
                        <w:sz w:val="18"/>
                      </w:rPr>
                      <w:t>50,000.00</w:t>
                    </w:r>
                  </w:p>
                  <w:p>
                    <w:pPr>
                      <w:spacing w:before="160"/>
                      <w:ind w:left="0" w:right="18" w:firstLine="0"/>
                      <w:jc w:val="right"/>
                      <w:rPr>
                        <w:rFonts w:ascii="Arial"/>
                        <w:sz w:val="18"/>
                      </w:rPr>
                    </w:pPr>
                    <w:r>
                      <w:rPr>
                        <w:rFonts w:ascii="Arial"/>
                        <w:color w:val="D9D9D9"/>
                        <w:spacing w:val="-1"/>
                        <w:sz w:val="18"/>
                      </w:rPr>
                      <w:t>40,000.00</w:t>
                    </w:r>
                  </w:p>
                  <w:p>
                    <w:pPr>
                      <w:spacing w:before="160"/>
                      <w:ind w:left="0" w:right="18" w:firstLine="0"/>
                      <w:jc w:val="right"/>
                      <w:rPr>
                        <w:rFonts w:ascii="Arial"/>
                        <w:sz w:val="18"/>
                      </w:rPr>
                    </w:pPr>
                    <w:r>
                      <w:rPr>
                        <w:rFonts w:ascii="Arial"/>
                        <w:color w:val="D9D9D9"/>
                        <w:spacing w:val="-1"/>
                        <w:sz w:val="18"/>
                      </w:rPr>
                      <w:t>30,000.00</w:t>
                    </w:r>
                  </w:p>
                  <w:p>
                    <w:pPr>
                      <w:spacing w:before="161"/>
                      <w:ind w:left="0" w:right="18" w:firstLine="0"/>
                      <w:jc w:val="right"/>
                      <w:rPr>
                        <w:rFonts w:ascii="Arial"/>
                        <w:sz w:val="18"/>
                      </w:rPr>
                    </w:pPr>
                    <w:r>
                      <w:rPr>
                        <w:rFonts w:ascii="Arial"/>
                        <w:color w:val="D9D9D9"/>
                        <w:spacing w:val="-1"/>
                        <w:sz w:val="18"/>
                      </w:rPr>
                      <w:t>20,000.00</w:t>
                    </w:r>
                  </w:p>
                  <w:p>
                    <w:pPr>
                      <w:spacing w:before="160"/>
                      <w:ind w:left="0" w:right="18" w:firstLine="0"/>
                      <w:jc w:val="right"/>
                      <w:rPr>
                        <w:rFonts w:ascii="Arial"/>
                        <w:sz w:val="18"/>
                      </w:rPr>
                    </w:pPr>
                    <w:r>
                      <w:rPr>
                        <w:rFonts w:ascii="Arial"/>
                        <w:color w:val="D9D9D9"/>
                        <w:spacing w:val="-1"/>
                        <w:sz w:val="18"/>
                      </w:rPr>
                      <w:t>10,000.00</w:t>
                    </w:r>
                  </w:p>
                  <w:p>
                    <w:pPr>
                      <w:spacing w:before="160"/>
                      <w:ind w:left="0" w:right="18" w:firstLine="0"/>
                      <w:jc w:val="right"/>
                      <w:rPr>
                        <w:rFonts w:ascii="Arial"/>
                        <w:sz w:val="18"/>
                      </w:rPr>
                    </w:pPr>
                    <w:r>
                      <w:rPr>
                        <w:rFonts w:ascii="Arial"/>
                        <w:color w:val="D9D9D9"/>
                        <w:spacing w:val="-1"/>
                        <w:sz w:val="18"/>
                      </w:rPr>
                      <w:t>0.00</w:t>
                    </w:r>
                  </w:p>
                </w:txbxContent>
              </v:textbox>
              <w10:wrap type="none"/>
            </v:shape>
            <w10:wrap type="topAndBottom"/>
          </v:group>
        </w:pict>
      </w:r>
      <w:r>
        <w:rPr>
          <w:sz w:val="21"/>
        </w:rPr>
        <w:t>FIGURA 10. VALOR DE LA PRODUCCION GANADERA MAGDALENA 2012-2016 (MILES DE PESOS)</w:t>
      </w:r>
    </w:p>
    <w:p>
      <w:pPr>
        <w:spacing w:before="102"/>
        <w:ind w:left="1001" w:right="1257" w:firstLine="0"/>
        <w:jc w:val="center"/>
        <w:rPr>
          <w:sz w:val="15"/>
        </w:rPr>
      </w:pPr>
      <w:r>
        <w:rPr>
          <w:b/>
          <w:sz w:val="15"/>
        </w:rPr>
        <w:t>Fuente</w:t>
      </w:r>
      <w:r>
        <w:rPr>
          <w:sz w:val="15"/>
        </w:rPr>
        <w:t>: </w:t>
      </w:r>
      <w:r>
        <w:rPr>
          <w:color w:val="333333"/>
          <w:sz w:val="15"/>
        </w:rPr>
        <w:t>IIEG, Instituto de Información Estadística y Geográfica del Estado de Jalisco; información de SIAP / SAGARPA – OEIDRU</w:t>
      </w:r>
    </w:p>
    <w:p>
      <w:pPr>
        <w:pStyle w:val="BodyText"/>
        <w:rPr>
          <w:sz w:val="18"/>
        </w:rPr>
      </w:pPr>
    </w:p>
    <w:p>
      <w:pPr>
        <w:pStyle w:val="BodyText"/>
        <w:rPr>
          <w:sz w:val="18"/>
        </w:rPr>
      </w:pPr>
    </w:p>
    <w:p>
      <w:pPr>
        <w:pStyle w:val="BodyText"/>
        <w:spacing w:before="11"/>
        <w:rPr>
          <w:sz w:val="20"/>
        </w:rPr>
      </w:pPr>
    </w:p>
    <w:p>
      <w:pPr>
        <w:pStyle w:val="Heading2"/>
        <w:jc w:val="both"/>
        <w:rPr>
          <w:rFonts w:ascii="Century Gothic"/>
        </w:rPr>
      </w:pPr>
      <w:r>
        <w:rPr>
          <w:rFonts w:ascii="Century Gothic"/>
        </w:rPr>
        <w:t>Superficies cultivables de temporal</w:t>
      </w:r>
    </w:p>
    <w:p>
      <w:pPr>
        <w:pStyle w:val="BodyText"/>
        <w:spacing w:line="276" w:lineRule="auto" w:before="199"/>
        <w:ind w:left="901" w:right="1154"/>
        <w:jc w:val="both"/>
      </w:pPr>
      <w:r>
        <w:rPr/>
        <w:t>El área destinada para la producciónn agrícola ocupa parte importante del territorio municipal, misma que se incrementa en forma constante en razón de la plantación de agave, que incorpora al suelo de cultivo, espacios que por lo general, solo eran destinados a la ganadería en muy baja escala, por no ser factibles de un pastoreo intensivo, ya que son tierras relativamente de baja calidad agrícola, pero que para el cultivo del agave, reúnen los requisitos mínimos indispensables de calidad y resultan productivas y redituables.</w:t>
      </w:r>
    </w:p>
    <w:p>
      <w:pPr>
        <w:spacing w:after="0" w:line="276" w:lineRule="auto"/>
        <w:jc w:val="both"/>
        <w:sectPr>
          <w:footerReference w:type="default" r:id="rId58"/>
          <w:pgSz w:w="12240" w:h="15840"/>
          <w:pgMar w:footer="1142" w:header="178" w:top="1120" w:bottom="1340" w:left="460" w:right="220"/>
          <w:pgNumType w:start="110"/>
        </w:sectPr>
      </w:pPr>
    </w:p>
    <w:p>
      <w:pPr>
        <w:pStyle w:val="BodyText"/>
        <w:rPr>
          <w:sz w:val="20"/>
        </w:rPr>
      </w:pPr>
    </w:p>
    <w:p>
      <w:pPr>
        <w:pStyle w:val="BodyText"/>
        <w:spacing w:before="3"/>
        <w:rPr>
          <w:sz w:val="21"/>
        </w:rPr>
      </w:pPr>
    </w:p>
    <w:p>
      <w:pPr>
        <w:pStyle w:val="BodyText"/>
        <w:spacing w:line="276" w:lineRule="auto"/>
        <w:ind w:left="901" w:right="1155"/>
        <w:jc w:val="both"/>
      </w:pPr>
      <w:r>
        <w:rPr/>
        <w:t>Magdalena, cuyo territorio se ubica en el corredor tequilero, se incorpora día a día y de manera rápida con una extensión superficial que ocupa un lugar importante, en las áreas destinadas al cultivo del agave, producto cuyo gusto y calidad se ha extendido a numerosos países del mundo, generando con ello un incremento en la necesidad </w:t>
      </w:r>
      <w:r>
        <w:rPr>
          <w:spacing w:val="-3"/>
        </w:rPr>
        <w:t>de </w:t>
      </w:r>
      <w:r>
        <w:rPr/>
        <w:t>mayores superficies cultivadas con agave, lo que aumenta notoriamente el potencial agropecuario, que ahora incorpora también terrenos cerriles y de lomeríos no muy aptas para cultivos como el maíz o el fríjol, chile, u otras especies, cuyos rendimientos serían en esos terrenos, solo de</w:t>
      </w:r>
      <w:r>
        <w:rPr>
          <w:spacing w:val="-10"/>
        </w:rPr>
        <w:t> </w:t>
      </w:r>
      <w:r>
        <w:rPr/>
        <w:t>subsistencia.</w:t>
      </w:r>
    </w:p>
    <w:p>
      <w:pPr>
        <w:pStyle w:val="BodyText"/>
        <w:spacing w:line="276" w:lineRule="auto" w:before="199"/>
        <w:ind w:left="901" w:right="1152"/>
        <w:jc w:val="both"/>
      </w:pPr>
      <w:r>
        <w:rPr/>
        <w:t>Es así que una considerable superficie que tradicionalmente cultivaba maíz en distintos rumbos del territorio municipal, ahora está alternando o y en muchos casos, dedicada definitivamente al cultivo de agave, en virtud de su mayor margen de ganancia y de la seguridad y menor riesgo por causas naturales.</w:t>
      </w:r>
    </w:p>
    <w:p>
      <w:pPr>
        <w:pStyle w:val="BodyText"/>
        <w:spacing w:line="276" w:lineRule="auto" w:before="203"/>
        <w:ind w:left="901" w:right="1153"/>
        <w:jc w:val="both"/>
      </w:pPr>
      <w:r>
        <w:rPr/>
        <w:t>Aun cuando el cultivo del agave será muy benéfico para el municipio, es preciso desde este momento hacer un llamado de atención, para que las superficies que se están incorporando a él sean tratadas con extremo cuidado en cuanto a la posibilidad </w:t>
      </w:r>
      <w:r>
        <w:rPr>
          <w:spacing w:val="-3"/>
        </w:rPr>
        <w:t>de</w:t>
      </w:r>
      <w:r>
        <w:rPr>
          <w:spacing w:val="54"/>
        </w:rPr>
        <w:t> </w:t>
      </w:r>
      <w:r>
        <w:rPr/>
        <w:t>que esas tierras se erosionen y en pocos años se conviertan en terrenos improductivos, dado que el solo mezcal o agave, desprotege una superficie de tierras alrededor de su planta, que puede ser presa de la erosión por aire, agua u otros agentes, por lo que  será necesario se estudien los métodos de conservación de suelos más adecuados </w:t>
      </w:r>
      <w:r>
        <w:rPr>
          <w:spacing w:val="-5"/>
        </w:rPr>
        <w:t>al </w:t>
      </w:r>
      <w:r>
        <w:rPr/>
        <w:t>caso, ya sea mediante la construcción de terrazas, o algún otro sistema de protección para las tierras cerriles que se estarán incorporando, y pierden la protección natural que los pastos le brindaban contra la erosión, debiendo extremar cuidados en aquellos caso en que se cultiven en terrenos que presenten pendientes muy</w:t>
      </w:r>
      <w:r>
        <w:rPr>
          <w:spacing w:val="-17"/>
        </w:rPr>
        <w:t> </w:t>
      </w:r>
      <w:r>
        <w:rPr/>
        <w:t>pronunciadas.</w:t>
      </w:r>
    </w:p>
    <w:p>
      <w:pPr>
        <w:pStyle w:val="Heading4"/>
        <w:spacing w:before="200"/>
        <w:jc w:val="both"/>
      </w:pPr>
      <w:r>
        <w:rPr/>
        <w:t>Superficies cultivables de riego</w:t>
      </w:r>
    </w:p>
    <w:p>
      <w:pPr>
        <w:pStyle w:val="BodyText"/>
        <w:spacing w:before="6"/>
        <w:rPr>
          <w:b/>
          <w:sz w:val="19"/>
        </w:rPr>
      </w:pPr>
    </w:p>
    <w:p>
      <w:pPr>
        <w:pStyle w:val="BodyText"/>
        <w:spacing w:line="276" w:lineRule="auto"/>
        <w:ind w:left="901" w:right="1154"/>
        <w:jc w:val="both"/>
      </w:pPr>
      <w:r>
        <w:rPr/>
        <w:t>La infraestructura para el riego de las superficies agrícolas en el municipio </w:t>
      </w:r>
      <w:r>
        <w:rPr>
          <w:spacing w:val="-3"/>
        </w:rPr>
        <w:t>de </w:t>
      </w:r>
      <w:r>
        <w:rPr/>
        <w:t>Magdalena es sumamente limitada, partiendo del hecho de que los espacios dedicados al almacenamiento del agua de lluvia son reducidos, y cada día se han venido perdiendo o azolvando, de tal forma que, por ejemplo, bordos que almacenaban importantes volúmenes de agua, entre ellos "San Lorenzo”, "San Miguel”, "Los Espinos”, 3 represas sobre el Arroyo de Potrerillos y El Pile, "San Gregorio”, y El Bordo Los Espinos. A la fecha no almacenan ni el 1% de la capacidad que tuvieron hace 40 años, en tanto que los que a la fecha subsisten como "El Trigo”, "San Andrés”, </w:t>
      </w:r>
      <w:r>
        <w:rPr>
          <w:spacing w:val="-2"/>
        </w:rPr>
        <w:t>"La </w:t>
      </w:r>
      <w:r>
        <w:rPr/>
        <w:t>Quemada 1 y 2”. Cada día presentan un grado de deterioro y asolvamiento </w:t>
      </w:r>
      <w:r>
        <w:rPr>
          <w:spacing w:val="-3"/>
        </w:rPr>
        <w:t>más </w:t>
      </w:r>
      <w:r>
        <w:rPr/>
        <w:t>avanzado, ya que por ejemplo el bordo de El trigo, cuya superficie es de por lo menos 400 hectáreas, presenta un tiro en su punto más profundo de si acaso y máximo 1.20 mt. de profundidad en la época de lluvias, cuando alcanza su máximo volumen de captación.</w:t>
      </w:r>
    </w:p>
    <w:p>
      <w:pPr>
        <w:spacing w:after="0" w:line="276" w:lineRule="auto"/>
        <w:jc w:val="both"/>
        <w:sectPr>
          <w:pgSz w:w="12240" w:h="15840"/>
          <w:pgMar w:header="178" w:footer="1142"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6" w:lineRule="auto" w:before="101"/>
        <w:ind w:left="901" w:right="1157"/>
        <w:jc w:val="both"/>
      </w:pPr>
      <w:r>
        <w:rPr/>
        <w:t>Esta gran superficie de poca profundidad es muy vulnerable a los efectos de evaporación, por lo tanto, sus volúmenes de pérdidas por esta causa son muy elevados y sus efectos devastadores, ya que se seca y consigo arrastra la desaparición de la fauna acuícola y la flora que en el subsiste.</w:t>
      </w:r>
    </w:p>
    <w:p>
      <w:pPr>
        <w:pStyle w:val="BodyText"/>
        <w:spacing w:before="6"/>
        <w:rPr>
          <w:sz w:val="25"/>
        </w:rPr>
      </w:pPr>
    </w:p>
    <w:p>
      <w:pPr>
        <w:pStyle w:val="BodyText"/>
        <w:spacing w:line="276" w:lineRule="auto"/>
        <w:ind w:left="901" w:right="1152"/>
        <w:jc w:val="both"/>
      </w:pPr>
      <w:r>
        <w:rPr/>
        <w:t>Sus efectos en la temperatura de la región, principalmente en Magdalena, son muy notorios, y las altas temperaturas se dejan sentir de inmediato ya que no contamos con una superficie acuífera que contribuya a refrescar y humidificar el ambiente.</w:t>
      </w:r>
    </w:p>
    <w:p>
      <w:pPr>
        <w:pStyle w:val="BodyText"/>
        <w:spacing w:before="3"/>
        <w:rPr>
          <w:sz w:val="25"/>
        </w:rPr>
      </w:pPr>
    </w:p>
    <w:p>
      <w:pPr>
        <w:pStyle w:val="BodyText"/>
        <w:spacing w:line="276" w:lineRule="auto" w:before="1"/>
        <w:ind w:left="901" w:right="1155"/>
        <w:jc w:val="both"/>
      </w:pPr>
      <w:r>
        <w:rPr/>
        <w:t>Este duro diagnóstico de las superficies acuíferas, representa un fuerte contraste entre el panorama actual y el de hace poco más de 100 años que nos relata el mismo Don Mariano Bárcenas, cuando dice.</w:t>
      </w:r>
    </w:p>
    <w:p>
      <w:pPr>
        <w:pStyle w:val="BodyText"/>
        <w:spacing w:before="4"/>
        <w:rPr>
          <w:sz w:val="25"/>
        </w:rPr>
      </w:pPr>
    </w:p>
    <w:p>
      <w:pPr>
        <w:pStyle w:val="BodyText"/>
        <w:spacing w:line="276" w:lineRule="auto"/>
        <w:ind w:left="901" w:right="1154"/>
        <w:jc w:val="both"/>
      </w:pPr>
      <w:r>
        <w:rPr/>
        <w:t>“Laguna de Magdalena o de San Juanito, la segunda en importancia después del Lago de Chapala, en el Estado de Jalisco. su figura es alargada en dirección norte sur, con una longitud de aproximadamente 10 Km. Su mayor anchura se estima en 8km. Su contorno es de forma variada, presentado estrangulaciones y expansiones, así como cabos, penínsulas, y otros accidentes, siendo notables los cabos llamados de Laureles y El Zapote, y las penínsulas del Portezuelo y San Sebastián. Tiene dos islas notables. Las aguas de la laguna son limpias. Las profundidades más comunes son de 3 a 4 metros; pero hay puntos frente al cabo de Laureles, en que la sonda ha indicado 12 metros según informa el Sr. D. Félix M. Martínez, actual Cura Párroco de Magdalena, quién opina que debe haber mayor profundidad frente a La Joya, aunque no se ha medido. En las márgenes de la laguna estaban, Etzatlán, San Juanito, Magdalena, y las haciendas de San Sebastián, Estancia de Ayones, San Andrés, la Quemada y Santa Fe; los ranchos de La Joya, Portezuelo, Las Fuentes, Coatepec, San Pedro, La Vuelta, El Copudo, El Tempizque, El Azte, La Esperanza y San</w:t>
      </w:r>
      <w:r>
        <w:rPr>
          <w:spacing w:val="-10"/>
        </w:rPr>
        <w:t> </w:t>
      </w:r>
      <w:r>
        <w:rPr/>
        <w:t>Juan”.</w:t>
      </w:r>
    </w:p>
    <w:p>
      <w:pPr>
        <w:pStyle w:val="BodyText"/>
        <w:spacing w:before="2"/>
        <w:rPr>
          <w:sz w:val="25"/>
        </w:rPr>
      </w:pPr>
    </w:p>
    <w:p>
      <w:pPr>
        <w:pStyle w:val="BodyText"/>
        <w:spacing w:line="276" w:lineRule="auto"/>
        <w:ind w:left="901" w:right="1156"/>
        <w:jc w:val="both"/>
      </w:pPr>
      <w:r>
        <w:rPr/>
        <w:t>Históricamente, la abundancia de agua de la Laguna de Magdalena y de sus manantiales, dio lugar a que se cultivaran numerosas especies de frutos, lo que le permitía que su aportación al mercado de los alimentos, por parte del municipio de Magdalena, fuese importante, lo que podemos constatar en el reporte que al respecto vemos en el cuadro respectivo de Don Mariano Bárcenas, del inventario agrológico de 1895 que señalaba:</w:t>
      </w:r>
    </w:p>
    <w:p>
      <w:pPr>
        <w:spacing w:after="0" w:line="276" w:lineRule="auto"/>
        <w:jc w:val="both"/>
        <w:sectPr>
          <w:pgSz w:w="12240" w:h="15840"/>
          <w:pgMar w:header="178" w:footer="1142" w:top="1120" w:bottom="1360" w:left="460" w:right="220"/>
        </w:sectPr>
      </w:pPr>
    </w:p>
    <w:p>
      <w:pPr>
        <w:pStyle w:val="BodyText"/>
        <w:rPr>
          <w:rFonts w:ascii="Times New Roman"/>
          <w:sz w:val="20"/>
        </w:rPr>
      </w:pPr>
    </w:p>
    <w:p>
      <w:pPr>
        <w:pStyle w:val="BodyText"/>
        <w:rPr>
          <w:rFonts w:ascii="Times New Roman"/>
          <w:sz w:val="20"/>
        </w:rPr>
      </w:pPr>
    </w:p>
    <w:p>
      <w:pPr>
        <w:pStyle w:val="BodyText"/>
        <w:spacing w:before="8"/>
        <w:rPr>
          <w:rFonts w:ascii="Times New Roman"/>
          <w:sz w:val="10"/>
        </w:rPr>
      </w:pPr>
    </w:p>
    <w:tbl>
      <w:tblPr>
        <w:tblW w:w="0" w:type="auto"/>
        <w:jc w:val="left"/>
        <w:tblInd w:w="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58"/>
        <w:gridCol w:w="3307"/>
        <w:gridCol w:w="3416"/>
      </w:tblGrid>
      <w:tr>
        <w:trPr>
          <w:trHeight w:val="651" w:hRule="atLeast"/>
        </w:trPr>
        <w:tc>
          <w:tcPr>
            <w:tcW w:w="3358" w:type="dxa"/>
            <w:tcBorders>
              <w:bottom w:val="single" w:sz="6" w:space="0" w:color="4F81BC"/>
              <w:right w:val="single" w:sz="4" w:space="0" w:color="4F81BC"/>
            </w:tcBorders>
          </w:tcPr>
          <w:p>
            <w:pPr>
              <w:pStyle w:val="TableParagraph"/>
              <w:spacing w:before="3"/>
              <w:ind w:left="79"/>
              <w:rPr>
                <w:sz w:val="20"/>
              </w:rPr>
            </w:pPr>
            <w:r>
              <w:rPr>
                <w:color w:val="365F91"/>
                <w:sz w:val="20"/>
              </w:rPr>
              <w:t>NOMBRE DE LA FRUTA</w:t>
            </w:r>
          </w:p>
        </w:tc>
        <w:tc>
          <w:tcPr>
            <w:tcW w:w="3307" w:type="dxa"/>
            <w:tcBorders>
              <w:left w:val="single" w:sz="4" w:space="0" w:color="4F81BC"/>
              <w:bottom w:val="single" w:sz="6" w:space="0" w:color="4F81BC"/>
            </w:tcBorders>
          </w:tcPr>
          <w:p>
            <w:pPr>
              <w:pStyle w:val="TableParagraph"/>
              <w:spacing w:before="3"/>
              <w:ind w:left="76"/>
              <w:rPr>
                <w:sz w:val="20"/>
              </w:rPr>
            </w:pPr>
            <w:r>
              <w:rPr>
                <w:color w:val="365F91"/>
                <w:sz w:val="20"/>
              </w:rPr>
              <w:t>MESES EN QUE SE COSECHABAN</w:t>
            </w:r>
          </w:p>
        </w:tc>
        <w:tc>
          <w:tcPr>
            <w:tcW w:w="3416" w:type="dxa"/>
            <w:tcBorders>
              <w:bottom w:val="single" w:sz="6" w:space="0" w:color="4F81BC"/>
            </w:tcBorders>
          </w:tcPr>
          <w:p>
            <w:pPr>
              <w:pStyle w:val="TableParagraph"/>
              <w:spacing w:before="3"/>
              <w:ind w:left="135"/>
              <w:rPr>
                <w:sz w:val="20"/>
              </w:rPr>
            </w:pPr>
            <w:r>
              <w:rPr>
                <w:color w:val="365F91"/>
                <w:sz w:val="20"/>
              </w:rPr>
              <w:t>PUNTO DONDE SE PRODUCÍAN</w:t>
            </w:r>
          </w:p>
        </w:tc>
      </w:tr>
      <w:tr>
        <w:trPr>
          <w:trHeight w:val="454" w:hRule="atLeast"/>
        </w:trPr>
        <w:tc>
          <w:tcPr>
            <w:tcW w:w="3358" w:type="dxa"/>
            <w:tcBorders>
              <w:top w:val="single" w:sz="6" w:space="0" w:color="4F81BC"/>
              <w:right w:val="single" w:sz="4" w:space="0" w:color="4F81BC"/>
            </w:tcBorders>
          </w:tcPr>
          <w:p>
            <w:pPr>
              <w:pStyle w:val="TableParagraph"/>
              <w:spacing w:before="83"/>
              <w:ind w:left="79"/>
              <w:rPr>
                <w:sz w:val="20"/>
              </w:rPr>
            </w:pPr>
            <w:r>
              <w:rPr>
                <w:color w:val="365F91"/>
                <w:sz w:val="20"/>
              </w:rPr>
              <w:t>Aguacate chico</w:t>
            </w:r>
          </w:p>
        </w:tc>
        <w:tc>
          <w:tcPr>
            <w:tcW w:w="3307" w:type="dxa"/>
            <w:tcBorders>
              <w:top w:val="single" w:sz="6" w:space="0" w:color="4F81BC"/>
              <w:left w:val="single" w:sz="4" w:space="0" w:color="4F81BC"/>
            </w:tcBorders>
            <w:shd w:val="clear" w:color="auto" w:fill="DBE4F0"/>
          </w:tcPr>
          <w:p>
            <w:pPr>
              <w:pStyle w:val="TableParagraph"/>
              <w:spacing w:before="83"/>
              <w:ind w:left="76"/>
              <w:rPr>
                <w:sz w:val="20"/>
              </w:rPr>
            </w:pPr>
            <w:r>
              <w:rPr>
                <w:color w:val="365F91"/>
                <w:sz w:val="20"/>
              </w:rPr>
              <w:t>Julio-octubre</w:t>
            </w:r>
          </w:p>
        </w:tc>
        <w:tc>
          <w:tcPr>
            <w:tcW w:w="3416" w:type="dxa"/>
            <w:tcBorders>
              <w:top w:val="single" w:sz="6" w:space="0" w:color="4F81BC"/>
            </w:tcBorders>
            <w:shd w:val="clear" w:color="auto" w:fill="DBE4F0"/>
          </w:tcPr>
          <w:p>
            <w:pPr>
              <w:pStyle w:val="TableParagraph"/>
              <w:spacing w:before="83"/>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2"/>
              <w:ind w:left="79"/>
              <w:rPr>
                <w:sz w:val="20"/>
              </w:rPr>
            </w:pPr>
            <w:r>
              <w:rPr>
                <w:color w:val="365F91"/>
                <w:sz w:val="20"/>
              </w:rPr>
              <w:t>Aguacate grande</w:t>
            </w:r>
          </w:p>
        </w:tc>
        <w:tc>
          <w:tcPr>
            <w:tcW w:w="3307" w:type="dxa"/>
            <w:tcBorders>
              <w:left w:val="single" w:sz="4" w:space="0" w:color="4F81BC"/>
            </w:tcBorders>
          </w:tcPr>
          <w:p>
            <w:pPr>
              <w:pStyle w:val="TableParagraph"/>
              <w:spacing w:before="82"/>
              <w:ind w:left="76"/>
              <w:rPr>
                <w:sz w:val="20"/>
              </w:rPr>
            </w:pPr>
            <w:r>
              <w:rPr>
                <w:color w:val="365F91"/>
                <w:sz w:val="20"/>
              </w:rPr>
              <w:t>Julio-octubre</w:t>
            </w:r>
          </w:p>
        </w:tc>
        <w:tc>
          <w:tcPr>
            <w:tcW w:w="3416" w:type="dxa"/>
          </w:tcPr>
          <w:p>
            <w:pPr>
              <w:pStyle w:val="TableParagraph"/>
              <w:spacing w:before="82"/>
              <w:ind w:left="135"/>
              <w:rPr>
                <w:sz w:val="20"/>
              </w:rPr>
            </w:pPr>
            <w:r>
              <w:rPr>
                <w:color w:val="365F91"/>
                <w:sz w:val="20"/>
              </w:rPr>
              <w:t>Municipalidad</w:t>
            </w:r>
          </w:p>
        </w:tc>
      </w:tr>
      <w:tr>
        <w:trPr>
          <w:trHeight w:val="458" w:hRule="atLeast"/>
        </w:trPr>
        <w:tc>
          <w:tcPr>
            <w:tcW w:w="3358" w:type="dxa"/>
            <w:tcBorders>
              <w:right w:val="single" w:sz="4" w:space="0" w:color="4F81BC"/>
            </w:tcBorders>
          </w:tcPr>
          <w:p>
            <w:pPr>
              <w:pStyle w:val="TableParagraph"/>
              <w:spacing w:before="82"/>
              <w:ind w:left="79"/>
              <w:rPr>
                <w:sz w:val="20"/>
              </w:rPr>
            </w:pPr>
            <w:r>
              <w:rPr>
                <w:color w:val="365F91"/>
                <w:sz w:val="20"/>
              </w:rPr>
              <w:t>ahuilote</w:t>
            </w:r>
          </w:p>
        </w:tc>
        <w:tc>
          <w:tcPr>
            <w:tcW w:w="3307" w:type="dxa"/>
            <w:tcBorders>
              <w:left w:val="single" w:sz="4" w:space="0" w:color="4F81BC"/>
            </w:tcBorders>
            <w:shd w:val="clear" w:color="auto" w:fill="DBE4F0"/>
          </w:tcPr>
          <w:p>
            <w:pPr>
              <w:pStyle w:val="TableParagraph"/>
              <w:spacing w:before="82"/>
              <w:ind w:left="76"/>
              <w:rPr>
                <w:sz w:val="20"/>
              </w:rPr>
            </w:pPr>
            <w:r>
              <w:rPr>
                <w:color w:val="365F91"/>
                <w:sz w:val="20"/>
              </w:rPr>
              <w:t>Octubre-diciembre</w:t>
            </w:r>
          </w:p>
        </w:tc>
        <w:tc>
          <w:tcPr>
            <w:tcW w:w="3416" w:type="dxa"/>
            <w:shd w:val="clear" w:color="auto" w:fill="DBE4F0"/>
          </w:tcPr>
          <w:p>
            <w:pPr>
              <w:pStyle w:val="TableParagraph"/>
              <w:spacing w:before="82"/>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berenjena</w:t>
            </w:r>
          </w:p>
        </w:tc>
        <w:tc>
          <w:tcPr>
            <w:tcW w:w="3307" w:type="dxa"/>
            <w:tcBorders>
              <w:left w:val="single" w:sz="4" w:space="0" w:color="4F81BC"/>
            </w:tcBorders>
          </w:tcPr>
          <w:p>
            <w:pPr>
              <w:pStyle w:val="TableParagraph"/>
              <w:spacing w:before="84"/>
              <w:ind w:left="76"/>
              <w:rPr>
                <w:sz w:val="20"/>
              </w:rPr>
            </w:pPr>
            <w:r>
              <w:rPr>
                <w:color w:val="365F91"/>
                <w:sz w:val="20"/>
              </w:rPr>
              <w:t>Septiembre-noviembre</w:t>
            </w:r>
          </w:p>
        </w:tc>
        <w:tc>
          <w:tcPr>
            <w:tcW w:w="3416" w:type="dxa"/>
          </w:tcPr>
          <w:p>
            <w:pPr>
              <w:pStyle w:val="TableParagraph"/>
              <w:spacing w:before="84"/>
              <w:ind w:left="135"/>
              <w:rPr>
                <w:sz w:val="20"/>
              </w:rPr>
            </w:pPr>
            <w:r>
              <w:rPr>
                <w:color w:val="365F91"/>
                <w:sz w:val="20"/>
              </w:rPr>
              <w:t>Municipalidad</w:t>
            </w:r>
          </w:p>
        </w:tc>
      </w:tr>
      <w:tr>
        <w:trPr>
          <w:trHeight w:val="458" w:hRule="atLeast"/>
        </w:trPr>
        <w:tc>
          <w:tcPr>
            <w:tcW w:w="3358" w:type="dxa"/>
            <w:tcBorders>
              <w:right w:val="single" w:sz="4" w:space="0" w:color="4F81BC"/>
            </w:tcBorders>
          </w:tcPr>
          <w:p>
            <w:pPr>
              <w:pStyle w:val="TableParagraph"/>
              <w:spacing w:before="82"/>
              <w:ind w:left="79"/>
              <w:rPr>
                <w:sz w:val="20"/>
              </w:rPr>
            </w:pPr>
            <w:r>
              <w:rPr>
                <w:color w:val="365F91"/>
                <w:sz w:val="20"/>
              </w:rPr>
              <w:t>camichin</w:t>
            </w:r>
          </w:p>
        </w:tc>
        <w:tc>
          <w:tcPr>
            <w:tcW w:w="3307" w:type="dxa"/>
            <w:tcBorders>
              <w:left w:val="single" w:sz="4" w:space="0" w:color="4F81BC"/>
            </w:tcBorders>
            <w:shd w:val="clear" w:color="auto" w:fill="DBE4F0"/>
          </w:tcPr>
          <w:p>
            <w:pPr>
              <w:pStyle w:val="TableParagraph"/>
              <w:spacing w:before="82"/>
              <w:ind w:left="76"/>
              <w:rPr>
                <w:sz w:val="20"/>
              </w:rPr>
            </w:pPr>
            <w:r>
              <w:rPr>
                <w:color w:val="365F91"/>
                <w:sz w:val="20"/>
              </w:rPr>
              <w:t>Marzo-mayo</w:t>
            </w:r>
          </w:p>
        </w:tc>
        <w:tc>
          <w:tcPr>
            <w:tcW w:w="3416" w:type="dxa"/>
            <w:shd w:val="clear" w:color="auto" w:fill="DBE4F0"/>
          </w:tcPr>
          <w:p>
            <w:pPr>
              <w:pStyle w:val="TableParagraph"/>
              <w:spacing w:before="82"/>
              <w:ind w:left="135"/>
              <w:rPr>
                <w:sz w:val="20"/>
              </w:rPr>
            </w:pPr>
            <w:r>
              <w:rPr>
                <w:color w:val="365F91"/>
                <w:sz w:val="20"/>
              </w:rPr>
              <w:t>Municipalidad</w:t>
            </w:r>
          </w:p>
        </w:tc>
      </w:tr>
      <w:tr>
        <w:trPr>
          <w:trHeight w:val="461" w:hRule="atLeast"/>
        </w:trPr>
        <w:tc>
          <w:tcPr>
            <w:tcW w:w="3358" w:type="dxa"/>
            <w:tcBorders>
              <w:right w:val="single" w:sz="4" w:space="0" w:color="4F81BC"/>
            </w:tcBorders>
          </w:tcPr>
          <w:p>
            <w:pPr>
              <w:pStyle w:val="TableParagraph"/>
              <w:spacing w:before="84"/>
              <w:ind w:left="79"/>
              <w:rPr>
                <w:sz w:val="20"/>
              </w:rPr>
            </w:pPr>
            <w:r>
              <w:rPr>
                <w:color w:val="365F91"/>
                <w:sz w:val="20"/>
              </w:rPr>
              <w:t>cidra</w:t>
            </w:r>
          </w:p>
        </w:tc>
        <w:tc>
          <w:tcPr>
            <w:tcW w:w="3307" w:type="dxa"/>
            <w:tcBorders>
              <w:left w:val="single" w:sz="4" w:space="0" w:color="4F81BC"/>
            </w:tcBorders>
          </w:tcPr>
          <w:p>
            <w:pPr>
              <w:pStyle w:val="TableParagraph"/>
              <w:spacing w:before="84"/>
              <w:ind w:left="76"/>
              <w:rPr>
                <w:sz w:val="20"/>
              </w:rPr>
            </w:pPr>
            <w:r>
              <w:rPr>
                <w:color w:val="365F91"/>
                <w:sz w:val="20"/>
              </w:rPr>
              <w:t>Diciembre-febrero</w:t>
            </w:r>
          </w:p>
        </w:tc>
        <w:tc>
          <w:tcPr>
            <w:tcW w:w="3416" w:type="dxa"/>
          </w:tcPr>
          <w:p>
            <w:pPr>
              <w:pStyle w:val="TableParagraph"/>
              <w:spacing w:before="84"/>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chayote</w:t>
            </w:r>
          </w:p>
        </w:tc>
        <w:tc>
          <w:tcPr>
            <w:tcW w:w="3307" w:type="dxa"/>
            <w:tcBorders>
              <w:left w:val="single" w:sz="4" w:space="0" w:color="4F81BC"/>
            </w:tcBorders>
            <w:shd w:val="clear" w:color="auto" w:fill="DBE4F0"/>
          </w:tcPr>
          <w:p>
            <w:pPr>
              <w:pStyle w:val="TableParagraph"/>
              <w:spacing w:before="84"/>
              <w:ind w:left="76"/>
              <w:rPr>
                <w:sz w:val="20"/>
              </w:rPr>
            </w:pPr>
            <w:r>
              <w:rPr>
                <w:color w:val="365F91"/>
                <w:sz w:val="20"/>
              </w:rPr>
              <w:t>Agosto-octubre</w:t>
            </w:r>
          </w:p>
        </w:tc>
        <w:tc>
          <w:tcPr>
            <w:tcW w:w="3416" w:type="dxa"/>
            <w:shd w:val="clear" w:color="auto" w:fill="DBE4F0"/>
          </w:tcPr>
          <w:p>
            <w:pPr>
              <w:pStyle w:val="TableParagraph"/>
              <w:spacing w:before="84"/>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2"/>
              <w:ind w:left="79"/>
              <w:rPr>
                <w:sz w:val="20"/>
              </w:rPr>
            </w:pPr>
            <w:r>
              <w:rPr>
                <w:color w:val="365F91"/>
                <w:sz w:val="20"/>
              </w:rPr>
              <w:t>Durazno prisco</w:t>
            </w:r>
          </w:p>
        </w:tc>
        <w:tc>
          <w:tcPr>
            <w:tcW w:w="3307" w:type="dxa"/>
            <w:tcBorders>
              <w:left w:val="single" w:sz="4" w:space="0" w:color="4F81BC"/>
            </w:tcBorders>
          </w:tcPr>
          <w:p>
            <w:pPr>
              <w:pStyle w:val="TableParagraph"/>
              <w:spacing w:before="82"/>
              <w:ind w:left="76"/>
              <w:rPr>
                <w:sz w:val="20"/>
              </w:rPr>
            </w:pPr>
            <w:r>
              <w:rPr>
                <w:color w:val="365F91"/>
                <w:sz w:val="20"/>
              </w:rPr>
              <w:t>Julio-septiembre</w:t>
            </w:r>
          </w:p>
        </w:tc>
        <w:tc>
          <w:tcPr>
            <w:tcW w:w="3416" w:type="dxa"/>
          </w:tcPr>
          <w:p>
            <w:pPr>
              <w:pStyle w:val="TableParagraph"/>
              <w:spacing w:before="82"/>
              <w:ind w:left="135"/>
              <w:rPr>
                <w:sz w:val="20"/>
              </w:rPr>
            </w:pPr>
            <w:r>
              <w:rPr>
                <w:color w:val="365F91"/>
                <w:sz w:val="20"/>
              </w:rPr>
              <w:t>Municipalidad</w:t>
            </w:r>
          </w:p>
        </w:tc>
      </w:tr>
      <w:tr>
        <w:trPr>
          <w:trHeight w:val="458" w:hRule="atLeast"/>
        </w:trPr>
        <w:tc>
          <w:tcPr>
            <w:tcW w:w="3358" w:type="dxa"/>
            <w:tcBorders>
              <w:right w:val="single" w:sz="4" w:space="0" w:color="4F81BC"/>
            </w:tcBorders>
          </w:tcPr>
          <w:p>
            <w:pPr>
              <w:pStyle w:val="TableParagraph"/>
              <w:spacing w:before="82"/>
              <w:ind w:left="79"/>
              <w:rPr>
                <w:sz w:val="20"/>
              </w:rPr>
            </w:pPr>
            <w:r>
              <w:rPr>
                <w:color w:val="365F91"/>
                <w:sz w:val="20"/>
              </w:rPr>
              <w:t>Durazno melocoton</w:t>
            </w:r>
          </w:p>
        </w:tc>
        <w:tc>
          <w:tcPr>
            <w:tcW w:w="3307" w:type="dxa"/>
            <w:tcBorders>
              <w:left w:val="single" w:sz="4" w:space="0" w:color="4F81BC"/>
            </w:tcBorders>
            <w:shd w:val="clear" w:color="auto" w:fill="DBE4F0"/>
          </w:tcPr>
          <w:p>
            <w:pPr>
              <w:pStyle w:val="TableParagraph"/>
              <w:spacing w:before="82"/>
              <w:ind w:left="76"/>
              <w:rPr>
                <w:sz w:val="20"/>
              </w:rPr>
            </w:pPr>
            <w:r>
              <w:rPr>
                <w:color w:val="365F91"/>
                <w:sz w:val="20"/>
              </w:rPr>
              <w:t>Julio-septiembre</w:t>
            </w:r>
          </w:p>
        </w:tc>
        <w:tc>
          <w:tcPr>
            <w:tcW w:w="3416" w:type="dxa"/>
            <w:shd w:val="clear" w:color="auto" w:fill="DBE4F0"/>
          </w:tcPr>
          <w:p>
            <w:pPr>
              <w:pStyle w:val="TableParagraph"/>
              <w:spacing w:before="82"/>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Granada comun</w:t>
            </w:r>
          </w:p>
        </w:tc>
        <w:tc>
          <w:tcPr>
            <w:tcW w:w="3307" w:type="dxa"/>
            <w:tcBorders>
              <w:left w:val="single" w:sz="4" w:space="0" w:color="4F81BC"/>
            </w:tcBorders>
          </w:tcPr>
          <w:p>
            <w:pPr>
              <w:pStyle w:val="TableParagraph"/>
              <w:spacing w:before="84"/>
              <w:ind w:left="76"/>
              <w:rPr>
                <w:sz w:val="20"/>
              </w:rPr>
            </w:pPr>
            <w:r>
              <w:rPr>
                <w:color w:val="365F91"/>
                <w:sz w:val="20"/>
              </w:rPr>
              <w:t>Julio-septiembre</w:t>
            </w:r>
          </w:p>
        </w:tc>
        <w:tc>
          <w:tcPr>
            <w:tcW w:w="3416" w:type="dxa"/>
          </w:tcPr>
          <w:p>
            <w:pPr>
              <w:pStyle w:val="TableParagraph"/>
              <w:spacing w:before="84"/>
              <w:ind w:left="135"/>
              <w:rPr>
                <w:sz w:val="20"/>
              </w:rPr>
            </w:pPr>
            <w:r>
              <w:rPr>
                <w:color w:val="365F91"/>
                <w:sz w:val="20"/>
              </w:rPr>
              <w:t>Municipalidad</w:t>
            </w:r>
          </w:p>
        </w:tc>
      </w:tr>
      <w:tr>
        <w:trPr>
          <w:trHeight w:val="458" w:hRule="atLeast"/>
        </w:trPr>
        <w:tc>
          <w:tcPr>
            <w:tcW w:w="3358" w:type="dxa"/>
            <w:tcBorders>
              <w:right w:val="single" w:sz="4" w:space="0" w:color="4F81BC"/>
            </w:tcBorders>
          </w:tcPr>
          <w:p>
            <w:pPr>
              <w:pStyle w:val="TableParagraph"/>
              <w:spacing w:before="82"/>
              <w:ind w:left="79"/>
              <w:rPr>
                <w:sz w:val="20"/>
              </w:rPr>
            </w:pPr>
            <w:r>
              <w:rPr>
                <w:color w:val="365F91"/>
                <w:sz w:val="20"/>
              </w:rPr>
              <w:t>guamuchil</w:t>
            </w:r>
          </w:p>
        </w:tc>
        <w:tc>
          <w:tcPr>
            <w:tcW w:w="3307" w:type="dxa"/>
            <w:tcBorders>
              <w:left w:val="single" w:sz="4" w:space="0" w:color="4F81BC"/>
            </w:tcBorders>
            <w:shd w:val="clear" w:color="auto" w:fill="DBE4F0"/>
          </w:tcPr>
          <w:p>
            <w:pPr>
              <w:pStyle w:val="TableParagraph"/>
              <w:spacing w:before="82"/>
              <w:ind w:left="76"/>
              <w:rPr>
                <w:sz w:val="20"/>
              </w:rPr>
            </w:pPr>
            <w:r>
              <w:rPr>
                <w:color w:val="365F91"/>
                <w:sz w:val="20"/>
              </w:rPr>
              <w:t>mayo-julio</w:t>
            </w:r>
          </w:p>
        </w:tc>
        <w:tc>
          <w:tcPr>
            <w:tcW w:w="3416" w:type="dxa"/>
            <w:shd w:val="clear" w:color="auto" w:fill="DBE4F0"/>
          </w:tcPr>
          <w:p>
            <w:pPr>
              <w:pStyle w:val="TableParagraph"/>
              <w:spacing w:before="82"/>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Lima chica</w:t>
            </w:r>
          </w:p>
        </w:tc>
        <w:tc>
          <w:tcPr>
            <w:tcW w:w="3307" w:type="dxa"/>
            <w:tcBorders>
              <w:left w:val="single" w:sz="4" w:space="0" w:color="4F81BC"/>
            </w:tcBorders>
          </w:tcPr>
          <w:p>
            <w:pPr>
              <w:pStyle w:val="TableParagraph"/>
              <w:spacing w:before="84"/>
              <w:ind w:left="76"/>
              <w:rPr>
                <w:sz w:val="20"/>
              </w:rPr>
            </w:pPr>
            <w:r>
              <w:rPr>
                <w:color w:val="365F91"/>
                <w:sz w:val="20"/>
              </w:rPr>
              <w:t>Todo el año</w:t>
            </w:r>
          </w:p>
        </w:tc>
        <w:tc>
          <w:tcPr>
            <w:tcW w:w="3416" w:type="dxa"/>
          </w:tcPr>
          <w:p>
            <w:pPr>
              <w:pStyle w:val="TableParagraph"/>
              <w:spacing w:before="84"/>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Lima chichona</w:t>
            </w:r>
          </w:p>
        </w:tc>
        <w:tc>
          <w:tcPr>
            <w:tcW w:w="3307" w:type="dxa"/>
            <w:tcBorders>
              <w:left w:val="single" w:sz="4" w:space="0" w:color="4F81BC"/>
            </w:tcBorders>
            <w:shd w:val="clear" w:color="auto" w:fill="DBE4F0"/>
          </w:tcPr>
          <w:p>
            <w:pPr>
              <w:pStyle w:val="TableParagraph"/>
              <w:spacing w:before="84"/>
              <w:ind w:left="76"/>
              <w:rPr>
                <w:sz w:val="20"/>
              </w:rPr>
            </w:pPr>
            <w:r>
              <w:rPr>
                <w:color w:val="365F91"/>
                <w:sz w:val="20"/>
              </w:rPr>
              <w:t>Enero-mayo</w:t>
            </w:r>
          </w:p>
        </w:tc>
        <w:tc>
          <w:tcPr>
            <w:tcW w:w="3416" w:type="dxa"/>
            <w:shd w:val="clear" w:color="auto" w:fill="DBE4F0"/>
          </w:tcPr>
          <w:p>
            <w:pPr>
              <w:pStyle w:val="TableParagraph"/>
              <w:spacing w:before="84"/>
              <w:ind w:left="135"/>
              <w:rPr>
                <w:sz w:val="20"/>
              </w:rPr>
            </w:pPr>
            <w:r>
              <w:rPr>
                <w:color w:val="365F91"/>
                <w:sz w:val="20"/>
              </w:rPr>
              <w:t>Municipalidad</w:t>
            </w:r>
          </w:p>
        </w:tc>
      </w:tr>
      <w:tr>
        <w:trPr>
          <w:trHeight w:val="461" w:hRule="atLeast"/>
        </w:trPr>
        <w:tc>
          <w:tcPr>
            <w:tcW w:w="3358" w:type="dxa"/>
            <w:tcBorders>
              <w:right w:val="single" w:sz="4" w:space="0" w:color="4F81BC"/>
            </w:tcBorders>
          </w:tcPr>
          <w:p>
            <w:pPr>
              <w:pStyle w:val="TableParagraph"/>
              <w:spacing w:before="82"/>
              <w:ind w:left="79"/>
              <w:rPr>
                <w:sz w:val="20"/>
              </w:rPr>
            </w:pPr>
            <w:r>
              <w:rPr>
                <w:color w:val="365F91"/>
                <w:sz w:val="20"/>
              </w:rPr>
              <w:t>Limón agrio</w:t>
            </w:r>
          </w:p>
        </w:tc>
        <w:tc>
          <w:tcPr>
            <w:tcW w:w="3307" w:type="dxa"/>
            <w:tcBorders>
              <w:left w:val="single" w:sz="4" w:space="0" w:color="4F81BC"/>
            </w:tcBorders>
          </w:tcPr>
          <w:p>
            <w:pPr>
              <w:pStyle w:val="TableParagraph"/>
              <w:spacing w:before="82"/>
              <w:ind w:left="76"/>
              <w:rPr>
                <w:sz w:val="20"/>
              </w:rPr>
            </w:pPr>
            <w:r>
              <w:rPr>
                <w:color w:val="365F91"/>
                <w:sz w:val="20"/>
              </w:rPr>
              <w:t>Julio-septiembre</w:t>
            </w:r>
          </w:p>
        </w:tc>
        <w:tc>
          <w:tcPr>
            <w:tcW w:w="3416" w:type="dxa"/>
          </w:tcPr>
          <w:p>
            <w:pPr>
              <w:pStyle w:val="TableParagraph"/>
              <w:spacing w:before="82"/>
              <w:ind w:left="135"/>
              <w:rPr>
                <w:sz w:val="20"/>
              </w:rPr>
            </w:pPr>
            <w:r>
              <w:rPr>
                <w:color w:val="365F91"/>
                <w:sz w:val="20"/>
              </w:rPr>
              <w:t>Municipalidad</w:t>
            </w:r>
          </w:p>
        </w:tc>
      </w:tr>
      <w:tr>
        <w:trPr>
          <w:trHeight w:val="458" w:hRule="atLeast"/>
        </w:trPr>
        <w:tc>
          <w:tcPr>
            <w:tcW w:w="3358" w:type="dxa"/>
            <w:tcBorders>
              <w:right w:val="single" w:sz="4" w:space="0" w:color="4F81BC"/>
            </w:tcBorders>
          </w:tcPr>
          <w:p>
            <w:pPr>
              <w:pStyle w:val="TableParagraph"/>
              <w:spacing w:before="82"/>
              <w:ind w:left="79"/>
              <w:rPr>
                <w:sz w:val="20"/>
              </w:rPr>
            </w:pPr>
            <w:r>
              <w:rPr>
                <w:color w:val="365F91"/>
                <w:sz w:val="20"/>
              </w:rPr>
              <w:t>Limón real</w:t>
            </w:r>
          </w:p>
        </w:tc>
        <w:tc>
          <w:tcPr>
            <w:tcW w:w="3307" w:type="dxa"/>
            <w:tcBorders>
              <w:left w:val="single" w:sz="4" w:space="0" w:color="4F81BC"/>
            </w:tcBorders>
            <w:shd w:val="clear" w:color="auto" w:fill="DBE4F0"/>
          </w:tcPr>
          <w:p>
            <w:pPr>
              <w:pStyle w:val="TableParagraph"/>
              <w:spacing w:before="82"/>
              <w:ind w:left="76"/>
              <w:rPr>
                <w:sz w:val="20"/>
              </w:rPr>
            </w:pPr>
            <w:r>
              <w:rPr>
                <w:color w:val="365F91"/>
                <w:sz w:val="20"/>
              </w:rPr>
              <w:t>Noviembre-mayo</w:t>
            </w:r>
          </w:p>
        </w:tc>
        <w:tc>
          <w:tcPr>
            <w:tcW w:w="3416" w:type="dxa"/>
            <w:shd w:val="clear" w:color="auto" w:fill="DBE4F0"/>
          </w:tcPr>
          <w:p>
            <w:pPr>
              <w:pStyle w:val="TableParagraph"/>
              <w:spacing w:before="82"/>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Mamey común</w:t>
            </w:r>
          </w:p>
        </w:tc>
        <w:tc>
          <w:tcPr>
            <w:tcW w:w="3307" w:type="dxa"/>
            <w:tcBorders>
              <w:left w:val="single" w:sz="4" w:space="0" w:color="4F81BC"/>
            </w:tcBorders>
          </w:tcPr>
          <w:p>
            <w:pPr>
              <w:pStyle w:val="TableParagraph"/>
              <w:spacing w:before="84"/>
              <w:ind w:left="76"/>
              <w:rPr>
                <w:sz w:val="20"/>
              </w:rPr>
            </w:pPr>
            <w:r>
              <w:rPr>
                <w:color w:val="365F91"/>
                <w:sz w:val="20"/>
              </w:rPr>
              <w:t>Agosto-septiembre</w:t>
            </w:r>
          </w:p>
        </w:tc>
        <w:tc>
          <w:tcPr>
            <w:tcW w:w="3416" w:type="dxa"/>
          </w:tcPr>
          <w:p>
            <w:pPr>
              <w:pStyle w:val="TableParagraph"/>
              <w:spacing w:before="84"/>
              <w:ind w:left="135"/>
              <w:rPr>
                <w:sz w:val="20"/>
              </w:rPr>
            </w:pPr>
            <w:r>
              <w:rPr>
                <w:color w:val="365F91"/>
                <w:sz w:val="20"/>
              </w:rPr>
              <w:t>Municipalidad</w:t>
            </w:r>
          </w:p>
        </w:tc>
      </w:tr>
      <w:tr>
        <w:trPr>
          <w:trHeight w:val="458" w:hRule="atLeast"/>
        </w:trPr>
        <w:tc>
          <w:tcPr>
            <w:tcW w:w="3358" w:type="dxa"/>
            <w:tcBorders>
              <w:right w:val="single" w:sz="4" w:space="0" w:color="4F81BC"/>
            </w:tcBorders>
          </w:tcPr>
          <w:p>
            <w:pPr>
              <w:pStyle w:val="TableParagraph"/>
              <w:spacing w:before="82"/>
              <w:ind w:left="79"/>
              <w:rPr>
                <w:sz w:val="20"/>
              </w:rPr>
            </w:pPr>
            <w:r>
              <w:rPr>
                <w:color w:val="365F91"/>
                <w:sz w:val="20"/>
              </w:rPr>
              <w:t>Mango común</w:t>
            </w:r>
          </w:p>
        </w:tc>
        <w:tc>
          <w:tcPr>
            <w:tcW w:w="3307" w:type="dxa"/>
            <w:tcBorders>
              <w:left w:val="single" w:sz="4" w:space="0" w:color="4F81BC"/>
            </w:tcBorders>
            <w:shd w:val="clear" w:color="auto" w:fill="DBE4F0"/>
          </w:tcPr>
          <w:p>
            <w:pPr>
              <w:pStyle w:val="TableParagraph"/>
              <w:spacing w:before="82"/>
              <w:ind w:left="76"/>
              <w:rPr>
                <w:sz w:val="20"/>
              </w:rPr>
            </w:pPr>
            <w:r>
              <w:rPr>
                <w:color w:val="365F91"/>
                <w:sz w:val="20"/>
              </w:rPr>
              <w:t>Julio-agosto</w:t>
            </w:r>
          </w:p>
        </w:tc>
        <w:tc>
          <w:tcPr>
            <w:tcW w:w="3416" w:type="dxa"/>
            <w:shd w:val="clear" w:color="auto" w:fill="DBE4F0"/>
          </w:tcPr>
          <w:p>
            <w:pPr>
              <w:pStyle w:val="TableParagraph"/>
              <w:spacing w:before="82"/>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membrillo</w:t>
            </w:r>
          </w:p>
        </w:tc>
        <w:tc>
          <w:tcPr>
            <w:tcW w:w="3307" w:type="dxa"/>
            <w:tcBorders>
              <w:left w:val="single" w:sz="4" w:space="0" w:color="4F81BC"/>
            </w:tcBorders>
          </w:tcPr>
          <w:p>
            <w:pPr>
              <w:pStyle w:val="TableParagraph"/>
              <w:spacing w:before="84"/>
              <w:ind w:left="76"/>
              <w:rPr>
                <w:sz w:val="20"/>
              </w:rPr>
            </w:pPr>
            <w:r>
              <w:rPr>
                <w:color w:val="365F91"/>
                <w:sz w:val="20"/>
              </w:rPr>
              <w:t>Julio-septiembre</w:t>
            </w:r>
          </w:p>
        </w:tc>
        <w:tc>
          <w:tcPr>
            <w:tcW w:w="3416" w:type="dxa"/>
          </w:tcPr>
          <w:p>
            <w:pPr>
              <w:pStyle w:val="TableParagraph"/>
              <w:spacing w:before="84"/>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Naranja dulce</w:t>
            </w:r>
          </w:p>
        </w:tc>
        <w:tc>
          <w:tcPr>
            <w:tcW w:w="3307" w:type="dxa"/>
            <w:tcBorders>
              <w:left w:val="single" w:sz="4" w:space="0" w:color="4F81BC"/>
            </w:tcBorders>
            <w:shd w:val="clear" w:color="auto" w:fill="DBE4F0"/>
          </w:tcPr>
          <w:p>
            <w:pPr>
              <w:pStyle w:val="TableParagraph"/>
              <w:spacing w:before="84"/>
              <w:ind w:left="76"/>
              <w:rPr>
                <w:sz w:val="20"/>
              </w:rPr>
            </w:pPr>
            <w:r>
              <w:rPr>
                <w:color w:val="365F91"/>
                <w:sz w:val="20"/>
              </w:rPr>
              <w:t>Diciembre-mayo</w:t>
            </w:r>
          </w:p>
        </w:tc>
        <w:tc>
          <w:tcPr>
            <w:tcW w:w="3416" w:type="dxa"/>
            <w:shd w:val="clear" w:color="auto" w:fill="DBE4F0"/>
          </w:tcPr>
          <w:p>
            <w:pPr>
              <w:pStyle w:val="TableParagraph"/>
              <w:spacing w:before="84"/>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2"/>
              <w:ind w:left="79"/>
              <w:rPr>
                <w:sz w:val="20"/>
              </w:rPr>
            </w:pPr>
            <w:r>
              <w:rPr>
                <w:color w:val="365F91"/>
                <w:sz w:val="20"/>
              </w:rPr>
              <w:t>Naranja agria</w:t>
            </w:r>
          </w:p>
        </w:tc>
        <w:tc>
          <w:tcPr>
            <w:tcW w:w="3307" w:type="dxa"/>
            <w:tcBorders>
              <w:left w:val="single" w:sz="4" w:space="0" w:color="4F81BC"/>
            </w:tcBorders>
          </w:tcPr>
          <w:p>
            <w:pPr>
              <w:pStyle w:val="TableParagraph"/>
              <w:spacing w:before="82"/>
              <w:ind w:left="76"/>
              <w:rPr>
                <w:sz w:val="20"/>
              </w:rPr>
            </w:pPr>
            <w:r>
              <w:rPr>
                <w:color w:val="365F91"/>
                <w:sz w:val="20"/>
              </w:rPr>
              <w:t>Febrero-abril</w:t>
            </w:r>
          </w:p>
        </w:tc>
        <w:tc>
          <w:tcPr>
            <w:tcW w:w="3416" w:type="dxa"/>
          </w:tcPr>
          <w:p>
            <w:pPr>
              <w:pStyle w:val="TableParagraph"/>
              <w:spacing w:before="82"/>
              <w:ind w:left="135"/>
              <w:rPr>
                <w:sz w:val="20"/>
              </w:rPr>
            </w:pPr>
            <w:r>
              <w:rPr>
                <w:color w:val="365F91"/>
                <w:sz w:val="20"/>
              </w:rPr>
              <w:t>Municipalidad</w:t>
            </w:r>
          </w:p>
        </w:tc>
      </w:tr>
      <w:tr>
        <w:trPr>
          <w:trHeight w:val="458" w:hRule="atLeast"/>
        </w:trPr>
        <w:tc>
          <w:tcPr>
            <w:tcW w:w="3358" w:type="dxa"/>
            <w:tcBorders>
              <w:right w:val="single" w:sz="4" w:space="0" w:color="4F81BC"/>
            </w:tcBorders>
          </w:tcPr>
          <w:p>
            <w:pPr>
              <w:pStyle w:val="TableParagraph"/>
              <w:spacing w:before="82"/>
              <w:ind w:left="79"/>
              <w:rPr>
                <w:sz w:val="20"/>
              </w:rPr>
            </w:pPr>
            <w:r>
              <w:rPr>
                <w:color w:val="365F91"/>
                <w:sz w:val="20"/>
              </w:rPr>
              <w:t>Naranja de china</w:t>
            </w:r>
          </w:p>
        </w:tc>
        <w:tc>
          <w:tcPr>
            <w:tcW w:w="3307" w:type="dxa"/>
            <w:tcBorders>
              <w:left w:val="single" w:sz="4" w:space="0" w:color="4F81BC"/>
            </w:tcBorders>
            <w:shd w:val="clear" w:color="auto" w:fill="DBE4F0"/>
          </w:tcPr>
          <w:p>
            <w:pPr>
              <w:pStyle w:val="TableParagraph"/>
              <w:spacing w:before="82"/>
              <w:ind w:left="76"/>
              <w:rPr>
                <w:sz w:val="20"/>
              </w:rPr>
            </w:pPr>
            <w:r>
              <w:rPr>
                <w:color w:val="365F91"/>
                <w:sz w:val="20"/>
              </w:rPr>
              <w:t>Diciembre-mayo</w:t>
            </w:r>
          </w:p>
        </w:tc>
        <w:tc>
          <w:tcPr>
            <w:tcW w:w="3416" w:type="dxa"/>
            <w:shd w:val="clear" w:color="auto" w:fill="DBE4F0"/>
          </w:tcPr>
          <w:p>
            <w:pPr>
              <w:pStyle w:val="TableParagraph"/>
              <w:spacing w:before="82"/>
              <w:ind w:left="135"/>
              <w:rPr>
                <w:sz w:val="20"/>
              </w:rPr>
            </w:pPr>
            <w:r>
              <w:rPr>
                <w:color w:val="365F91"/>
                <w:sz w:val="20"/>
              </w:rPr>
              <w:t>San Andrés</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Nuez lisa</w:t>
            </w:r>
          </w:p>
        </w:tc>
        <w:tc>
          <w:tcPr>
            <w:tcW w:w="3307" w:type="dxa"/>
            <w:tcBorders>
              <w:left w:val="single" w:sz="4" w:space="0" w:color="4F81BC"/>
            </w:tcBorders>
          </w:tcPr>
          <w:p>
            <w:pPr>
              <w:pStyle w:val="TableParagraph"/>
              <w:spacing w:before="84"/>
              <w:ind w:left="76"/>
              <w:rPr>
                <w:sz w:val="20"/>
              </w:rPr>
            </w:pPr>
            <w:r>
              <w:rPr>
                <w:color w:val="365F91"/>
                <w:sz w:val="20"/>
              </w:rPr>
              <w:t>septiembre</w:t>
            </w:r>
          </w:p>
        </w:tc>
        <w:tc>
          <w:tcPr>
            <w:tcW w:w="3416" w:type="dxa"/>
          </w:tcPr>
          <w:p>
            <w:pPr>
              <w:pStyle w:val="TableParagraph"/>
              <w:spacing w:before="84"/>
              <w:ind w:left="135"/>
              <w:rPr>
                <w:sz w:val="20"/>
              </w:rPr>
            </w:pPr>
            <w:r>
              <w:rPr>
                <w:color w:val="365F91"/>
                <w:sz w:val="20"/>
              </w:rPr>
              <w:t>San Andrés</w:t>
            </w:r>
          </w:p>
        </w:tc>
      </w:tr>
      <w:tr>
        <w:trPr>
          <w:trHeight w:val="458" w:hRule="atLeast"/>
        </w:trPr>
        <w:tc>
          <w:tcPr>
            <w:tcW w:w="3358" w:type="dxa"/>
            <w:tcBorders>
              <w:right w:val="single" w:sz="4" w:space="0" w:color="4F81BC"/>
            </w:tcBorders>
          </w:tcPr>
          <w:p>
            <w:pPr>
              <w:pStyle w:val="TableParagraph"/>
              <w:spacing w:before="82"/>
              <w:ind w:left="79"/>
              <w:rPr>
                <w:sz w:val="20"/>
              </w:rPr>
            </w:pPr>
            <w:r>
              <w:rPr>
                <w:color w:val="365F91"/>
                <w:sz w:val="20"/>
              </w:rPr>
              <w:t>Plátano chico</w:t>
            </w:r>
          </w:p>
        </w:tc>
        <w:tc>
          <w:tcPr>
            <w:tcW w:w="3307" w:type="dxa"/>
            <w:tcBorders>
              <w:left w:val="single" w:sz="4" w:space="0" w:color="4F81BC"/>
            </w:tcBorders>
            <w:shd w:val="clear" w:color="auto" w:fill="DBE4F0"/>
          </w:tcPr>
          <w:p>
            <w:pPr>
              <w:pStyle w:val="TableParagraph"/>
              <w:spacing w:before="82"/>
              <w:ind w:left="76"/>
              <w:rPr>
                <w:sz w:val="20"/>
              </w:rPr>
            </w:pPr>
            <w:r>
              <w:rPr>
                <w:color w:val="365F91"/>
                <w:sz w:val="20"/>
              </w:rPr>
              <w:t>Todo el año</w:t>
            </w:r>
          </w:p>
        </w:tc>
        <w:tc>
          <w:tcPr>
            <w:tcW w:w="3416" w:type="dxa"/>
            <w:shd w:val="clear" w:color="auto" w:fill="DBE4F0"/>
          </w:tcPr>
          <w:p>
            <w:pPr>
              <w:pStyle w:val="TableParagraph"/>
              <w:spacing w:before="82"/>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Plátano grande</w:t>
            </w:r>
          </w:p>
        </w:tc>
        <w:tc>
          <w:tcPr>
            <w:tcW w:w="3307" w:type="dxa"/>
            <w:tcBorders>
              <w:left w:val="single" w:sz="4" w:space="0" w:color="4F81BC"/>
            </w:tcBorders>
          </w:tcPr>
          <w:p>
            <w:pPr>
              <w:pStyle w:val="TableParagraph"/>
              <w:spacing w:before="84"/>
              <w:ind w:left="76"/>
              <w:rPr>
                <w:sz w:val="20"/>
              </w:rPr>
            </w:pPr>
            <w:r>
              <w:rPr>
                <w:color w:val="365F91"/>
                <w:sz w:val="20"/>
              </w:rPr>
              <w:t>Todo el año</w:t>
            </w:r>
          </w:p>
        </w:tc>
        <w:tc>
          <w:tcPr>
            <w:tcW w:w="3416" w:type="dxa"/>
          </w:tcPr>
          <w:p>
            <w:pPr>
              <w:pStyle w:val="TableParagraph"/>
              <w:spacing w:before="84"/>
              <w:ind w:left="135"/>
              <w:rPr>
                <w:sz w:val="20"/>
              </w:rPr>
            </w:pPr>
            <w:r>
              <w:rPr>
                <w:color w:val="365F91"/>
                <w:sz w:val="20"/>
              </w:rPr>
              <w:t>Municipalidad</w:t>
            </w:r>
          </w:p>
        </w:tc>
      </w:tr>
      <w:tr>
        <w:trPr>
          <w:trHeight w:val="460" w:hRule="atLeast"/>
        </w:trPr>
        <w:tc>
          <w:tcPr>
            <w:tcW w:w="3358" w:type="dxa"/>
            <w:tcBorders>
              <w:right w:val="single" w:sz="4" w:space="0" w:color="4F81BC"/>
            </w:tcBorders>
          </w:tcPr>
          <w:p>
            <w:pPr>
              <w:pStyle w:val="TableParagraph"/>
              <w:spacing w:before="84"/>
              <w:ind w:left="79"/>
              <w:rPr>
                <w:sz w:val="20"/>
              </w:rPr>
            </w:pPr>
            <w:r>
              <w:rPr>
                <w:color w:val="365F91"/>
                <w:sz w:val="20"/>
              </w:rPr>
              <w:t>Plátano de costa rica</w:t>
            </w:r>
          </w:p>
        </w:tc>
        <w:tc>
          <w:tcPr>
            <w:tcW w:w="3307" w:type="dxa"/>
            <w:tcBorders>
              <w:left w:val="single" w:sz="4" w:space="0" w:color="4F81BC"/>
            </w:tcBorders>
            <w:shd w:val="clear" w:color="auto" w:fill="DBE4F0"/>
          </w:tcPr>
          <w:p>
            <w:pPr>
              <w:pStyle w:val="TableParagraph"/>
              <w:spacing w:before="84"/>
              <w:ind w:left="76"/>
              <w:rPr>
                <w:sz w:val="20"/>
              </w:rPr>
            </w:pPr>
            <w:r>
              <w:rPr>
                <w:color w:val="365F91"/>
                <w:sz w:val="20"/>
              </w:rPr>
              <w:t>Todo el año</w:t>
            </w:r>
          </w:p>
        </w:tc>
        <w:tc>
          <w:tcPr>
            <w:tcW w:w="3416" w:type="dxa"/>
            <w:shd w:val="clear" w:color="auto" w:fill="DBE4F0"/>
          </w:tcPr>
          <w:p>
            <w:pPr>
              <w:pStyle w:val="TableParagraph"/>
              <w:spacing w:before="84"/>
              <w:ind w:left="135"/>
              <w:rPr>
                <w:sz w:val="20"/>
              </w:rPr>
            </w:pPr>
            <w:r>
              <w:rPr>
                <w:color w:val="365F91"/>
                <w:sz w:val="20"/>
              </w:rPr>
              <w:t>San Andrés</w:t>
            </w:r>
          </w:p>
        </w:tc>
      </w:tr>
      <w:tr>
        <w:trPr>
          <w:trHeight w:val="460" w:hRule="atLeast"/>
        </w:trPr>
        <w:tc>
          <w:tcPr>
            <w:tcW w:w="3358" w:type="dxa"/>
            <w:tcBorders>
              <w:right w:val="single" w:sz="4" w:space="0" w:color="4F81BC"/>
            </w:tcBorders>
          </w:tcPr>
          <w:p>
            <w:pPr>
              <w:pStyle w:val="TableParagraph"/>
              <w:spacing w:before="82"/>
              <w:ind w:left="79"/>
              <w:rPr>
                <w:sz w:val="20"/>
              </w:rPr>
            </w:pPr>
            <w:r>
              <w:rPr>
                <w:color w:val="365F91"/>
                <w:sz w:val="20"/>
              </w:rPr>
              <w:t>pepino</w:t>
            </w:r>
          </w:p>
        </w:tc>
        <w:tc>
          <w:tcPr>
            <w:tcW w:w="3307" w:type="dxa"/>
            <w:tcBorders>
              <w:left w:val="single" w:sz="4" w:space="0" w:color="4F81BC"/>
            </w:tcBorders>
          </w:tcPr>
          <w:p>
            <w:pPr>
              <w:pStyle w:val="TableParagraph"/>
              <w:spacing w:before="82"/>
              <w:ind w:left="76"/>
              <w:rPr>
                <w:sz w:val="20"/>
              </w:rPr>
            </w:pPr>
            <w:r>
              <w:rPr>
                <w:color w:val="365F91"/>
                <w:sz w:val="20"/>
              </w:rPr>
              <w:t>Agosto-septiembre</w:t>
            </w:r>
          </w:p>
        </w:tc>
        <w:tc>
          <w:tcPr>
            <w:tcW w:w="3416" w:type="dxa"/>
          </w:tcPr>
          <w:p>
            <w:pPr>
              <w:pStyle w:val="TableParagraph"/>
              <w:spacing w:before="82"/>
              <w:ind w:left="135"/>
              <w:rPr>
                <w:sz w:val="20"/>
              </w:rPr>
            </w:pPr>
            <w:r>
              <w:rPr>
                <w:color w:val="365F91"/>
                <w:sz w:val="20"/>
              </w:rPr>
              <w:t>municipalidad</w:t>
            </w:r>
          </w:p>
        </w:tc>
      </w:tr>
    </w:tbl>
    <w:p>
      <w:pPr>
        <w:spacing w:after="0"/>
        <w:rPr>
          <w:sz w:val="20"/>
        </w:rPr>
        <w:sectPr>
          <w:pgSz w:w="12240" w:h="15840"/>
          <w:pgMar w:header="178" w:footer="1142" w:top="1120" w:bottom="1340" w:left="460" w:right="2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3"/>
        </w:rPr>
      </w:pPr>
    </w:p>
    <w:p>
      <w:pPr>
        <w:pStyle w:val="Heading3"/>
        <w:spacing w:line="276" w:lineRule="auto"/>
        <w:ind w:right="1156"/>
        <w:jc w:val="both"/>
      </w:pPr>
      <w:r>
        <w:rPr/>
        <w:t>En la actualidad el aporte que hace el Municipio de Magdalena, se limita a Chayote, guayaba, lima chicona, pepino, mango, limón y aguacate. Lo que significa que, en el aspecto de aportación de alimentos, el municipio perdió importancia, y esto se comprueba por el reducido número de Hectáreas dedicadas a los cultivos con posibilidades de riego.</w:t>
      </w:r>
    </w:p>
    <w:p>
      <w:pPr>
        <w:pStyle w:val="BodyText"/>
        <w:spacing w:before="1"/>
        <w:rPr>
          <w:sz w:val="25"/>
        </w:rPr>
      </w:pPr>
    </w:p>
    <w:p>
      <w:pPr>
        <w:pStyle w:val="Heading4"/>
      </w:pPr>
      <w:r>
        <w:rPr/>
        <w:t>Cultivos perennes en el municipio</w:t>
      </w:r>
    </w:p>
    <w:p>
      <w:pPr>
        <w:pStyle w:val="BodyText"/>
        <w:spacing w:before="9"/>
        <w:rPr>
          <w:b/>
          <w:sz w:val="28"/>
        </w:rPr>
      </w:pPr>
    </w:p>
    <w:p>
      <w:pPr>
        <w:pStyle w:val="BodyText"/>
        <w:spacing w:line="276" w:lineRule="auto" w:before="1"/>
        <w:ind w:left="901" w:right="1155"/>
        <w:jc w:val="both"/>
      </w:pPr>
      <w:r>
        <w:rPr/>
        <w:t>Por su importancia actual y la proyección que pueden tener en un muy corto plazo, es de destacar el constante incremento en dos cultivos que en la región destacan por alcanzar su proceso integral, la CAÑA DE </w:t>
      </w:r>
      <w:r>
        <w:rPr>
          <w:spacing w:val="-2"/>
        </w:rPr>
        <w:t>AZÚCAR </w:t>
      </w:r>
      <w:r>
        <w:rPr/>
        <w:t>y el AGAVE, mismos que en el municipio, en forma sustancial apenas si se puede señalar que cobraron importancia en los últimos 10 años, y si actualmente ocupan los primeros lugares en superficie cultivada y en rendimientos y producción, es de esperarse que aplicando más alta tecnología, superficies aptas, variedades optimas, etc. En un futuro cercano, serán pilares de la agricultura del</w:t>
      </w:r>
      <w:r>
        <w:rPr>
          <w:spacing w:val="-1"/>
        </w:rPr>
        <w:t> </w:t>
      </w:r>
      <w:r>
        <w:rPr/>
        <w:t>municipio.</w:t>
      </w:r>
    </w:p>
    <w:p>
      <w:pPr>
        <w:pStyle w:val="BodyText"/>
        <w:spacing w:before="2"/>
        <w:rPr>
          <w:sz w:val="25"/>
        </w:rPr>
      </w:pPr>
    </w:p>
    <w:p>
      <w:pPr>
        <w:pStyle w:val="Heading4"/>
        <w:spacing w:before="1"/>
      </w:pPr>
      <w:r>
        <w:rPr/>
        <w:t>La Fruticultura</w:t>
      </w:r>
    </w:p>
    <w:p>
      <w:pPr>
        <w:pStyle w:val="BodyText"/>
        <w:spacing w:before="6"/>
        <w:rPr>
          <w:b/>
          <w:sz w:val="28"/>
        </w:rPr>
      </w:pPr>
    </w:p>
    <w:p>
      <w:pPr>
        <w:pStyle w:val="BodyText"/>
        <w:spacing w:line="276" w:lineRule="auto"/>
        <w:ind w:left="901" w:right="1154"/>
        <w:jc w:val="both"/>
      </w:pPr>
      <w:r>
        <w:rPr/>
        <w:t>La fruticultura es muy rudimentaria en el municipio, aun cuando se ha demostrado que el durazno, los guamúchiles, el mango, la nuez, los cítricos como la naranja, la lima, la toronja y el limón, igual que la granada, el membrillo, la guayaba, el Zapote, la uva, el aguacate, etc. pueden ser cultivados con éxito, como ya se reportaba en los principios de siglo, y que parece indicar que, en aquella remota época, eran más diversificados como nos lo señala Bárcenas cuando dice:</w:t>
      </w:r>
    </w:p>
    <w:p>
      <w:pPr>
        <w:pStyle w:val="BodyText"/>
        <w:spacing w:line="276" w:lineRule="auto" w:before="1"/>
        <w:ind w:left="901" w:right="1155"/>
        <w:jc w:val="both"/>
      </w:pPr>
      <w:r>
        <w:rPr/>
        <w:t>“Se cultiva maíz, fríjol, camote, alfalfa, trigo, cebada y hortalizas.... se producen en pequeña escala, membrillo, durazno, melón, naranjo, granado, mamey y uva…”</w:t>
      </w:r>
    </w:p>
    <w:p>
      <w:pPr>
        <w:pStyle w:val="BodyText"/>
        <w:spacing w:before="1"/>
        <w:rPr>
          <w:sz w:val="24"/>
        </w:rPr>
      </w:pPr>
    </w:p>
    <w:p>
      <w:pPr>
        <w:pStyle w:val="Heading2"/>
        <w:spacing w:before="1"/>
        <w:rPr>
          <w:rFonts w:ascii="Century Gothic"/>
        </w:rPr>
      </w:pPr>
      <w:r>
        <w:rPr>
          <w:rFonts w:ascii="Century Gothic"/>
        </w:rPr>
        <w:t>La Horticultura</w:t>
      </w:r>
    </w:p>
    <w:p>
      <w:pPr>
        <w:pStyle w:val="BodyText"/>
        <w:rPr>
          <w:b/>
          <w:sz w:val="25"/>
        </w:rPr>
      </w:pPr>
    </w:p>
    <w:p>
      <w:pPr>
        <w:pStyle w:val="BodyText"/>
        <w:spacing w:line="276" w:lineRule="auto"/>
        <w:ind w:left="901" w:right="1154"/>
        <w:jc w:val="both"/>
      </w:pPr>
      <w:r>
        <w:rPr/>
        <w:t>Otros cultivos que hicieron notable a Magdalena, fueron la cebolla, la fresa, la lechuga y la col, el cilantro, el rábano, el chayote y el chin chayote, el camote, etc. mismos que a la fecha están olvidados, tan solo en el poblado de La JOYA se cultivan, y con gran éxito, pero en el resto del municipio no se practican, sin embargo, pueden en </w:t>
      </w:r>
      <w:r>
        <w:rPr>
          <w:spacing w:val="-3"/>
        </w:rPr>
        <w:t>un </w:t>
      </w:r>
      <w:r>
        <w:rPr/>
        <w:t>momento dado ser objeto de estudios de mercado y ser</w:t>
      </w:r>
      <w:r>
        <w:rPr>
          <w:spacing w:val="-13"/>
        </w:rPr>
        <w:t> </w:t>
      </w:r>
      <w:r>
        <w:rPr/>
        <w:t>redituables.</w:t>
      </w:r>
    </w:p>
    <w:p>
      <w:pPr>
        <w:spacing w:after="0" w:line="276" w:lineRule="auto"/>
        <w:jc w:val="both"/>
        <w:sectPr>
          <w:pgSz w:w="12240" w:h="15840"/>
          <w:pgMar w:header="178" w:footer="1142" w:top="1120" w:bottom="1340" w:left="460" w:right="220"/>
        </w:sectPr>
      </w:pPr>
    </w:p>
    <w:p>
      <w:pPr>
        <w:pStyle w:val="BodyText"/>
        <w:rPr>
          <w:sz w:val="20"/>
        </w:rPr>
      </w:pPr>
    </w:p>
    <w:p>
      <w:pPr>
        <w:pStyle w:val="BodyText"/>
        <w:rPr>
          <w:sz w:val="20"/>
        </w:rPr>
      </w:pPr>
    </w:p>
    <w:p>
      <w:pPr>
        <w:pStyle w:val="BodyText"/>
        <w:rPr>
          <w:sz w:val="20"/>
        </w:rPr>
      </w:pPr>
    </w:p>
    <w:p>
      <w:pPr>
        <w:pStyle w:val="BodyText"/>
        <w:spacing w:before="1"/>
        <w:rPr>
          <w:sz w:val="17"/>
        </w:rPr>
      </w:pPr>
    </w:p>
    <w:p>
      <w:pPr>
        <w:pStyle w:val="Heading2"/>
        <w:spacing w:before="50"/>
        <w:jc w:val="both"/>
      </w:pPr>
      <w:r>
        <w:rPr/>
        <w:t>Otros cultivos</w:t>
      </w:r>
    </w:p>
    <w:p>
      <w:pPr>
        <w:pStyle w:val="BodyText"/>
        <w:spacing w:line="276" w:lineRule="auto" w:before="204"/>
        <w:ind w:left="901" w:right="1155"/>
        <w:jc w:val="both"/>
      </w:pPr>
      <w:r>
        <w:rPr/>
        <w:t>El chile, se cultivó con éxito en algunas temporadas, con buenos resultados, sin embargo, a la fecha su producción es muy limitada, prácticamente nulo, por lo que será conveniente indagar los motivos que ocasionaron el abandono de este</w:t>
      </w:r>
      <w:r>
        <w:rPr>
          <w:spacing w:val="-18"/>
        </w:rPr>
        <w:t> </w:t>
      </w:r>
      <w:r>
        <w:rPr/>
        <w:t>cultivo.</w:t>
      </w:r>
    </w:p>
    <w:p>
      <w:pPr>
        <w:pStyle w:val="BodyText"/>
        <w:spacing w:before="4"/>
        <w:rPr>
          <w:sz w:val="25"/>
        </w:rPr>
      </w:pPr>
    </w:p>
    <w:p>
      <w:pPr>
        <w:pStyle w:val="BodyText"/>
        <w:spacing w:line="276" w:lineRule="auto"/>
        <w:ind w:left="901" w:right="1155"/>
        <w:jc w:val="both"/>
      </w:pPr>
      <w:r>
        <w:rPr/>
        <w:t>La misma suerte han corrido, cultivos que aun cuando se llevaron a cabo en pequeña escala, fueron factor de intentos de cambio de tecnología y de cultivos, en busca de percibir ingresos más cuantiosos, tal es el caso de la floricultura, que en un momento dado cultivo gladiolas, rosas y azucenas.</w:t>
      </w:r>
    </w:p>
    <w:p>
      <w:pPr>
        <w:pStyle w:val="BodyText"/>
        <w:spacing w:before="3"/>
        <w:rPr>
          <w:sz w:val="25"/>
        </w:rPr>
      </w:pPr>
    </w:p>
    <w:p>
      <w:pPr>
        <w:pStyle w:val="BodyText"/>
        <w:spacing w:line="276" w:lineRule="auto" w:before="1"/>
        <w:ind w:left="901" w:right="1155"/>
        <w:jc w:val="both"/>
      </w:pPr>
      <w:r>
        <w:rPr/>
        <w:t>La azucena silvestre, que se reproduce en forma espontánea en algunas superficies de terreno, en las localidades de Santa María, San Simón, La Quemada y Magdalena, merece ser objeto de un estudio más conciso, de tal manera que pueda generar mayores ingresos a la población del municipio. Es conveniente promover su venta en mercados de Guadalajara y estudiarla quizás para que se produzca todo el año.</w:t>
      </w:r>
    </w:p>
    <w:p>
      <w:pPr>
        <w:pStyle w:val="BodyText"/>
        <w:spacing w:before="4"/>
        <w:rPr>
          <w:sz w:val="25"/>
        </w:rPr>
      </w:pPr>
    </w:p>
    <w:p>
      <w:pPr>
        <w:pStyle w:val="BodyText"/>
        <w:spacing w:line="276" w:lineRule="auto" w:before="1"/>
        <w:ind w:left="901" w:right="1154"/>
        <w:jc w:val="both"/>
      </w:pPr>
      <w:r>
        <w:rPr/>
        <w:t>El aguilote, fruto silvestre que se da en abundancia y en forma natural, no ha recibido la atención que merece, dado que pudiese ser objeto de cosecha para algún dulce, mermelada, jarabe, etc.</w:t>
      </w:r>
    </w:p>
    <w:p>
      <w:pPr>
        <w:pStyle w:val="BodyText"/>
        <w:spacing w:before="3"/>
        <w:rPr>
          <w:sz w:val="25"/>
        </w:rPr>
      </w:pPr>
    </w:p>
    <w:p>
      <w:pPr>
        <w:pStyle w:val="BodyText"/>
        <w:spacing w:line="276" w:lineRule="auto" w:before="1"/>
        <w:ind w:left="901" w:right="1157"/>
        <w:jc w:val="both"/>
      </w:pPr>
      <w:r>
        <w:rPr/>
        <w:t>El nopal, se ha cultivado en reducidas superficies, mismo que puede ser también factor de mayores ingresos a las familias.</w:t>
      </w:r>
    </w:p>
    <w:p>
      <w:pPr>
        <w:pStyle w:val="BodyText"/>
        <w:spacing w:before="1"/>
        <w:rPr>
          <w:sz w:val="25"/>
        </w:rPr>
      </w:pPr>
    </w:p>
    <w:p>
      <w:pPr>
        <w:pStyle w:val="BodyText"/>
        <w:spacing w:line="276" w:lineRule="auto" w:before="1"/>
        <w:ind w:left="901" w:right="1155"/>
        <w:jc w:val="both"/>
      </w:pPr>
      <w:r>
        <w:rPr/>
        <w:t>El huizache por sus características particulares, en relación a los aromas, así como el anís silvestre y el yerbaníz o Santamaría, pueden ser motivos de estudio para buscar alguna alternativa de utilización, ya en la perfumería, ya en la industria alimenticia, al igual que el laurel que abunda en terrenos ubicados entre Magdalena y La Joya, del cual señalaremos que sus hojas de esta planta, son utilizadas en los alimentos, como aromatizantes y saborizantes.</w:t>
      </w:r>
    </w:p>
    <w:p>
      <w:pPr>
        <w:pStyle w:val="BodyText"/>
        <w:spacing w:before="4"/>
        <w:rPr>
          <w:sz w:val="25"/>
        </w:rPr>
      </w:pPr>
    </w:p>
    <w:p>
      <w:pPr>
        <w:pStyle w:val="BodyText"/>
        <w:spacing w:line="276" w:lineRule="auto"/>
        <w:ind w:left="901" w:right="1156"/>
        <w:jc w:val="both"/>
      </w:pPr>
      <w:r>
        <w:rPr/>
        <w:t>El Cacahuate Por años, el cacahuate se produjo en la zona, pero su cultivo se ha relegado, no obstante alcanzar un aceptable precio en el mercado.</w:t>
      </w:r>
    </w:p>
    <w:p>
      <w:pPr>
        <w:pStyle w:val="BodyText"/>
        <w:spacing w:before="5"/>
        <w:rPr>
          <w:sz w:val="25"/>
        </w:rPr>
      </w:pPr>
    </w:p>
    <w:p>
      <w:pPr>
        <w:pStyle w:val="BodyText"/>
        <w:spacing w:line="276" w:lineRule="auto"/>
        <w:ind w:left="901" w:right="1155"/>
        <w:jc w:val="both"/>
      </w:pPr>
      <w:r>
        <w:rPr/>
        <w:t>Los pastizales, no han sido objeto de mejoramiento y se utilizan en forma rústica, para el pastoreo intensivo de ganado vacuno, caballar y caprino, mismo que si no se trabaja con un mínimo de cuidado y tecnología, convierte por sobre pastoreo, potreros completos en eriales.</w:t>
      </w:r>
    </w:p>
    <w:p>
      <w:pPr>
        <w:spacing w:after="0" w:line="276" w:lineRule="auto"/>
        <w:jc w:val="both"/>
        <w:sectPr>
          <w:pgSz w:w="12240" w:h="15840"/>
          <w:pgMar w:header="178" w:footer="1142"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6" w:lineRule="auto" w:before="101"/>
        <w:ind w:left="901" w:right="1155"/>
        <w:jc w:val="both"/>
      </w:pPr>
      <w:r>
        <w:rPr/>
        <w:t>Si se ha profundizado un poco en el aspecto histórico, es con la finalidad de que el análisis del diagnóstico a nivel micro regional y municipal cumplan el objetivo de tener una visión amplia de la producción del municipio de Magdalena, y sobre todo, de las potencialidades que tiene por la vocación que tuvo el municipio y la ha ido perdiendo para darle paso a la producción de agave, cultivada directamente por las empresas tequileras de Amatitán y Tequila y en menor proporción por productores libres.</w:t>
      </w:r>
    </w:p>
    <w:p>
      <w:pPr>
        <w:pStyle w:val="BodyText"/>
        <w:spacing w:before="2"/>
        <w:rPr>
          <w:sz w:val="24"/>
        </w:rPr>
      </w:pPr>
    </w:p>
    <w:p>
      <w:pPr>
        <w:pStyle w:val="BodyText"/>
        <w:spacing w:line="276" w:lineRule="auto" w:before="1"/>
        <w:ind w:left="901" w:right="1152"/>
        <w:jc w:val="both"/>
      </w:pPr>
      <w:r>
        <w:rPr/>
        <w:t>En tanto la caña de azúcar, se opera directamente por el Ingenio de Tala, en virtud </w:t>
      </w:r>
      <w:r>
        <w:rPr>
          <w:spacing w:val="-3"/>
        </w:rPr>
        <w:t>de </w:t>
      </w:r>
      <w:r>
        <w:rPr/>
        <w:t>que ellos deben también aportar para el desarrollo del municipio de Magdalena, se habrá de prever acciones que pudiesen dar lugar a posibles planes conjuntos para el desarrollo en cada uno de estos sectores, y pedir el apoyo para algunos proyectos locales, a las entidades industriales señaladas, como por ejemplo; el apoyo para el mejoramiento de la infraestructura de caminos, de sistemas de riego, perforación de pozos profundos, de mejoramiento de suelos o bien solicitar en la región la instalación de un Trapiche que permita acortar los viajes de caña desde Magdalena hasta </w:t>
      </w:r>
      <w:r>
        <w:rPr>
          <w:spacing w:val="-5"/>
        </w:rPr>
        <w:t>el </w:t>
      </w:r>
      <w:r>
        <w:rPr/>
        <w:t>Ingenio José Ma. Martínez en Tala, Jal; que así se llevarían a solo unos 5 o 10 Km. de esta forma, con ésa infraestructura, solo se llevarían los productos ya pre elaborados en forma de mieles para continuar su proceso en el equipo del Ingenio; entre otras acciones a solicitar es conveniente; la de perforación de pozos profundos con su respectivo equipamiento y electrificación, que permitiría regar los cultivos y aumentar </w:t>
      </w:r>
      <w:r>
        <w:rPr>
          <w:spacing w:val="-4"/>
        </w:rPr>
        <w:t>la </w:t>
      </w:r>
      <w:r>
        <w:rPr/>
        <w:t>producción, de equipamiento para la cosecha con maquinaria o equipo de transporte, todo ello en beneficio directo de los productores del municipio de</w:t>
      </w:r>
      <w:r>
        <w:rPr>
          <w:spacing w:val="-20"/>
        </w:rPr>
        <w:t> </w:t>
      </w:r>
      <w:r>
        <w:rPr/>
        <w:t>Magdalena.</w:t>
      </w:r>
    </w:p>
    <w:p>
      <w:pPr>
        <w:pStyle w:val="BodyText"/>
        <w:spacing w:before="4"/>
        <w:rPr>
          <w:sz w:val="25"/>
        </w:rPr>
      </w:pPr>
    </w:p>
    <w:p>
      <w:pPr>
        <w:pStyle w:val="BodyText"/>
        <w:spacing w:line="276" w:lineRule="auto"/>
        <w:ind w:left="901" w:right="1154"/>
        <w:jc w:val="both"/>
      </w:pPr>
      <w:r>
        <w:rPr/>
        <w:t>De la misma manera se deberá proyectar la búsqueda de apoyo para los productores de agave, que requerirán incrementar su potencial tecnológico, implementar viveros que les permitan avanzar el crecimiento de los agaves antes de plantarse en el lugar definitivo para su crecimiento total; en campo, a la hora de la cosecha, se desperdicia y se pierde la fibra que tienen las pencas del agave, por lo que pudiese pensar </w:t>
      </w:r>
      <w:r>
        <w:rPr>
          <w:spacing w:val="-3"/>
        </w:rPr>
        <w:t>un </w:t>
      </w:r>
      <w:r>
        <w:rPr/>
        <w:t>proyecto que reviva las desfibradoras mismas que hace muchos años, en la ciudad de Tequila operó una</w:t>
      </w:r>
      <w:r>
        <w:rPr>
          <w:spacing w:val="-5"/>
        </w:rPr>
        <w:t> </w:t>
      </w:r>
      <w:r>
        <w:rPr/>
        <w:t>planta.</w:t>
      </w:r>
    </w:p>
    <w:p>
      <w:pPr>
        <w:pStyle w:val="BodyText"/>
        <w:spacing w:before="4"/>
        <w:rPr>
          <w:sz w:val="25"/>
        </w:rPr>
      </w:pPr>
    </w:p>
    <w:p>
      <w:pPr>
        <w:pStyle w:val="BodyText"/>
        <w:spacing w:line="276" w:lineRule="auto"/>
        <w:ind w:left="901" w:right="1156"/>
        <w:jc w:val="both"/>
      </w:pPr>
      <w:r>
        <w:rPr/>
        <w:t>Avena, Alfalfa, y otras plantaciones dedicadas a la producción de forraje en la zona de la Laguna de Magdalena, son exitosas en la Joya y en otros lotes.</w:t>
      </w:r>
    </w:p>
    <w:p>
      <w:pPr>
        <w:pStyle w:val="BodyText"/>
        <w:spacing w:before="5"/>
        <w:rPr>
          <w:sz w:val="25"/>
        </w:rPr>
      </w:pPr>
    </w:p>
    <w:p>
      <w:pPr>
        <w:pStyle w:val="BodyText"/>
        <w:spacing w:line="276" w:lineRule="auto"/>
        <w:ind w:left="901" w:right="1156"/>
        <w:jc w:val="both"/>
      </w:pPr>
      <w:r>
        <w:rPr/>
        <w:t>Generosa es la tierra de la Laguna para producir estas gramíneas que generan importantes utilidades económicas a sus propietarios, uniéndose al trigo, la cebada, el garbanzo, el maíz milo o sorgo.</w:t>
      </w:r>
    </w:p>
    <w:p>
      <w:pPr>
        <w:spacing w:after="0" w:line="276" w:lineRule="auto"/>
        <w:jc w:val="both"/>
        <w:sectPr>
          <w:pgSz w:w="12240" w:h="15840"/>
          <w:pgMar w:header="178" w:footer="1142" w:top="1120" w:bottom="1360" w:left="460" w:right="220"/>
        </w:sectPr>
      </w:pPr>
    </w:p>
    <w:p>
      <w:pPr>
        <w:pStyle w:val="BodyText"/>
        <w:rPr>
          <w:sz w:val="20"/>
        </w:rPr>
      </w:pPr>
    </w:p>
    <w:p>
      <w:pPr>
        <w:pStyle w:val="BodyText"/>
        <w:rPr>
          <w:sz w:val="17"/>
        </w:rPr>
      </w:pPr>
    </w:p>
    <w:p>
      <w:pPr>
        <w:pStyle w:val="Heading2"/>
        <w:spacing w:before="50"/>
      </w:pPr>
      <w:r>
        <w:rPr/>
        <w:t>Bosque</w:t>
      </w:r>
    </w:p>
    <w:p>
      <w:pPr>
        <w:pStyle w:val="BodyText"/>
        <w:spacing w:line="276" w:lineRule="auto" w:before="201"/>
        <w:ind w:left="901" w:right="1154"/>
        <w:jc w:val="both"/>
      </w:pPr>
      <w:r>
        <w:rPr/>
        <w:t>Las plantas silvestres que se producen en el municipio son variadas, así podemos encontrar: roble, encino, pinabete, tepehuaje, cedro, coate, higueras, aguilote, guácimas, laurel, salvia y nopal; Abundan las compuestas y gramíneas. Hay vegetación intensiva en el valle solamente de huizaches.</w:t>
      </w:r>
    </w:p>
    <w:p>
      <w:pPr>
        <w:pStyle w:val="BodyText"/>
        <w:spacing w:before="6"/>
        <w:rPr>
          <w:sz w:val="25"/>
        </w:rPr>
      </w:pPr>
    </w:p>
    <w:p>
      <w:pPr>
        <w:pStyle w:val="BodyText"/>
        <w:spacing w:line="276" w:lineRule="auto"/>
        <w:ind w:left="901" w:right="1154"/>
        <w:jc w:val="both"/>
      </w:pPr>
      <w:r>
        <w:rPr/>
        <w:t>El bosque alto o de montaña, puede ser en el municipio una actividad productiva, pero se carece de la tecnología adecuada, por lo que los aserraderos que operan con autorización legal, no reforestan acorde con las autorizaciones de que son producto, lo que viene simplemente a desforestar las áreas montañosas.</w:t>
      </w:r>
    </w:p>
    <w:p>
      <w:pPr>
        <w:pStyle w:val="BodyText"/>
        <w:spacing w:before="3"/>
        <w:rPr>
          <w:sz w:val="25"/>
        </w:rPr>
      </w:pPr>
    </w:p>
    <w:p>
      <w:pPr>
        <w:pStyle w:val="BodyText"/>
        <w:spacing w:line="276" w:lineRule="auto"/>
        <w:ind w:left="901" w:right="1156"/>
        <w:jc w:val="both"/>
      </w:pPr>
      <w:r>
        <w:rPr/>
        <w:t>La tala clandestina no se controla de manera adecuada, lo que genera más deforestación y destrozos al bosque.</w:t>
      </w:r>
    </w:p>
    <w:p>
      <w:pPr>
        <w:pStyle w:val="BodyText"/>
        <w:spacing w:before="5"/>
        <w:rPr>
          <w:sz w:val="25"/>
        </w:rPr>
      </w:pPr>
    </w:p>
    <w:p>
      <w:pPr>
        <w:pStyle w:val="BodyText"/>
        <w:spacing w:line="276" w:lineRule="auto"/>
        <w:ind w:left="901" w:right="1159"/>
        <w:jc w:val="both"/>
      </w:pPr>
      <w:r>
        <w:rPr/>
        <w:t>Son especies comunes en las partes altas de las montañas del municipio, el pino, el encino, el cedro y el roble.</w:t>
      </w:r>
    </w:p>
    <w:p>
      <w:pPr>
        <w:pStyle w:val="BodyText"/>
        <w:spacing w:before="1"/>
        <w:rPr>
          <w:sz w:val="25"/>
        </w:rPr>
      </w:pPr>
    </w:p>
    <w:p>
      <w:pPr>
        <w:pStyle w:val="BodyText"/>
        <w:spacing w:line="276" w:lineRule="auto" w:before="1"/>
        <w:ind w:left="901" w:right="1154"/>
        <w:jc w:val="both"/>
      </w:pPr>
      <w:r>
        <w:rPr/>
        <w:t>En las lomas y llanos, son comunes el huizache, el tápame, los chaparrales, en los arroyos prospera el fresno y a un se conservan algunas enormes matas, higuera o zalates, guamúchiles, y en las partes muy húmedas el junco, mezquite; las guácimas en zonas semisecas y otras variedades. El eucalipto se adapta con facilidad a la región municipal, y a últimas fechas ha prosperado la reforestación con ficus y otras especies que se obtienen de los viveros</w:t>
      </w:r>
      <w:r>
        <w:rPr>
          <w:spacing w:val="-10"/>
        </w:rPr>
        <w:t> </w:t>
      </w:r>
      <w:r>
        <w:rPr/>
        <w:t>estatales.</w:t>
      </w:r>
    </w:p>
    <w:p>
      <w:pPr>
        <w:pStyle w:val="BodyText"/>
        <w:spacing w:before="4"/>
        <w:rPr>
          <w:sz w:val="25"/>
        </w:rPr>
      </w:pPr>
    </w:p>
    <w:p>
      <w:pPr>
        <w:pStyle w:val="BodyText"/>
        <w:spacing w:line="276" w:lineRule="auto"/>
        <w:ind w:left="901" w:right="1155"/>
        <w:jc w:val="both"/>
      </w:pPr>
      <w:r>
        <w:rPr/>
        <w:t>Son importantes los salviales, ya que constituyen un valioso apoyo para la apicultura, que ha prosperado en los últimos años en localidades como Santa María, Magdalena y San Andrés.</w:t>
      </w:r>
    </w:p>
    <w:p>
      <w:pPr>
        <w:pStyle w:val="BodyText"/>
        <w:spacing w:before="4"/>
        <w:rPr>
          <w:sz w:val="25"/>
        </w:rPr>
      </w:pPr>
    </w:p>
    <w:p>
      <w:pPr>
        <w:pStyle w:val="BodyText"/>
        <w:spacing w:line="276" w:lineRule="auto"/>
        <w:ind w:left="901" w:right="1155"/>
        <w:jc w:val="both"/>
      </w:pPr>
      <w:r>
        <w:rPr/>
        <w:t>Las acciones de reforestación, han sido débiles hasta la fecha por muchos años, y por lo general se reforesta con plantas de pino y otras especies de tamaños que fluctúan entre los 25 cm. y el metro y medio, sobreviviendo tan solo unos pocos</w:t>
      </w:r>
      <w:r>
        <w:rPr>
          <w:spacing w:val="-23"/>
        </w:rPr>
        <w:t> </w:t>
      </w:r>
      <w:r>
        <w:rPr/>
        <w:t>especímenes.</w:t>
      </w:r>
    </w:p>
    <w:p>
      <w:pPr>
        <w:pStyle w:val="BodyText"/>
        <w:spacing w:before="4"/>
        <w:rPr>
          <w:sz w:val="25"/>
        </w:rPr>
      </w:pPr>
    </w:p>
    <w:p>
      <w:pPr>
        <w:pStyle w:val="BodyText"/>
        <w:spacing w:line="276" w:lineRule="auto"/>
        <w:ind w:left="901" w:right="1154"/>
        <w:jc w:val="both"/>
      </w:pPr>
      <w:r>
        <w:rPr/>
        <w:t>Importante en el medio urbano, ha sido la plantación de ficus que, en la cabecera municipal y algunas delegaciones, han alcanzado un desarrollo importante y constituyen ya notables conjuntos vegetales.</w:t>
      </w:r>
    </w:p>
    <w:p>
      <w:pPr>
        <w:pStyle w:val="BodyText"/>
        <w:spacing w:before="4"/>
        <w:rPr>
          <w:sz w:val="25"/>
        </w:rPr>
      </w:pPr>
    </w:p>
    <w:p>
      <w:pPr>
        <w:pStyle w:val="BodyText"/>
        <w:spacing w:line="276" w:lineRule="auto"/>
        <w:ind w:left="901" w:right="1156"/>
        <w:jc w:val="both"/>
      </w:pPr>
      <w:r>
        <w:rPr/>
        <w:t>Pequeños aserraderos en la población de San Andrés, tala clandestina, tumba de monte verde para dejarlo secar y quemar ladrillo con él, deforestación para sacar postes para los cercos de alambre de los potreros y los incendios forestales presentes casi todos los años, exterminan los bosques tan escasos en el Municipio de</w:t>
      </w:r>
      <w:r>
        <w:rPr>
          <w:spacing w:val="-31"/>
        </w:rPr>
        <w:t> </w:t>
      </w:r>
      <w:r>
        <w:rPr/>
        <w:t>Magdalena.</w:t>
      </w:r>
    </w:p>
    <w:p>
      <w:pPr>
        <w:spacing w:after="0" w:line="276" w:lineRule="auto"/>
        <w:jc w:val="both"/>
        <w:sectPr>
          <w:pgSz w:w="12240" w:h="15840"/>
          <w:pgMar w:header="178" w:footer="1142"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6" w:lineRule="auto" w:before="101"/>
        <w:ind w:left="901" w:right="1156"/>
        <w:jc w:val="both"/>
      </w:pPr>
      <w:r>
        <w:rPr/>
        <w:t>Las brigadas contraincendios deben estar en alerta permanente durante los meses de marzo a junio, con el fin de prevenir y en su caso combatir oportunamente los incendios que devoran las plantas pequeñas y en mucho dañan los añosos árboles.</w:t>
      </w:r>
    </w:p>
    <w:p>
      <w:pPr>
        <w:pStyle w:val="BodyText"/>
        <w:spacing w:before="4"/>
        <w:rPr>
          <w:sz w:val="25"/>
        </w:rPr>
      </w:pPr>
    </w:p>
    <w:p>
      <w:pPr>
        <w:pStyle w:val="BodyText"/>
        <w:spacing w:line="276" w:lineRule="auto"/>
        <w:ind w:left="901" w:right="1155"/>
        <w:jc w:val="both"/>
      </w:pPr>
      <w:r>
        <w:rPr/>
        <w:t>Es importante crear conciencia entre los agricultores, principalmente los coamileros, para que abandonen las añejas costumbres que tantos incendios ocasionan, producto de la quema de rastrojos o maleza para limpiar sus pequeñas parcelas de tierra que cultivan.</w:t>
      </w:r>
    </w:p>
    <w:p>
      <w:pPr>
        <w:pStyle w:val="BodyText"/>
        <w:spacing w:before="8"/>
        <w:rPr>
          <w:sz w:val="23"/>
        </w:rPr>
      </w:pPr>
    </w:p>
    <w:p>
      <w:pPr>
        <w:pStyle w:val="Heading2"/>
      </w:pPr>
      <w:r>
        <w:rPr/>
        <w:t>Avicultura</w:t>
      </w:r>
    </w:p>
    <w:p>
      <w:pPr>
        <w:pStyle w:val="BodyText"/>
        <w:spacing w:line="276" w:lineRule="auto" w:before="205"/>
        <w:ind w:left="901" w:right="1156"/>
        <w:jc w:val="both"/>
      </w:pPr>
      <w:r>
        <w:rPr/>
        <w:t>La avicultura no ha pasado de ser una actividad de traspatio, por lo que, en todos los poblados rurales, es común encontrar en la mayoría de las viviendas, especies avícolas como gallinas, guajolotes y patos.</w:t>
      </w:r>
    </w:p>
    <w:p>
      <w:pPr>
        <w:pStyle w:val="BodyText"/>
        <w:spacing w:before="3"/>
        <w:rPr>
          <w:sz w:val="25"/>
        </w:rPr>
      </w:pPr>
    </w:p>
    <w:p>
      <w:pPr>
        <w:pStyle w:val="BodyText"/>
        <w:spacing w:line="276" w:lineRule="auto" w:before="1"/>
        <w:ind w:left="901" w:right="1158"/>
        <w:jc w:val="both"/>
      </w:pPr>
      <w:r>
        <w:rPr/>
        <w:t>Del universo avícola, tanto en granjas como en traspatio, tenemos las cifras que se reportan de la oficina de control ganadero.</w:t>
      </w:r>
    </w:p>
    <w:p>
      <w:pPr>
        <w:pStyle w:val="BodyText"/>
        <w:spacing w:before="1"/>
        <w:rPr>
          <w:sz w:val="25"/>
        </w:rPr>
      </w:pPr>
    </w:p>
    <w:p>
      <w:pPr>
        <w:pStyle w:val="BodyText"/>
        <w:spacing w:line="276" w:lineRule="auto"/>
        <w:ind w:left="901" w:right="1154"/>
        <w:jc w:val="both"/>
      </w:pPr>
      <w:r>
        <w:rPr/>
        <w:t>Hacia los años de 1950 datan los primeros “gallineros” en Magdalena, con </w:t>
      </w:r>
      <w:r>
        <w:rPr>
          <w:spacing w:val="-5"/>
        </w:rPr>
        <w:t>el </w:t>
      </w:r>
      <w:r>
        <w:rPr/>
        <w:t>establecimiento de una pequeña granja en las inmediaciones de lo que ahora es la Escuela Preparatoria de la Universidad de Guadalajara. Su actividad con los años, vino a menos y un buen día cerraron la</w:t>
      </w:r>
      <w:r>
        <w:rPr>
          <w:spacing w:val="-10"/>
        </w:rPr>
        <w:t> </w:t>
      </w:r>
      <w:r>
        <w:rPr/>
        <w:t>granja.</w:t>
      </w:r>
    </w:p>
    <w:p>
      <w:pPr>
        <w:pStyle w:val="BodyText"/>
        <w:spacing w:before="6"/>
        <w:rPr>
          <w:sz w:val="25"/>
        </w:rPr>
      </w:pPr>
    </w:p>
    <w:p>
      <w:pPr>
        <w:pStyle w:val="BodyText"/>
        <w:spacing w:line="276" w:lineRule="auto"/>
        <w:ind w:left="901" w:right="1156"/>
        <w:jc w:val="both"/>
      </w:pPr>
      <w:r>
        <w:rPr/>
        <w:t>En el poblado de San Andrés, un grupo de mujeres emprendió una pequeña empresa avícola, construyendo sus instalaciones por los años de 1990 y equipándose un poco en años subsecuentes, sin embargo, la actividad productiva vino a menos y está abandonada, o bien opera de tiempo en tiempo sin una formalidad que la pueda convertir en un negocio rentable para los participantes, quienes cuentan con el patrimonio de su edificio y algo de equipo.</w:t>
      </w:r>
    </w:p>
    <w:p>
      <w:pPr>
        <w:pStyle w:val="BodyText"/>
        <w:spacing w:before="2"/>
        <w:rPr>
          <w:sz w:val="25"/>
        </w:rPr>
      </w:pPr>
    </w:p>
    <w:p>
      <w:pPr>
        <w:pStyle w:val="BodyText"/>
        <w:spacing w:line="276" w:lineRule="auto"/>
        <w:ind w:left="901" w:right="1155"/>
        <w:jc w:val="both"/>
      </w:pPr>
      <w:r>
        <w:rPr/>
        <w:t>Casi el 90% del pollo y el huevo que se consumen en el municipio de Magdalena, son producidos en granjas de la región de los Altos de Jalisco y otros lugares. Con cierto éxito se ha mantenido una granja de CODORNIZ, que está produciendo huevo, mismo que se exporta a la ciudad de</w:t>
      </w:r>
      <w:r>
        <w:rPr>
          <w:spacing w:val="-9"/>
        </w:rPr>
        <w:t> </w:t>
      </w:r>
      <w:r>
        <w:rPr/>
        <w:t>Guadalajara.</w:t>
      </w:r>
    </w:p>
    <w:p>
      <w:pPr>
        <w:pStyle w:val="BodyText"/>
        <w:spacing w:before="4"/>
        <w:rPr>
          <w:sz w:val="25"/>
        </w:rPr>
      </w:pPr>
    </w:p>
    <w:p>
      <w:pPr>
        <w:pStyle w:val="Heading2"/>
        <w:rPr>
          <w:rFonts w:ascii="Calibri"/>
        </w:rPr>
      </w:pPr>
      <w:r>
        <w:rPr>
          <w:rFonts w:ascii="Calibri"/>
        </w:rPr>
        <w:t>La Apicultura</w:t>
      </w:r>
    </w:p>
    <w:p>
      <w:pPr>
        <w:pStyle w:val="BodyText"/>
        <w:spacing w:line="276" w:lineRule="auto" w:before="201"/>
        <w:ind w:left="901" w:right="1156"/>
        <w:jc w:val="both"/>
      </w:pPr>
      <w:r>
        <w:rPr/>
        <w:t>Ancestral ha sido la práctica de la Apicultura, habiéndose localizado colmenas en número considerable en distintos lugares, tanto urbanos como en los cerros que circundan Magdalena, desde hace un buen número de años, siendo famosa la Colmena que estuvo en una Huerta de las calles México y 5 de febrero, la cual funcionó</w:t>
      </w:r>
    </w:p>
    <w:p>
      <w:pPr>
        <w:spacing w:after="0" w:line="276" w:lineRule="auto"/>
        <w:jc w:val="both"/>
        <w:sectPr>
          <w:pgSz w:w="12240" w:h="15840"/>
          <w:pgMar w:header="178" w:footer="1142"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8" w:lineRule="auto" w:before="101"/>
        <w:ind w:left="901" w:right="1156"/>
        <w:jc w:val="both"/>
      </w:pPr>
      <w:r>
        <w:rPr/>
        <w:t>desde finales del siglo XIX hasta más o menos los años 1960, produciendo una respetable cantidad de miel y de</w:t>
      </w:r>
      <w:r>
        <w:rPr>
          <w:spacing w:val="-6"/>
        </w:rPr>
        <w:t> </w:t>
      </w:r>
      <w:r>
        <w:rPr/>
        <w:t>cera.</w:t>
      </w:r>
    </w:p>
    <w:p>
      <w:pPr>
        <w:pStyle w:val="BodyText"/>
        <w:spacing w:before="11"/>
        <w:rPr>
          <w:sz w:val="24"/>
        </w:rPr>
      </w:pPr>
    </w:p>
    <w:p>
      <w:pPr>
        <w:pStyle w:val="BodyText"/>
        <w:spacing w:line="276" w:lineRule="auto" w:before="1"/>
        <w:ind w:left="901" w:right="1155"/>
        <w:jc w:val="both"/>
      </w:pPr>
      <w:r>
        <w:rPr/>
        <w:t>Anteriormente, grupos de mujeres principalmente habían incursionado en la práctica de la apicultura con éxito notable, destacando entre ellas las productoras de Santa María, San Simón y San Andrés.</w:t>
      </w:r>
    </w:p>
    <w:p>
      <w:pPr>
        <w:pStyle w:val="BodyText"/>
        <w:spacing w:before="3"/>
        <w:rPr>
          <w:sz w:val="25"/>
        </w:rPr>
      </w:pPr>
    </w:p>
    <w:p>
      <w:pPr>
        <w:pStyle w:val="BodyText"/>
        <w:spacing w:line="276" w:lineRule="auto"/>
        <w:ind w:left="901" w:right="1155"/>
        <w:jc w:val="both"/>
      </w:pPr>
      <w:r>
        <w:rPr/>
        <w:t>El municipio es particularmente rico en posibilidades para que la apicultura florezca con mayor ímpetu, dadas las condiciones favorables que significan el contar con un extenso número de hectáreas en las que de forma natural prospera el arbusto llamado “salvia”, no menos que el Junco y los Huizaches, todos llenos de flores y polen, a más de la gran cantidad de plantas como el mirasol, la alfombrilla y otras, que producen millones de florecillas de las cuales las abejas, extraen la miel.</w:t>
      </w:r>
    </w:p>
    <w:p>
      <w:pPr>
        <w:pStyle w:val="BodyText"/>
        <w:spacing w:before="10"/>
        <w:rPr>
          <w:sz w:val="23"/>
        </w:rPr>
      </w:pPr>
    </w:p>
    <w:p>
      <w:pPr>
        <w:pStyle w:val="Heading2"/>
      </w:pPr>
      <w:r>
        <w:rPr/>
        <w:t>Porcicultura</w:t>
      </w:r>
    </w:p>
    <w:p>
      <w:pPr>
        <w:pStyle w:val="BodyText"/>
        <w:spacing w:line="276" w:lineRule="auto" w:before="202"/>
        <w:ind w:left="901" w:right="1154"/>
        <w:jc w:val="both"/>
      </w:pPr>
      <w:r>
        <w:rPr/>
        <w:t>La porcicultura ha alcanzado un desarrollo notable en el municipio de Magdalena, generándose ya el establecimiento de zahúrdas en zonas alejadas de las poblaciones que están produciendo excelentes ejemplares para el mercado de carnes, sin embargo a la par están empezando a enfrentar el problema del tratamiento de sus desechos líquidos y sólidos, que generan problemas a los predios vecinos y a los ganaderos de otras especies, aguas abajo de donde ellos se ubican, lo que tendrá que estudiarse por las autoridades y prestarles los apoyos que sean requeridos para que esta actividad pecuaria opere sin contratiempos y siga generando alimentos y empleos.</w:t>
      </w:r>
    </w:p>
    <w:p>
      <w:pPr>
        <w:pStyle w:val="BodyText"/>
        <w:spacing w:before="3"/>
        <w:rPr>
          <w:sz w:val="25"/>
        </w:rPr>
      </w:pPr>
    </w:p>
    <w:p>
      <w:pPr>
        <w:pStyle w:val="BodyText"/>
        <w:spacing w:line="276" w:lineRule="auto"/>
        <w:ind w:left="901" w:right="1154"/>
        <w:jc w:val="both"/>
      </w:pPr>
      <w:r>
        <w:rPr/>
        <w:t>La porcicultura de traspatio, sigue siendo un importante elemento de subsistencia y apoyo de la economía de muchas familias del medio urbano y rural del municipio, desarrolla pies de cría y ejemplares tanto de clases reconocidas como criollos, más sin embargo su crecimiento en cuanto a número de cabezas y de espacio es limitado, y en ocasiones frenado por las condiciones de higiene o de malestar que se generan entre  la población vecina cuando se descuidan las labores de limpieza de las zahúrdas y se propagan malos olores o insectos como la</w:t>
      </w:r>
      <w:r>
        <w:rPr>
          <w:spacing w:val="-10"/>
        </w:rPr>
        <w:t> </w:t>
      </w:r>
      <w:r>
        <w:rPr/>
        <w:t>mosca.</w:t>
      </w:r>
    </w:p>
    <w:p>
      <w:pPr>
        <w:pStyle w:val="BodyText"/>
        <w:spacing w:before="4"/>
        <w:rPr>
          <w:sz w:val="25"/>
        </w:rPr>
      </w:pPr>
    </w:p>
    <w:p>
      <w:pPr>
        <w:pStyle w:val="BodyText"/>
        <w:spacing w:line="276" w:lineRule="auto" w:before="1"/>
        <w:ind w:left="901" w:right="1154"/>
        <w:jc w:val="both"/>
      </w:pPr>
      <w:r>
        <w:rPr/>
        <w:t>El mercado local de cárnicos, importa de municipios vecinos como Hostotipaquillo, Etzatlán y Antonio Escobedo, un importante número de cabezas de ganado vacuno y porcino, productos de granjas pecuarias de alta tecnología, como las ubicadas en Santa Rosalía, Etzatlán, y ocasionalmente del municipio de San Marcos.</w:t>
      </w:r>
    </w:p>
    <w:p>
      <w:pPr>
        <w:spacing w:after="0" w:line="276" w:lineRule="auto"/>
        <w:jc w:val="both"/>
        <w:sectPr>
          <w:pgSz w:w="12240" w:h="15840"/>
          <w:pgMar w:header="178" w:footer="1142" w:top="1120" w:bottom="1360" w:left="460" w:right="220"/>
        </w:sectPr>
      </w:pPr>
    </w:p>
    <w:p>
      <w:pPr>
        <w:pStyle w:val="BodyText"/>
        <w:rPr>
          <w:sz w:val="20"/>
        </w:rPr>
      </w:pPr>
    </w:p>
    <w:p>
      <w:pPr>
        <w:pStyle w:val="BodyText"/>
        <w:rPr>
          <w:sz w:val="17"/>
        </w:rPr>
      </w:pPr>
    </w:p>
    <w:p>
      <w:pPr>
        <w:pStyle w:val="Heading2"/>
        <w:spacing w:before="50"/>
      </w:pPr>
      <w:r>
        <w:rPr/>
        <w:t>Pesca</w:t>
      </w:r>
    </w:p>
    <w:p>
      <w:pPr>
        <w:pStyle w:val="BodyText"/>
        <w:spacing w:line="276" w:lineRule="auto" w:before="201"/>
        <w:ind w:left="901" w:right="1155"/>
        <w:jc w:val="both"/>
      </w:pPr>
      <w:r>
        <w:rPr/>
        <w:t>La pesca en el municipio de Magdalena, es una actividad que puede ser altamente rentable, si consideramos que, en años recientes, se llegaron a producir carpas tilapias en la Laguna de Magdalena de hasta 10 kgs. De peso, y un poco menores en bordos como el de San Andrés y los de La Quemada, además de los que se reproducían a lo largo del ‘canal’ que va del Vertedero del Bordo El Trigo hasta Santiaguito y San Juanito de Escobedo.</w:t>
      </w:r>
    </w:p>
    <w:p>
      <w:pPr>
        <w:pStyle w:val="BodyText"/>
        <w:spacing w:before="4"/>
        <w:rPr>
          <w:sz w:val="25"/>
        </w:rPr>
      </w:pPr>
    </w:p>
    <w:p>
      <w:pPr>
        <w:pStyle w:val="BodyText"/>
        <w:spacing w:line="276" w:lineRule="auto" w:before="1"/>
        <w:ind w:left="901" w:right="1155"/>
        <w:jc w:val="both"/>
      </w:pPr>
      <w:r>
        <w:rPr/>
        <w:t>En las aguas hay muchos peces, siendo los principales algunas variedades de bagres silurus, que llegan hasta de vara, en tamaño; también se pueden encontrar truchas, mojarras y sardinas.</w:t>
      </w:r>
    </w:p>
    <w:p>
      <w:pPr>
        <w:pStyle w:val="BodyText"/>
        <w:spacing w:before="4"/>
        <w:rPr>
          <w:sz w:val="25"/>
        </w:rPr>
      </w:pPr>
    </w:p>
    <w:p>
      <w:pPr>
        <w:pStyle w:val="BodyText"/>
        <w:spacing w:line="276" w:lineRule="auto"/>
        <w:ind w:left="901" w:right="1156"/>
        <w:jc w:val="both"/>
      </w:pPr>
      <w:r>
        <w:rPr/>
        <w:t>El pescado blanco, fue en la época de los años 1910 una especie común en la Laguna de Magdalena, según lo reportó el Sr. Cura Félix Ma. Martínez, señalando además que era de un exquisito sabor y muy nutritivo.</w:t>
      </w:r>
    </w:p>
    <w:p>
      <w:pPr>
        <w:pStyle w:val="BodyText"/>
        <w:spacing w:before="3"/>
        <w:rPr>
          <w:sz w:val="25"/>
        </w:rPr>
      </w:pPr>
    </w:p>
    <w:p>
      <w:pPr>
        <w:pStyle w:val="BodyText"/>
        <w:spacing w:line="276" w:lineRule="auto" w:before="1"/>
        <w:ind w:left="901" w:right="1156"/>
        <w:jc w:val="both"/>
      </w:pPr>
      <w:r>
        <w:rPr/>
        <w:t>Se encontraron en el poblado de Ojo Zarco, principios de proyectos de estanques piscícolas que deben impulsarse para fomentar la cría de pescado en espacios controlados, mismos que han recibido apoyo por parte de diversas dependencias del Gobierno del Estado de Jalisco.</w:t>
      </w:r>
    </w:p>
    <w:p>
      <w:pPr>
        <w:pStyle w:val="BodyText"/>
        <w:spacing w:before="3"/>
        <w:rPr>
          <w:sz w:val="25"/>
        </w:rPr>
      </w:pPr>
    </w:p>
    <w:p>
      <w:pPr>
        <w:pStyle w:val="BodyText"/>
        <w:spacing w:line="276" w:lineRule="auto"/>
        <w:ind w:left="901" w:right="1157"/>
        <w:jc w:val="both"/>
      </w:pPr>
      <w:r>
        <w:rPr/>
        <w:t>El gran problema de la piscicultura en los "bordos y lagunas”, es que año con año, sus aguas se utilizan para riego, agotando en su totalidad el volumen acuífero de los vasos y provocando lamentablemente el exterminio casi total de toda especie</w:t>
      </w:r>
      <w:r>
        <w:rPr>
          <w:spacing w:val="-19"/>
        </w:rPr>
        <w:t> </w:t>
      </w:r>
      <w:r>
        <w:rPr/>
        <w:t>piscícola.</w:t>
      </w:r>
    </w:p>
    <w:p>
      <w:pPr>
        <w:pStyle w:val="BodyText"/>
        <w:spacing w:before="4"/>
        <w:rPr>
          <w:sz w:val="25"/>
        </w:rPr>
      </w:pPr>
    </w:p>
    <w:p>
      <w:pPr>
        <w:pStyle w:val="BodyText"/>
        <w:spacing w:line="276" w:lineRule="auto"/>
        <w:ind w:left="901" w:right="1155"/>
        <w:jc w:val="both"/>
      </w:pPr>
      <w:r>
        <w:rPr/>
        <w:t>Es necesario atender este renglón y exigir a las autoridades en la materia, se conserve un tirante que permita sobrevivir a las especies piscícolas que se planten, para que su reproducción, supervivencia y su comercialización se estandaricen a lo largo del año y sean rentables evitando por otra parte el tener que estar sembrando año con año nuevas</w:t>
      </w:r>
      <w:r>
        <w:rPr>
          <w:spacing w:val="-2"/>
        </w:rPr>
        <w:t> </w:t>
      </w:r>
      <w:r>
        <w:rPr/>
        <w:t>crías.</w:t>
      </w:r>
    </w:p>
    <w:p>
      <w:pPr>
        <w:pStyle w:val="BodyText"/>
        <w:spacing w:before="4"/>
        <w:rPr>
          <w:sz w:val="25"/>
        </w:rPr>
      </w:pPr>
    </w:p>
    <w:p>
      <w:pPr>
        <w:pStyle w:val="BodyText"/>
        <w:spacing w:line="276" w:lineRule="auto" w:before="1"/>
        <w:ind w:left="901" w:right="1155"/>
        <w:jc w:val="both"/>
      </w:pPr>
      <w:r>
        <w:rPr/>
        <w:t>Es de señalarse, que años atrás, se llegaron a encontrar en la Laguna de Magdalena, RANAS TORO de hasta un kg. de peso, pero con las constantes desecaciones del vaso de la Laguna estas especies se extinguieron, no obstante, nos da idea en el diagnóstico que estamos realizando, que la cría de rana gigante puede ser una especie más, que puede y debe implantarse y que seguramente se hará con éxito, máxime que en el mercado de los mariscos, las ancas de rana son sumamente apreciadas y servidas en restaurantes como un platillo exótico, lo que les permitiría alcanzar un precio de venta muy interesante para quienes se pudiesen dedicar a su cría y cultivo.</w:t>
      </w:r>
    </w:p>
    <w:p>
      <w:pPr>
        <w:spacing w:after="0" w:line="276" w:lineRule="auto"/>
        <w:jc w:val="both"/>
        <w:sectPr>
          <w:footerReference w:type="default" r:id="rId61"/>
          <w:pgSz w:w="12240" w:h="15840"/>
          <w:pgMar w:footer="1179" w:header="178" w:top="1120" w:bottom="1360" w:left="460" w:right="220"/>
        </w:sectPr>
      </w:pPr>
    </w:p>
    <w:p>
      <w:pPr>
        <w:pStyle w:val="BodyText"/>
        <w:rPr>
          <w:sz w:val="20"/>
        </w:rPr>
      </w:pPr>
    </w:p>
    <w:p>
      <w:pPr>
        <w:pStyle w:val="BodyText"/>
        <w:spacing w:before="3"/>
        <w:rPr>
          <w:sz w:val="21"/>
        </w:rPr>
      </w:pPr>
    </w:p>
    <w:p>
      <w:pPr>
        <w:pStyle w:val="BodyText"/>
        <w:spacing w:line="276" w:lineRule="auto"/>
        <w:ind w:left="901" w:right="1156"/>
        <w:jc w:val="both"/>
      </w:pPr>
      <w:r>
        <w:rPr/>
        <w:t>Concluyendo el diagnóstico, debemos señalar, que la pesca y otras actividades relacionadas con la acuicultura, fueron exitosas en el municipio de Magdalena en su época lacustre y que hoy en día podrían volver a serlo, conjuntamente con otras especies, siempre y cuando se complemente la infraestructura restaurantera que se requiere.</w:t>
      </w:r>
    </w:p>
    <w:p>
      <w:pPr>
        <w:pStyle w:val="BodyText"/>
        <w:spacing w:before="2"/>
        <w:rPr>
          <w:sz w:val="25"/>
        </w:rPr>
      </w:pPr>
    </w:p>
    <w:p>
      <w:pPr>
        <w:pStyle w:val="Heading2"/>
        <w:spacing w:before="1"/>
        <w:jc w:val="both"/>
      </w:pPr>
      <w:r>
        <w:rPr/>
        <w:t>Otras Especies</w:t>
      </w:r>
    </w:p>
    <w:p>
      <w:pPr>
        <w:pStyle w:val="BodyText"/>
        <w:spacing w:line="276" w:lineRule="auto" w:before="201"/>
        <w:ind w:left="901" w:right="1154"/>
        <w:jc w:val="both"/>
      </w:pPr>
      <w:r>
        <w:rPr/>
        <w:t>Aun cuando en nuestra región no es consumido, pero puede detectarse exitoso para el mercado, el chapulín, tan exquisito y gustado en entidades como Oaxaca y Guerrero, dado que, en nuestro medio, nuestro campo es vigoroso para alimentarlo, el chapulín se reproduce exitosamente, no estaría por demás, pensar en que esta actividad pudiese recibir algún impulso especial. Codorniz, güilota, pato canadiense, son aves silvestres que proliferan en los campos húmedos de Magdalena, producían huevo en abundancia, y su carne era</w:t>
      </w:r>
      <w:r>
        <w:rPr>
          <w:spacing w:val="-7"/>
        </w:rPr>
        <w:t> </w:t>
      </w:r>
      <w:r>
        <w:rPr/>
        <w:t>apetecida.</w:t>
      </w:r>
    </w:p>
    <w:p>
      <w:pPr>
        <w:pStyle w:val="BodyText"/>
        <w:spacing w:before="10"/>
        <w:rPr>
          <w:sz w:val="23"/>
        </w:rPr>
      </w:pPr>
    </w:p>
    <w:p>
      <w:pPr>
        <w:pStyle w:val="Heading2"/>
        <w:jc w:val="both"/>
      </w:pPr>
      <w:r>
        <w:rPr/>
        <w:t>Producción Artesanal</w:t>
      </w:r>
    </w:p>
    <w:p>
      <w:pPr>
        <w:pStyle w:val="BodyText"/>
        <w:spacing w:before="6"/>
        <w:rPr>
          <w:rFonts w:ascii="Corbel"/>
          <w:b/>
          <w:sz w:val="25"/>
        </w:rPr>
      </w:pPr>
    </w:p>
    <w:p>
      <w:pPr>
        <w:pStyle w:val="BodyText"/>
        <w:spacing w:line="276" w:lineRule="auto"/>
        <w:ind w:left="901" w:right="1155"/>
        <w:jc w:val="both"/>
      </w:pPr>
      <w:r>
        <w:rPr/>
        <w:t>Se ha perdido una de las artesanías que hace 80 o 100 años se llevaba a cabo en Magdalena con el trabajo del TULE que producía la Laguna de Magdalena, y con el cual al igual que en San Juanito se elaboraban petates, sopladores, mantelitos individuales, etc. Se perdió la laguna y con ella las grandes extensiones de tule ancho, mismo del que aún quedan algunos lunares que año con año alcanzan alturas hasta de 4 mt. y un diámetro de 1 a 2 cm.</w:t>
      </w:r>
    </w:p>
    <w:p>
      <w:pPr>
        <w:pStyle w:val="BodyText"/>
        <w:spacing w:before="5"/>
        <w:rPr>
          <w:sz w:val="25"/>
        </w:rPr>
      </w:pPr>
    </w:p>
    <w:p>
      <w:pPr>
        <w:pStyle w:val="BodyText"/>
        <w:spacing w:line="276" w:lineRule="auto"/>
        <w:ind w:left="901" w:right="1156"/>
        <w:jc w:val="both"/>
      </w:pPr>
      <w:r>
        <w:rPr/>
        <w:t>El municipio vecino de San Juanito de Escobedo, mantuvo esta artesanía por más tiempo; pero a la fecha está casi extinta.</w:t>
      </w:r>
    </w:p>
    <w:p>
      <w:pPr>
        <w:pStyle w:val="BodyText"/>
        <w:spacing w:before="4"/>
        <w:rPr>
          <w:sz w:val="25"/>
        </w:rPr>
      </w:pPr>
    </w:p>
    <w:p>
      <w:pPr>
        <w:pStyle w:val="BodyText"/>
        <w:spacing w:line="276" w:lineRule="auto"/>
        <w:ind w:left="901" w:right="1155"/>
        <w:jc w:val="both"/>
      </w:pPr>
      <w:r>
        <w:rPr/>
        <w:t>El municipio de Magdalena, ha desarrollado otras diversas artesanías, destacando por su importancia y por el número de personas que se dedican a esa actividad, el labrado de las piedras de ÓPALO, que produce nuestra</w:t>
      </w:r>
      <w:r>
        <w:rPr>
          <w:spacing w:val="-8"/>
        </w:rPr>
        <w:t> </w:t>
      </w:r>
      <w:r>
        <w:rPr/>
        <w:t>región.</w:t>
      </w:r>
    </w:p>
    <w:p>
      <w:pPr>
        <w:pStyle w:val="BodyText"/>
        <w:spacing w:before="4"/>
        <w:rPr>
          <w:sz w:val="25"/>
        </w:rPr>
      </w:pPr>
    </w:p>
    <w:p>
      <w:pPr>
        <w:pStyle w:val="BodyText"/>
        <w:spacing w:line="276" w:lineRule="auto"/>
        <w:ind w:left="901" w:right="1156"/>
        <w:jc w:val="both"/>
      </w:pPr>
      <w:r>
        <w:rPr/>
        <w:t>EL ópalo, es una especie de cuarzo un tanto de menor calidad que el ópalo con cristalización del 50%, que se tallaba y luego se horneaba para que tomara su color negro, manteniendo sus colores en el interior de su estructura.</w:t>
      </w:r>
    </w:p>
    <w:p>
      <w:pPr>
        <w:pStyle w:val="BodyText"/>
        <w:spacing w:before="4"/>
        <w:rPr>
          <w:sz w:val="25"/>
        </w:rPr>
      </w:pPr>
    </w:p>
    <w:p>
      <w:pPr>
        <w:pStyle w:val="BodyText"/>
        <w:spacing w:line="276" w:lineRule="auto"/>
        <w:ind w:left="901" w:right="1154"/>
        <w:jc w:val="both"/>
      </w:pPr>
      <w:r>
        <w:rPr/>
        <w:t>El ópalo hueso con una cristalización del 75%, es de menor calidad, pero por igual se tallaba y resultaba una piedra semipreciosa de hermoso aspecto, con infinidad de colores, aunque en tonos lechosos.</w:t>
      </w:r>
    </w:p>
    <w:p>
      <w:pPr>
        <w:spacing w:after="0" w:line="276" w:lineRule="auto"/>
        <w:jc w:val="both"/>
        <w:sectPr>
          <w:footerReference w:type="default" r:id="rId62"/>
          <w:pgSz w:w="12240" w:h="15840"/>
          <w:pgMar w:footer="1179" w:header="178" w:top="1120" w:bottom="1360" w:left="460" w:right="220"/>
          <w:pgNumType w:start="121"/>
        </w:sectPr>
      </w:pPr>
    </w:p>
    <w:p>
      <w:pPr>
        <w:pStyle w:val="BodyText"/>
        <w:rPr>
          <w:sz w:val="20"/>
        </w:rPr>
      </w:pPr>
    </w:p>
    <w:p>
      <w:pPr>
        <w:pStyle w:val="BodyText"/>
        <w:spacing w:before="3"/>
        <w:rPr>
          <w:sz w:val="21"/>
        </w:rPr>
      </w:pPr>
    </w:p>
    <w:p>
      <w:pPr>
        <w:pStyle w:val="BodyText"/>
        <w:spacing w:line="276" w:lineRule="auto"/>
        <w:ind w:left="901" w:right="1157"/>
        <w:jc w:val="both"/>
      </w:pPr>
      <w:r>
        <w:rPr/>
        <w:t>El ópalo supremo, el ópalo de fuego, y otras variedades, son indudablemente </w:t>
      </w:r>
      <w:r>
        <w:rPr>
          <w:spacing w:val="-4"/>
        </w:rPr>
        <w:t>la</w:t>
      </w:r>
      <w:r>
        <w:rPr>
          <w:spacing w:val="52"/>
        </w:rPr>
        <w:t> </w:t>
      </w:r>
      <w:r>
        <w:rPr/>
        <w:t>máxima expresión del ópalo de Magdalena, sea como piedra en sí; como elemento </w:t>
      </w:r>
      <w:r>
        <w:rPr>
          <w:spacing w:val="-3"/>
        </w:rPr>
        <w:t>de </w:t>
      </w:r>
      <w:r>
        <w:rPr/>
        <w:t>algún alebrije, un collar, un pendiente o en cualquier pieza de joyería en oro y plata en las que los artesanos de Magdalena se han</w:t>
      </w:r>
      <w:r>
        <w:rPr>
          <w:spacing w:val="-12"/>
        </w:rPr>
        <w:t> </w:t>
      </w:r>
      <w:r>
        <w:rPr/>
        <w:t>especializado.</w:t>
      </w:r>
    </w:p>
    <w:p>
      <w:pPr>
        <w:pStyle w:val="BodyText"/>
        <w:spacing w:before="3"/>
        <w:rPr>
          <w:sz w:val="25"/>
        </w:rPr>
      </w:pPr>
    </w:p>
    <w:p>
      <w:pPr>
        <w:pStyle w:val="BodyText"/>
        <w:spacing w:line="276" w:lineRule="auto"/>
        <w:ind w:left="901" w:right="1155"/>
        <w:jc w:val="both"/>
      </w:pPr>
      <w:r>
        <w:rPr/>
        <w:t>Complemento de esta primera actividad artesanal, se ha desarrollado la artesanía de incrustación de ópalos en resina acrílica y obsidiana, elaborándose trabajos muy atractivos, aun cuando la producción se ha limitado a un reducido número de diseños.</w:t>
      </w:r>
    </w:p>
    <w:p>
      <w:pPr>
        <w:pStyle w:val="BodyText"/>
        <w:spacing w:before="4"/>
        <w:rPr>
          <w:sz w:val="25"/>
        </w:rPr>
      </w:pPr>
    </w:p>
    <w:p>
      <w:pPr>
        <w:pStyle w:val="BodyText"/>
        <w:spacing w:line="276" w:lineRule="auto"/>
        <w:ind w:left="901" w:right="1156"/>
        <w:jc w:val="both"/>
      </w:pPr>
      <w:r>
        <w:rPr/>
        <w:t>No menos importante es la artesanía empleando piedras también de ópalo, para formar mosaicos y recubrir figuras antropomorfas de exquisito diseño. Los llamados “dobletes” por igual de exquisita manufactura, y que ahora genera variados diseños con temas variados, por lo general soportados en un elemento básico de</w:t>
      </w:r>
      <w:r>
        <w:rPr>
          <w:spacing w:val="-22"/>
        </w:rPr>
        <w:t> </w:t>
      </w:r>
      <w:r>
        <w:rPr/>
        <w:t>obsidiana.</w:t>
      </w:r>
    </w:p>
    <w:p>
      <w:pPr>
        <w:pStyle w:val="BodyText"/>
        <w:spacing w:before="6"/>
        <w:rPr>
          <w:sz w:val="25"/>
        </w:rPr>
      </w:pPr>
    </w:p>
    <w:p>
      <w:pPr>
        <w:pStyle w:val="BodyText"/>
        <w:spacing w:line="276" w:lineRule="auto"/>
        <w:ind w:left="901" w:right="1155"/>
        <w:jc w:val="both"/>
      </w:pPr>
      <w:r>
        <w:rPr/>
        <w:t>Es notable por igual la artesanía en el labrado de la obsidiana, de la cual el municipio es sustancialmente rico; lamentablemente esta roca de origen volcánico, ha salido del municipio en forma natural, para ser trabajada en entidades cuyo comercio y habilidad artesanal en el manejo de la obsidiana es altamente calificado y de una tradición centenaria, por lo que es común encontrar piezas elaboradas con material de nuestra región en Taxco, Guerrero, Tecali en Puebla, o San Juan Teotihuacán en el estado de Hidalgo.</w:t>
      </w:r>
    </w:p>
    <w:p>
      <w:pPr>
        <w:pStyle w:val="BodyText"/>
        <w:spacing w:before="2"/>
        <w:rPr>
          <w:sz w:val="25"/>
        </w:rPr>
      </w:pPr>
    </w:p>
    <w:p>
      <w:pPr>
        <w:pStyle w:val="BodyText"/>
        <w:spacing w:line="276" w:lineRule="auto"/>
        <w:ind w:left="901" w:right="1157"/>
        <w:jc w:val="both"/>
      </w:pPr>
      <w:r>
        <w:rPr/>
        <w:t>Actualmente la obsidiana se exporta en forma natural y en piezas labradas a diferentes partes del mundo, en pequeña escala, por esta razón empieza a recibir apoyo del gobierno estatal.</w:t>
      </w:r>
    </w:p>
    <w:p>
      <w:pPr>
        <w:pStyle w:val="BodyText"/>
        <w:spacing w:before="3"/>
        <w:rPr>
          <w:sz w:val="25"/>
        </w:rPr>
      </w:pPr>
    </w:p>
    <w:p>
      <w:pPr>
        <w:pStyle w:val="BodyText"/>
        <w:spacing w:line="276" w:lineRule="auto"/>
        <w:ind w:left="901" w:right="1156"/>
        <w:jc w:val="both"/>
      </w:pPr>
      <w:r>
        <w:rPr/>
        <w:t>Esta artesanía requiere de un gran impulso por parte de las autoridades en los diversos órdenes de gobierno, para convertirse en una artesanía de exportación, que indudablemente habrá de reportar un considerable número de empleos y de ingresos económicos.</w:t>
      </w:r>
    </w:p>
    <w:p>
      <w:pPr>
        <w:pStyle w:val="BodyText"/>
        <w:spacing w:before="6"/>
        <w:rPr>
          <w:sz w:val="25"/>
        </w:rPr>
      </w:pPr>
    </w:p>
    <w:p>
      <w:pPr>
        <w:pStyle w:val="BodyText"/>
        <w:spacing w:line="276" w:lineRule="auto"/>
        <w:ind w:left="901" w:right="1155"/>
        <w:jc w:val="both"/>
      </w:pPr>
      <w:r>
        <w:rPr/>
        <w:t>En un futuro cercano, deberá de ponerse en práctica en nuestro municipio, las artesanías referentes al tequila, tales como la fabricación de barrilitos, botellas forradas de piel, botellas adornadas, etc. En virtud de que nuestro municipio es parte integral del corredor agavero y dado que la UNESCO ha declarado el Paisaje Agavero como patrimonio de la Humanidad, así como la creación de La Ruta del Tequila, se </w:t>
      </w:r>
      <w:r>
        <w:rPr>
          <w:spacing w:val="-3"/>
        </w:rPr>
        <w:t>ha </w:t>
      </w:r>
      <w:r>
        <w:rPr/>
        <w:t>retomado una actividad que se había perdido, como es la destilación del tequila, que allá por el año de 1780 ya se producía en las Haciendas de San Andrés y de Santa María, además de las tabernas que se localizaban en la cabecera</w:t>
      </w:r>
      <w:r>
        <w:rPr>
          <w:spacing w:val="-18"/>
        </w:rPr>
        <w:t> </w:t>
      </w:r>
      <w:r>
        <w:rPr/>
        <w:t>municipal.</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154"/>
        <w:jc w:val="both"/>
      </w:pPr>
      <w:r>
        <w:rPr/>
        <w:t>Se había iniciado un incipiente taller de fajos piteados, mismo que puede cobrar impulso, y que se ha casi perdido, sin embargo, es una actividad que debería impulsarse.</w:t>
      </w:r>
    </w:p>
    <w:p>
      <w:pPr>
        <w:pStyle w:val="BodyText"/>
        <w:spacing w:before="4"/>
        <w:rPr>
          <w:sz w:val="25"/>
        </w:rPr>
      </w:pPr>
    </w:p>
    <w:p>
      <w:pPr>
        <w:pStyle w:val="BodyText"/>
        <w:spacing w:line="276" w:lineRule="auto"/>
        <w:ind w:left="901" w:right="1155"/>
        <w:jc w:val="both"/>
      </w:pPr>
      <w:r>
        <w:rPr/>
        <w:t>La talabartería es otra artesanía que ha cobrado importancia en el municipio, fabricándose todo tipo de arreos para la charrería y el hombre de campo, artesanía que por igual es conveniente impulsar, promover, prestarle apoyo para que sus artesanos destaquen a nivel regional y estatal, una artesanía que por los años 50s y 60s era puntal de los artesanos de</w:t>
      </w:r>
      <w:r>
        <w:rPr>
          <w:spacing w:val="-5"/>
        </w:rPr>
        <w:t> </w:t>
      </w:r>
      <w:r>
        <w:rPr/>
        <w:t>Magdalena.</w:t>
      </w:r>
    </w:p>
    <w:p>
      <w:pPr>
        <w:pStyle w:val="BodyText"/>
        <w:spacing w:before="5"/>
        <w:rPr>
          <w:sz w:val="25"/>
        </w:rPr>
      </w:pPr>
    </w:p>
    <w:p>
      <w:pPr>
        <w:pStyle w:val="BodyText"/>
        <w:spacing w:line="276" w:lineRule="auto"/>
        <w:ind w:left="901" w:right="1154"/>
        <w:jc w:val="both"/>
      </w:pPr>
      <w:r>
        <w:rPr/>
        <w:t>La carpintería, fue en una época de los años 60s y 70s puntal de los artesanos de Magdalena que fabricaban desde hermosos cofres, cajas, roperos, puertas, etc. y que ahora despunta de nuevo, digna de ser rescatada como una tradición del municipio. El vecino municipio de Etzatlán no ha dejado de producirla y a la fecha tiene un éxito rotundo.</w:t>
      </w:r>
    </w:p>
    <w:p>
      <w:pPr>
        <w:pStyle w:val="BodyText"/>
        <w:spacing w:before="8"/>
        <w:rPr>
          <w:sz w:val="23"/>
        </w:rPr>
      </w:pPr>
    </w:p>
    <w:p>
      <w:pPr>
        <w:pStyle w:val="Heading2"/>
      </w:pPr>
      <w:r>
        <w:rPr/>
        <w:t>Minería</w:t>
      </w:r>
    </w:p>
    <w:p>
      <w:pPr>
        <w:pStyle w:val="BodyText"/>
        <w:spacing w:before="2"/>
        <w:rPr>
          <w:rFonts w:ascii="Corbel"/>
          <w:b/>
          <w:sz w:val="24"/>
        </w:rPr>
      </w:pPr>
    </w:p>
    <w:p>
      <w:pPr>
        <w:pStyle w:val="BodyText"/>
        <w:spacing w:line="276" w:lineRule="auto"/>
        <w:ind w:left="901" w:right="1155"/>
        <w:jc w:val="both"/>
      </w:pPr>
      <w:r>
        <w:rPr/>
        <w:t>La minería en el Municipio de Magdalena, se ha desarrollado a lo largo de siglos, lo que podemos constatar por los comentarios de don Thomas Calvo en su libro “Por los caminos de la nueva galicia”, en donde evidencia que Magdalena fue un importante punto de concentración de la producción minera de los ricos yacimientos de oro y plata de la zona de San Pedro Analco, El Águila, y tantas otras minas, que ciertamente, se localizan en los municipios de Hostotipaquillo y de Tequila, pero cuyos caudales, y producción, se manejaba en sus últimas etapas en la cabecera municipal </w:t>
      </w:r>
      <w:r>
        <w:rPr>
          <w:spacing w:val="-3"/>
        </w:rPr>
        <w:t>de </w:t>
      </w:r>
      <w:r>
        <w:rPr/>
        <w:t>Magdalena; posta obligada en su paso hacia las grandes ciudades y puertos, prueba de ello es por ejemplo, que la Casa Colorada, fue en sus orígenes la casa en Magdalena de una de las más ricas minas de la</w:t>
      </w:r>
      <w:r>
        <w:rPr>
          <w:spacing w:val="-9"/>
        </w:rPr>
        <w:t> </w:t>
      </w:r>
      <w:r>
        <w:rPr/>
        <w:t>región.</w:t>
      </w:r>
    </w:p>
    <w:p>
      <w:pPr>
        <w:pStyle w:val="BodyText"/>
        <w:spacing w:before="5"/>
        <w:rPr>
          <w:sz w:val="25"/>
        </w:rPr>
      </w:pPr>
    </w:p>
    <w:p>
      <w:pPr>
        <w:pStyle w:val="BodyText"/>
        <w:spacing w:line="276" w:lineRule="auto"/>
        <w:ind w:left="901" w:right="1154"/>
        <w:jc w:val="both"/>
      </w:pPr>
      <w:r>
        <w:rPr/>
        <w:t>Con la paralización de las explotaciones argentíferas y de oro en la región, a causa de los altos costos de los azogues y otros productos que debían de adquirirse para obtener los metales preciosos, las numerosas minas que se ubican en los puntos arriba citados, se vinieron a menos, quedando de ellos solo los impresionantes portales de ingreso a cada túnel y a cada pozo.</w:t>
      </w:r>
    </w:p>
    <w:p>
      <w:pPr>
        <w:pStyle w:val="BodyText"/>
        <w:spacing w:before="3"/>
        <w:rPr>
          <w:sz w:val="25"/>
        </w:rPr>
      </w:pPr>
    </w:p>
    <w:p>
      <w:pPr>
        <w:pStyle w:val="BodyText"/>
        <w:spacing w:line="276" w:lineRule="auto"/>
        <w:ind w:left="901" w:right="1156"/>
        <w:jc w:val="both"/>
      </w:pPr>
      <w:r>
        <w:rPr/>
        <w:t>Por los años 60s, inicia un nuevo auge minero, con la explotación incipiente de las gemas que habrían de dar a conocer a Magdalena por el mundo, “los ópalos”, piedras clasificadas como semipreciosas, de hermosos y destellantes colores cuya calidad es </w:t>
      </w:r>
      <w:r>
        <w:rPr>
          <w:spacing w:val="-3"/>
        </w:rPr>
        <w:t>de </w:t>
      </w:r>
      <w:r>
        <w:rPr/>
        <w:t>las mejores del</w:t>
      </w:r>
      <w:r>
        <w:rPr>
          <w:spacing w:val="-1"/>
        </w:rPr>
        <w:t> </w:t>
      </w:r>
      <w:r>
        <w:rPr/>
        <w:t>mundo.</w:t>
      </w:r>
    </w:p>
    <w:p>
      <w:pPr>
        <w:spacing w:after="0" w:line="276" w:lineRule="auto"/>
        <w:jc w:val="both"/>
        <w:sectPr>
          <w:pgSz w:w="12240" w:h="15840"/>
          <w:pgMar w:header="178" w:footer="1179"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6" w:lineRule="auto" w:before="101"/>
        <w:ind w:left="901" w:right="1154"/>
        <w:jc w:val="both"/>
      </w:pPr>
      <w:r>
        <w:rPr/>
        <w:t>En el territorio del municipio de Magdalena, se presentó la localización de numerosas minas de ópalos, famosas por sus grandes volúmenes de producción en las décadas </w:t>
      </w:r>
      <w:r>
        <w:rPr>
          <w:spacing w:val="-3"/>
        </w:rPr>
        <w:t>de </w:t>
      </w:r>
      <w:r>
        <w:rPr/>
        <w:t>1970 y 1980, y muy cortos periodos de los años 1996 y 1997 que fue cuando mayores cantidades de gemas se encontraron, pudiendo citar entre ellas las de "El Huajical, en La Quemada; la de San Simón, en las inmediaciones del poblado del mismo nombre; Las Latillas, por el rumbo de Huitzizilapan; La Mora, por el rumbo de San Andrés; La Única, también por los rumbos del cerro de Tequila; La San Martín por San Simón; y numerosas minas de menor importancia, repartidas por todos los cerros que conforman los alrededores de lo que fue la gran Laguna de</w:t>
      </w:r>
      <w:r>
        <w:rPr>
          <w:spacing w:val="-12"/>
        </w:rPr>
        <w:t> </w:t>
      </w:r>
      <w:r>
        <w:rPr/>
        <w:t>Magdalena.</w:t>
      </w:r>
    </w:p>
    <w:p>
      <w:pPr>
        <w:pStyle w:val="BodyText"/>
        <w:spacing w:before="6"/>
        <w:rPr>
          <w:sz w:val="25"/>
        </w:rPr>
      </w:pPr>
    </w:p>
    <w:p>
      <w:pPr>
        <w:pStyle w:val="BodyText"/>
        <w:spacing w:line="276" w:lineRule="auto"/>
        <w:ind w:left="901" w:right="1156"/>
        <w:jc w:val="both"/>
      </w:pPr>
      <w:r>
        <w:rPr/>
        <w:t>La producción de ópalos, en otras minas fuera del municipio, fue igualmente importante por esa época y lo es hasta la fecha, haciéndose necesario señalar en este aspecto, la importancia de Magdalena como centro de distribución, compra y venta de los ópalos de toda esa gran región, que llegaba hasta Tepic por el poniente, Zacatecas por el norte, y a ello se aunaba que los opaleros de Magdalena, acometieron el centro más antiguo de producción opalera. Querétaro, donde se trabajaron numerosas minas, por mineros originarios de Magdalena.</w:t>
      </w:r>
    </w:p>
    <w:p>
      <w:pPr>
        <w:pStyle w:val="BodyText"/>
        <w:spacing w:before="3"/>
        <w:rPr>
          <w:sz w:val="25"/>
        </w:rPr>
      </w:pPr>
    </w:p>
    <w:p>
      <w:pPr>
        <w:pStyle w:val="BodyText"/>
        <w:spacing w:line="276" w:lineRule="auto" w:before="1"/>
        <w:ind w:left="901" w:right="1154"/>
        <w:jc w:val="both"/>
      </w:pPr>
      <w:r>
        <w:rPr/>
        <w:t>Recapitulando, diremos pues que, en la minería, respecto al ópalo y otras piedras preciosas, Magdalena, es y ha sido, el centro comercial para las operaciones de compra y venta, ya no se diga para su transformación.</w:t>
      </w:r>
    </w:p>
    <w:p>
      <w:pPr>
        <w:pStyle w:val="BodyText"/>
        <w:spacing w:before="3"/>
        <w:rPr>
          <w:sz w:val="25"/>
        </w:rPr>
      </w:pPr>
    </w:p>
    <w:p>
      <w:pPr>
        <w:pStyle w:val="BodyText"/>
        <w:spacing w:line="276" w:lineRule="auto" w:before="1"/>
        <w:ind w:left="901" w:right="1154"/>
        <w:jc w:val="both"/>
      </w:pPr>
      <w:r>
        <w:rPr/>
        <w:t>De la grandeza minera del ópalo, ahora solo falta explotarla más en cuanto al incipiente turismo que generó desde hace varias décadas, transformando las minas en centros turísticos a donde los ávidos viajeros de diferentes partes del mundo, puedan acudir, explorar y romper una roca en busca de las preciosas gemas que sorprendentemente llevan dentro, y naturalmente, complementar estas actividades con la venta de las artesanías típicas de nuestra</w:t>
      </w:r>
      <w:r>
        <w:rPr>
          <w:spacing w:val="-8"/>
        </w:rPr>
        <w:t> </w:t>
      </w:r>
      <w:r>
        <w:rPr/>
        <w:t>región.</w:t>
      </w:r>
    </w:p>
    <w:p>
      <w:pPr>
        <w:pStyle w:val="BodyText"/>
        <w:spacing w:before="1"/>
        <w:rPr>
          <w:sz w:val="25"/>
        </w:rPr>
      </w:pPr>
    </w:p>
    <w:p>
      <w:pPr>
        <w:pStyle w:val="BodyText"/>
        <w:spacing w:line="276" w:lineRule="auto" w:before="1"/>
        <w:ind w:left="901" w:right="1154"/>
        <w:jc w:val="both"/>
      </w:pPr>
      <w:r>
        <w:rPr/>
        <w:t>Aunado a las explotaciones de piedras preciosas, se extrajeron en menor escala, los cuarzos, piedras que solo difieren del ópalo por su menor calidad y las características de menor cantidad de colores, resistencia a la intemperie, etc.</w:t>
      </w:r>
    </w:p>
    <w:p>
      <w:pPr>
        <w:pStyle w:val="BodyText"/>
        <w:spacing w:before="4"/>
        <w:rPr>
          <w:sz w:val="25"/>
        </w:rPr>
      </w:pPr>
    </w:p>
    <w:p>
      <w:pPr>
        <w:pStyle w:val="BodyText"/>
        <w:spacing w:line="276" w:lineRule="auto"/>
        <w:ind w:left="901" w:right="1153"/>
        <w:jc w:val="both"/>
      </w:pPr>
      <w:r>
        <w:rPr/>
        <w:t>Magdalena, construyó desde hace mucho tiempo sus casas con piedras de desecho de las minas, de dureza considerable, de una gama de tonos rojizos y anaranjados muy hermosa, que se han venido dejando aparentes para resaltar su agradable</w:t>
      </w:r>
      <w:r>
        <w:rPr>
          <w:spacing w:val="-25"/>
        </w:rPr>
        <w:t> </w:t>
      </w:r>
      <w:r>
        <w:rPr/>
        <w:t>aspecto.</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Más recientemente, se ha elaborado un producto de esta misma roca, la "laja de cantera” de las minas de ópalo, que conserva todas las características de la roca utilizada en las sillerías y en las mamposterías antes descritas, que por igual puede usarse en pisos o en las fachadas de las casas imprimiéndoles un fresco y agradable aspecto y textura.</w:t>
      </w:r>
    </w:p>
    <w:p>
      <w:pPr>
        <w:pStyle w:val="BodyText"/>
        <w:rPr>
          <w:sz w:val="26"/>
        </w:rPr>
      </w:pPr>
    </w:p>
    <w:p>
      <w:pPr>
        <w:pStyle w:val="BodyText"/>
        <w:spacing w:before="7"/>
        <w:rPr>
          <w:sz w:val="28"/>
        </w:rPr>
      </w:pPr>
    </w:p>
    <w:p>
      <w:pPr>
        <w:pStyle w:val="Heading4"/>
        <w:jc w:val="both"/>
      </w:pPr>
      <w:r>
        <w:rPr/>
        <w:t>Otros Minerales de la Región</w:t>
      </w:r>
    </w:p>
    <w:p>
      <w:pPr>
        <w:pStyle w:val="BodyText"/>
        <w:spacing w:line="276" w:lineRule="auto" w:before="201"/>
        <w:ind w:left="901" w:right="1156"/>
        <w:jc w:val="both"/>
      </w:pPr>
      <w:r>
        <w:rPr/>
        <w:t>No menos importante, aunque no reditúa al municipio un número considerable </w:t>
      </w:r>
      <w:r>
        <w:rPr>
          <w:spacing w:val="-3"/>
        </w:rPr>
        <w:t>de </w:t>
      </w:r>
      <w:r>
        <w:rPr/>
        <w:t>empleos ni de ingresos, ha sido la explotación del “caolín”, mismo que se transporta a diversas ciudades para la fabricación de porcelanas. En la localidad no se trabaja ningún producto con este material. Minas importantes se localizan en el Cerro Viejo de Magdalena y en las inmediaciones de San Simón, habiendo otros bancos importantes en el Cerro de San</w:t>
      </w:r>
      <w:r>
        <w:rPr>
          <w:spacing w:val="-8"/>
        </w:rPr>
        <w:t> </w:t>
      </w:r>
      <w:r>
        <w:rPr/>
        <w:t>Andrés.</w:t>
      </w:r>
    </w:p>
    <w:p>
      <w:pPr>
        <w:pStyle w:val="BodyText"/>
        <w:spacing w:before="5"/>
        <w:rPr>
          <w:sz w:val="25"/>
        </w:rPr>
      </w:pPr>
    </w:p>
    <w:p>
      <w:pPr>
        <w:pStyle w:val="BodyText"/>
        <w:spacing w:line="276" w:lineRule="auto"/>
        <w:ind w:left="901" w:right="1155"/>
        <w:jc w:val="both"/>
      </w:pPr>
      <w:r>
        <w:rPr/>
        <w:t>Arenas para la construcción que son producto de espumas volcánicas y que a la fecha conforman montañas y cerros, se han explotado en regulares cantidades, principalmente para la formación y consolidación de terraplenes, tal es el caso de carreteras, autopistas, vías del ferrocarril, conformación de calles, etc. El impacto ecológico de estas extracciones, no se ha cuantificado ni se ha restaurado.</w:t>
      </w:r>
    </w:p>
    <w:p>
      <w:pPr>
        <w:pStyle w:val="BodyText"/>
        <w:spacing w:line="276" w:lineRule="auto"/>
        <w:ind w:left="901" w:right="1156"/>
        <w:jc w:val="both"/>
      </w:pPr>
      <w:r>
        <w:rPr/>
        <w:t>Los bancos más explotados se localizan al norte de la población de Magdalena, sobre el Arroyo de Potrerillos. Otro banco explotado y que proporciona excelente material, se ubica entre San Andrés y La</w:t>
      </w:r>
      <w:r>
        <w:rPr>
          <w:spacing w:val="-7"/>
        </w:rPr>
        <w:t> </w:t>
      </w:r>
      <w:r>
        <w:rPr/>
        <w:t>Quemada.</w:t>
      </w:r>
    </w:p>
    <w:p>
      <w:pPr>
        <w:pStyle w:val="BodyText"/>
        <w:spacing w:before="3"/>
        <w:rPr>
          <w:sz w:val="25"/>
        </w:rPr>
      </w:pPr>
    </w:p>
    <w:p>
      <w:pPr>
        <w:pStyle w:val="BodyText"/>
        <w:spacing w:line="276" w:lineRule="auto"/>
        <w:ind w:left="901" w:right="1155"/>
        <w:jc w:val="both"/>
      </w:pPr>
      <w:r>
        <w:rPr/>
        <w:t>Labrado de cantera y fachaletas. Recientemente ha iniciado el trabajo semiartesanal del labrado de cantera roja de las minas para ser empleada en fachadas como recubrimiento, a base de laja de la citada cantera.</w:t>
      </w:r>
    </w:p>
    <w:p>
      <w:pPr>
        <w:pStyle w:val="BodyText"/>
        <w:spacing w:line="276" w:lineRule="auto" w:before="200"/>
        <w:ind w:left="901" w:right="1154"/>
        <w:jc w:val="both"/>
      </w:pPr>
      <w:r>
        <w:rPr/>
        <w:t>Piedra de castilla. Temporalmente hacía los años de 1993 se explotaron también bancos de piedra de castilla, con la cual, triturándola, se elaboraron, las gravas que se emplearon en los pavimentos asfálticos de las autopistas y en los concretos de sus estructuras, pre colados, puentes, alcantarillas, etc. Los bancos más ricos se ubican por los rumbos de Huitzizilapan y La Quemada.</w:t>
      </w:r>
    </w:p>
    <w:p>
      <w:pPr>
        <w:pStyle w:val="BodyText"/>
        <w:spacing w:line="276" w:lineRule="auto" w:before="202"/>
        <w:ind w:left="901" w:right="1157"/>
        <w:jc w:val="both"/>
      </w:pPr>
      <w:r>
        <w:rPr/>
        <w:t>Esta importante actividad solo se retoma cuando hay grandes obras en la región y la realizan las constructoras encargadas de las mismas.</w:t>
      </w:r>
    </w:p>
    <w:p>
      <w:pPr>
        <w:pStyle w:val="BodyText"/>
        <w:spacing w:before="1"/>
        <w:rPr>
          <w:sz w:val="25"/>
        </w:rPr>
      </w:pPr>
    </w:p>
    <w:p>
      <w:pPr>
        <w:pStyle w:val="BodyText"/>
        <w:spacing w:line="276" w:lineRule="auto" w:before="1"/>
        <w:ind w:left="901" w:right="1155"/>
        <w:jc w:val="both"/>
      </w:pPr>
      <w:r>
        <w:rPr/>
        <w:t>La obsidiana, virgen prácticamente aún, se encuentra una riqueza de grandes dimensiones, la obsidiana, que según reporta el Dr. Philiph Waigan, antropólogo estudioso del mundo antiguo de la región de Huitzizilapan y del mundo prehispánico de la región, Magdalena, fue en aquellos lejanos años, quizás 800 o 1000 años D. C., una</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potencia exportadora de puntas de flechas y otros utensilios como cuchillos y raspadores de obsidiana, hacia regiones cercanas y muy lejanas, de pueblos indígenas, cuyo intercambio comercial se ha podido ubicar localizando vestigios de estas puntas de flecha procedentes de Magdalena, en el estado de Arizona, que por sus características con cierta precisión, el Dr. P. W. Presupone que son originarias de nuestra tierra.</w:t>
      </w:r>
    </w:p>
    <w:p>
      <w:pPr>
        <w:pStyle w:val="BodyText"/>
        <w:spacing w:before="4"/>
        <w:rPr>
          <w:sz w:val="25"/>
        </w:rPr>
      </w:pPr>
    </w:p>
    <w:p>
      <w:pPr>
        <w:pStyle w:val="BodyText"/>
        <w:spacing w:line="276" w:lineRule="auto" w:before="1"/>
        <w:ind w:left="901" w:right="1155"/>
        <w:jc w:val="both"/>
      </w:pPr>
      <w:r>
        <w:rPr/>
        <w:t>De ahí, la importancia tan grande en lo histórico y en lo comercial, que debería ser, el trabajo de la obsidiana, una riqueza pétrea, que la naturaleza, tan generosa con nuestra zona, le</w:t>
      </w:r>
      <w:r>
        <w:rPr>
          <w:spacing w:val="-4"/>
        </w:rPr>
        <w:t> </w:t>
      </w:r>
      <w:r>
        <w:rPr/>
        <w:t>dotó.</w:t>
      </w:r>
    </w:p>
    <w:p>
      <w:pPr>
        <w:pStyle w:val="BodyText"/>
        <w:spacing w:before="4"/>
        <w:rPr>
          <w:sz w:val="25"/>
        </w:rPr>
      </w:pPr>
    </w:p>
    <w:p>
      <w:pPr>
        <w:pStyle w:val="BodyText"/>
        <w:spacing w:line="276" w:lineRule="auto"/>
        <w:ind w:left="901" w:right="1156"/>
        <w:jc w:val="both"/>
      </w:pPr>
      <w:r>
        <w:rPr/>
        <w:t>La obsidiana, se ha explotado en forma irregular, la artesanía que tiene como base la obsidiana, como ya quedó señalado, no ha incidido ni impactado para convertirse en un símbolo de nuestra región, pese a tener a la mano la materia prima, no se </w:t>
      </w:r>
      <w:r>
        <w:rPr>
          <w:spacing w:val="-6"/>
        </w:rPr>
        <w:t>ha</w:t>
      </w:r>
      <w:r>
        <w:rPr>
          <w:spacing w:val="48"/>
        </w:rPr>
        <w:t> </w:t>
      </w:r>
      <w:r>
        <w:rPr/>
        <w:t>estimado, siendo mejor utilizada en lejanos lugares por artesanos que ya agotaron sus recursos propios en aquellos lugares y que ahora la importan para continuar con su labor (San Juan Teotihuacán, Tecali, Taxco)</w:t>
      </w:r>
      <w:r>
        <w:rPr>
          <w:spacing w:val="-12"/>
        </w:rPr>
        <w:t> </w:t>
      </w:r>
      <w:r>
        <w:rPr/>
        <w:t>creadora.</w:t>
      </w:r>
    </w:p>
    <w:p>
      <w:pPr>
        <w:pStyle w:val="BodyText"/>
        <w:spacing w:before="2"/>
        <w:rPr>
          <w:sz w:val="25"/>
        </w:rPr>
      </w:pPr>
    </w:p>
    <w:p>
      <w:pPr>
        <w:pStyle w:val="BodyText"/>
        <w:spacing w:line="276" w:lineRule="auto"/>
        <w:ind w:left="901" w:right="1156"/>
        <w:jc w:val="both"/>
      </w:pPr>
      <w:r>
        <w:rPr/>
        <w:t>Con fines desconocidos, se transportaron obsidianas en grandes volúmenes de toneladas, y en forma clandestina hace algunos años, hacia el extranjero, y esta práctica, es común tal vez en estos días, desconociendo para que fines se llevó. Se especula que fue transportada al Japón para experimentarla en usos relacionados con la tecnología electrónica de los cuarzos líquidos, lo que no fue posible corroborar.</w:t>
      </w:r>
    </w:p>
    <w:p>
      <w:pPr>
        <w:pStyle w:val="BodyText"/>
        <w:spacing w:before="5"/>
        <w:rPr>
          <w:sz w:val="25"/>
        </w:rPr>
      </w:pPr>
    </w:p>
    <w:p>
      <w:pPr>
        <w:pStyle w:val="BodyText"/>
        <w:spacing w:line="276" w:lineRule="auto"/>
        <w:ind w:left="901" w:right="1156"/>
        <w:jc w:val="both"/>
      </w:pPr>
      <w:r>
        <w:rPr/>
        <w:t>Los rendimientos económicos y el número de trabajadores empleados en esta materia de la obsidiana, son, por consiguiente, muy escasos.</w:t>
      </w:r>
    </w:p>
    <w:p>
      <w:pPr>
        <w:pStyle w:val="BodyText"/>
        <w:spacing w:before="2"/>
        <w:rPr>
          <w:sz w:val="24"/>
        </w:rPr>
      </w:pPr>
    </w:p>
    <w:p>
      <w:pPr>
        <w:pStyle w:val="BodyText"/>
        <w:spacing w:line="276" w:lineRule="auto"/>
        <w:ind w:left="901" w:right="1155"/>
        <w:jc w:val="both"/>
      </w:pPr>
      <w:r>
        <w:rPr/>
        <w:t>Tierras coloradas, que por razones desconocidas, hace 15 años aproximadamente se dejó de extraer y comercializar, un producto que se obtenía de una mina en las estribaciones del Cerro Viejo y se molía en la Planta del “Mundeño”, de él comercializaban un producto conocido como “tierra colorada” que se empleaba para la fabricación de colorantes en la industria de las pinturas.</w:t>
      </w:r>
    </w:p>
    <w:p>
      <w:pPr>
        <w:pStyle w:val="BodyText"/>
        <w:spacing w:line="276" w:lineRule="auto" w:before="199"/>
        <w:ind w:left="901" w:right="1156"/>
        <w:jc w:val="both"/>
      </w:pPr>
      <w:r>
        <w:rPr/>
        <w:t>Es indudable que los yacimientos aún subsisten y deben contener considerables cantidades del material citado; quizás sea conveniente un estudio de factibilidad para su puesta en operación de nueva cuenta.</w:t>
      </w:r>
    </w:p>
    <w:p>
      <w:pPr>
        <w:pStyle w:val="BodyText"/>
        <w:spacing w:before="1"/>
        <w:rPr>
          <w:sz w:val="25"/>
        </w:rPr>
      </w:pPr>
    </w:p>
    <w:p>
      <w:pPr>
        <w:pStyle w:val="Heading2"/>
        <w:spacing w:before="1"/>
        <w:jc w:val="both"/>
      </w:pPr>
      <w:r>
        <w:rPr/>
        <w:t>Uso potencial de los productos extraídos de las minas</w:t>
      </w:r>
    </w:p>
    <w:p>
      <w:pPr>
        <w:pStyle w:val="BodyText"/>
        <w:spacing w:before="203"/>
        <w:ind w:left="901" w:right="4199"/>
      </w:pPr>
      <w:r>
        <w:rPr/>
        <w:t>Obsidiana: Artesanías, recubrimientos de muros, pisos, etc. Caolín: Para la fabricación de artículos de loza y porcelana. Ópalo: En la industria joyera, como piedras semipreciosas.</w:t>
      </w:r>
    </w:p>
    <w:p>
      <w:pPr>
        <w:spacing w:after="0"/>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ind w:left="901" w:right="4712"/>
      </w:pPr>
      <w:r>
        <w:rPr/>
        <w:t>Tierras coloradas: Colorantes industriales para pinturas. Lajas de cantera: Para recubrimientos de muros y pisos. Arenas: Conformación de terraplenes, concretos, etc.</w:t>
      </w:r>
    </w:p>
    <w:p>
      <w:pPr>
        <w:pStyle w:val="BodyText"/>
        <w:spacing w:line="269" w:lineRule="exact"/>
        <w:ind w:left="901"/>
      </w:pPr>
      <w:r>
        <w:rPr/>
        <w:t>Piedra de castilla: Gravas trituradas, para los concretos asfálticos y puzolánicos.</w:t>
      </w:r>
    </w:p>
    <w:p>
      <w:pPr>
        <w:pStyle w:val="BodyText"/>
        <w:rPr>
          <w:sz w:val="24"/>
        </w:rPr>
      </w:pPr>
    </w:p>
    <w:p>
      <w:pPr>
        <w:pStyle w:val="BodyText"/>
        <w:ind w:left="901" w:right="1155"/>
        <w:jc w:val="both"/>
      </w:pPr>
      <w:r>
        <w:rPr/>
        <w:t>Las técnicas de explotación de los diferentes minerales son muy similares, entre ellas y más importantes, la extracción a cielo abierto, mediante el uso combinado </w:t>
      </w:r>
      <w:r>
        <w:rPr>
          <w:spacing w:val="-3"/>
        </w:rPr>
        <w:t>de</w:t>
      </w:r>
      <w:r>
        <w:rPr>
          <w:spacing w:val="54"/>
        </w:rPr>
        <w:t> </w:t>
      </w:r>
      <w:r>
        <w:rPr/>
        <w:t>explosivos y maquinaria; la perforación de túneles siguiendo vetas consideradas ricas; recolección de piedra y excavación de pozos.</w:t>
      </w:r>
    </w:p>
    <w:p>
      <w:pPr>
        <w:pStyle w:val="BodyText"/>
        <w:spacing w:before="9"/>
        <w:rPr>
          <w:sz w:val="23"/>
        </w:rPr>
      </w:pPr>
    </w:p>
    <w:p>
      <w:pPr>
        <w:pStyle w:val="Heading2"/>
        <w:spacing w:before="1"/>
        <w:rPr>
          <w:rFonts w:ascii="Calibri"/>
        </w:rPr>
      </w:pPr>
      <w:r>
        <w:rPr>
          <w:rFonts w:ascii="Calibri"/>
        </w:rPr>
        <w:t>Comercio</w:t>
      </w:r>
    </w:p>
    <w:p>
      <w:pPr>
        <w:pStyle w:val="BodyText"/>
        <w:spacing w:line="276" w:lineRule="auto" w:before="202"/>
        <w:ind w:left="901" w:right="1153"/>
        <w:jc w:val="both"/>
      </w:pPr>
      <w:r>
        <w:rPr/>
        <w:t>La actividad comercial en el municipio, es una actividad típica como en la mayoría de los poblados rurales que se han desarrollado a lo largo de la historia, y que han pasado por el tendejón, la tienda y ahora se integran a la vida actual instalando los supermercados, aun cuando subsiste la tienda de barrio.</w:t>
      </w:r>
    </w:p>
    <w:p>
      <w:pPr>
        <w:pStyle w:val="BodyText"/>
        <w:spacing w:before="3"/>
        <w:rPr>
          <w:sz w:val="25"/>
        </w:rPr>
      </w:pPr>
    </w:p>
    <w:p>
      <w:pPr>
        <w:pStyle w:val="BodyText"/>
        <w:spacing w:line="276" w:lineRule="auto"/>
        <w:ind w:left="901" w:right="1155"/>
        <w:jc w:val="both"/>
      </w:pPr>
      <w:r>
        <w:rPr/>
        <w:t>La actividad comercial, se ha desarrollado notoriamente desde el año 2010, lo que se puede constatar al analizar cómo se sustituye el uso día a día de edificios antes dedicados a la vivienda, por establecimientos comerciales de muy distinta índole, generando ya el cambio muy notorio de usos del suelo en cuadras completas, sobre todo en el centro de la cabecera municipal, y son notorios por igual los múltiples locales comerciales en los poblados rurales, establecimientos que por todos los rumbos del municipio, nos permiten encontrar casi cualquier tipo de mercancía.</w:t>
      </w:r>
    </w:p>
    <w:p>
      <w:pPr>
        <w:pStyle w:val="BodyText"/>
        <w:spacing w:before="4"/>
        <w:rPr>
          <w:sz w:val="25"/>
        </w:rPr>
      </w:pPr>
    </w:p>
    <w:p>
      <w:pPr>
        <w:pStyle w:val="BodyText"/>
        <w:spacing w:line="276" w:lineRule="auto"/>
        <w:ind w:left="901" w:right="1155"/>
        <w:jc w:val="both"/>
      </w:pPr>
      <w:r>
        <w:rPr/>
        <w:t>La venta y consumo de abarrotes, alimentos y bebidas ocupan un lugar preponderante, siguiéndoles en importancia los establecimientos dedicados a la venta de medicinas, ropa, calzado, etc.</w:t>
      </w:r>
    </w:p>
    <w:p>
      <w:pPr>
        <w:pStyle w:val="BodyText"/>
        <w:spacing w:before="3"/>
        <w:rPr>
          <w:sz w:val="25"/>
        </w:rPr>
      </w:pPr>
    </w:p>
    <w:p>
      <w:pPr>
        <w:pStyle w:val="BodyText"/>
        <w:spacing w:line="276" w:lineRule="auto" w:before="1"/>
        <w:ind w:left="901" w:right="1157"/>
        <w:jc w:val="both"/>
      </w:pPr>
      <w:r>
        <w:rPr/>
        <w:t>Los establecimientos comerciales más importantes, tanto por el servicio que prestan a la población, como por la inversión que representan, los podemos enmarcar dentro del siguiente listado:</w:t>
      </w:r>
    </w:p>
    <w:p>
      <w:pPr>
        <w:pStyle w:val="BodyText"/>
        <w:spacing w:before="3"/>
        <w:rPr>
          <w:sz w:val="25"/>
        </w:rPr>
      </w:pPr>
    </w:p>
    <w:p>
      <w:pPr>
        <w:pStyle w:val="BodyText"/>
        <w:spacing w:line="276" w:lineRule="auto"/>
        <w:ind w:left="901" w:right="1156"/>
        <w:jc w:val="both"/>
      </w:pPr>
      <w:r>
        <w:rPr/>
        <w:t>El comercio ambulante, está fuertemente arraigado en el municipio, se compone de carácter local y foráneo, ambos se ubican por las calles de la población, Se organizan por las calles Javier Mina, Allende, Abasolo y Huajicar; Y los días viernes se establece “el tianguis” que opera principalmente con comerciantes foráneos.</w:t>
      </w:r>
    </w:p>
    <w:p>
      <w:pPr>
        <w:pStyle w:val="BodyText"/>
        <w:spacing w:before="6"/>
        <w:rPr>
          <w:sz w:val="25"/>
        </w:rPr>
      </w:pPr>
    </w:p>
    <w:p>
      <w:pPr>
        <w:pStyle w:val="BodyText"/>
        <w:spacing w:line="276" w:lineRule="auto"/>
        <w:ind w:left="901" w:right="1153"/>
        <w:jc w:val="both"/>
      </w:pPr>
      <w:r>
        <w:rPr/>
        <w:t>El comercio ambulante semifijo ha proliferado por diversas calles y plazas de la población, el más numeroso lo constituyen vendedores de alimentos, que se ubican a diferentes horas, en las inmediaciones de la Plaza Principal, por las calles Mina, México, Juárez, y un poco aislados en Javier Mina, Cuauhtémoc, La Gasolinera, El Hospital</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156"/>
        <w:jc w:val="both"/>
      </w:pPr>
      <w:r>
        <w:rPr/>
        <w:t>Regional, etc. Por lo general este tipo de comercio semifijo no constituye un problema para el movimiento de vehículos, salvo en C. Javier Mina, donde sí se obstruye la circulación.</w:t>
      </w:r>
    </w:p>
    <w:p>
      <w:pPr>
        <w:pStyle w:val="BodyText"/>
        <w:spacing w:before="4"/>
        <w:rPr>
          <w:sz w:val="25"/>
        </w:rPr>
      </w:pPr>
    </w:p>
    <w:p>
      <w:pPr>
        <w:pStyle w:val="BodyText"/>
        <w:spacing w:line="276" w:lineRule="auto"/>
        <w:ind w:left="901" w:right="1154"/>
        <w:jc w:val="both"/>
      </w:pPr>
      <w:r>
        <w:rPr/>
        <w:t>El comercio del viernes, “el tianguis” por el contrario, sí obstruye en su totalidad la vialidad por la calle Javier Mina y la dificulta notoriamente en el cruce de las calles Allende, Huajicar, Abasolo, así mismo el elevado número de personas que acuden a realizar sus compras, tanto de la localidad como de pueblos circunvecinos en sus vehículos, ocasionan serias dificultades a la circulación en toda el área urbana del centro de la población, al sur, entre las calles Matamoros - Pedro Moreno, al norte, la  Av. Hidalgo y calle Félix M. Martínez, al oriente, la calle Abasolo y al Poniente hasta </w:t>
      </w:r>
      <w:r>
        <w:rPr>
          <w:spacing w:val="-4"/>
        </w:rPr>
        <w:t>la </w:t>
      </w:r>
      <w:r>
        <w:rPr/>
        <w:t>calle Porfirio</w:t>
      </w:r>
      <w:r>
        <w:rPr>
          <w:spacing w:val="-4"/>
        </w:rPr>
        <w:t> </w:t>
      </w:r>
      <w:r>
        <w:rPr/>
        <w:t>Díaz.</w:t>
      </w:r>
    </w:p>
    <w:p>
      <w:pPr>
        <w:pStyle w:val="BodyText"/>
        <w:spacing w:before="3"/>
        <w:rPr>
          <w:sz w:val="25"/>
        </w:rPr>
      </w:pPr>
    </w:p>
    <w:p>
      <w:pPr>
        <w:pStyle w:val="BodyText"/>
        <w:spacing w:line="276" w:lineRule="auto" w:before="1"/>
        <w:ind w:left="901" w:right="1155"/>
        <w:jc w:val="both"/>
      </w:pPr>
      <w:r>
        <w:rPr/>
        <w:t>Si bien las personas que acuden a éste tianguis no son todas del municipio de Magdalena, sí es de tomar en consideración la cantidad de recursos económicos que salen del mismo, dado que el 95% de las mismas que lo integran, no son de la localidad, lo que, de alguna manera, va en demérito de los comerciantes establecidos y que cubren la totalidad de sus impuestos en Magdalena.</w:t>
      </w:r>
    </w:p>
    <w:p>
      <w:pPr>
        <w:pStyle w:val="BodyText"/>
        <w:spacing w:before="4"/>
        <w:rPr>
          <w:sz w:val="25"/>
        </w:rPr>
      </w:pPr>
    </w:p>
    <w:p>
      <w:pPr>
        <w:pStyle w:val="BodyText"/>
        <w:spacing w:line="276" w:lineRule="auto" w:before="1"/>
        <w:ind w:left="901" w:right="1154"/>
        <w:jc w:val="both"/>
      </w:pPr>
      <w:r>
        <w:rPr/>
        <w:t>Magdalena, comercia con otros municipios productos en materia prima, y en ocasiones regresan los mismos productos ya industrializados, (maíz, leche, caña de azúcar, harinas, leche industrializada, yogures, azúcar) por lo que es recomendable proyectar al futuro, teniendo en mente que no solo el municipio sea generador de materia prima, sino por el contrario, que ésta se trabaje y se le dé un valor agregado a su producción aquí en magdalena, de tal manera que pueda ser vendida al consumidor final, lo que verdaderamente hará exitosos los productos del campo, extractivos y de servicios, por lo tanto más rentables y generadores de un mejoramiento en los niveles de vida de </w:t>
      </w:r>
      <w:r>
        <w:rPr>
          <w:spacing w:val="-4"/>
        </w:rPr>
        <w:t>la</w:t>
      </w:r>
      <w:r>
        <w:rPr>
          <w:spacing w:val="52"/>
        </w:rPr>
        <w:t> </w:t>
      </w:r>
      <w:r>
        <w:rPr/>
        <w:t>población.</w:t>
      </w:r>
    </w:p>
    <w:p>
      <w:pPr>
        <w:pStyle w:val="BodyText"/>
        <w:rPr>
          <w:sz w:val="25"/>
        </w:rPr>
      </w:pPr>
    </w:p>
    <w:p>
      <w:pPr>
        <w:pStyle w:val="Heading2"/>
        <w:rPr>
          <w:rFonts w:ascii="Calibri" w:hAnsi="Calibri"/>
        </w:rPr>
      </w:pPr>
      <w:r>
        <w:rPr>
          <w:rFonts w:ascii="Calibri" w:hAnsi="Calibri"/>
        </w:rPr>
        <w:t>Créditos</w:t>
      </w:r>
    </w:p>
    <w:p>
      <w:pPr>
        <w:pStyle w:val="BodyText"/>
        <w:spacing w:before="9"/>
        <w:rPr>
          <w:rFonts w:ascii="Calibri"/>
          <w:b/>
          <w:sz w:val="25"/>
        </w:rPr>
      </w:pPr>
    </w:p>
    <w:p>
      <w:pPr>
        <w:pStyle w:val="BodyText"/>
        <w:spacing w:line="276" w:lineRule="auto"/>
        <w:ind w:left="901" w:right="1155"/>
        <w:jc w:val="both"/>
      </w:pPr>
      <w:r>
        <w:rPr/>
        <w:t>El acceso al dinero, está definitivamente sujeto a la disposición de lo que indica </w:t>
      </w:r>
      <w:r>
        <w:rPr>
          <w:spacing w:val="-4"/>
        </w:rPr>
        <w:t>la</w:t>
      </w:r>
      <w:r>
        <w:rPr>
          <w:spacing w:val="52"/>
        </w:rPr>
        <w:t> </w:t>
      </w:r>
      <w:r>
        <w:rPr/>
        <w:t>banca comercial que, por lo general hasta la fecha, no otorga crédito a empresarios o comerciantes de la localidad.</w:t>
      </w:r>
    </w:p>
    <w:p>
      <w:pPr>
        <w:pStyle w:val="BodyText"/>
        <w:spacing w:before="4"/>
        <w:rPr>
          <w:sz w:val="25"/>
        </w:rPr>
      </w:pPr>
    </w:p>
    <w:p>
      <w:pPr>
        <w:pStyle w:val="BodyText"/>
        <w:spacing w:line="276" w:lineRule="auto"/>
        <w:ind w:left="901" w:right="1155"/>
        <w:jc w:val="both"/>
      </w:pPr>
      <w:r>
        <w:rPr/>
        <w:t>Un tanto cuanto más accesible, resulta el apoyo de la Caja Popular Fray Juan Calero  de Etzatlan, jal. Que, con un considerable número de miembros participantes </w:t>
      </w:r>
      <w:r>
        <w:rPr>
          <w:spacing w:val="-3"/>
        </w:rPr>
        <w:t>de </w:t>
      </w:r>
      <w:r>
        <w:rPr/>
        <w:t>Magdalena, generalmente facilita créditos muy</w:t>
      </w:r>
      <w:r>
        <w:rPr>
          <w:spacing w:val="-7"/>
        </w:rPr>
        <w:t> </w:t>
      </w:r>
      <w:r>
        <w:rPr/>
        <w:t>blandos.</w:t>
      </w:r>
    </w:p>
    <w:p>
      <w:pPr>
        <w:spacing w:after="0" w:line="276" w:lineRule="auto"/>
        <w:jc w:val="both"/>
        <w:sectPr>
          <w:pgSz w:w="12240" w:h="15840"/>
          <w:pgMar w:header="178" w:footer="1179"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6" w:lineRule="auto" w:before="101"/>
        <w:ind w:left="901" w:right="1155"/>
        <w:jc w:val="both"/>
      </w:pPr>
      <w:r>
        <w:rPr/>
        <w:t>El sector campesino en tanto, se ve apoyado por la Caja Solidaria Magdalena, que les tiene abiertas sus líneas de crédito a los socios y a personas ahorradoras que se encuentren afiliados a ella.</w:t>
      </w:r>
    </w:p>
    <w:p>
      <w:pPr>
        <w:pStyle w:val="BodyText"/>
        <w:spacing w:before="9"/>
        <w:rPr>
          <w:sz w:val="23"/>
        </w:rPr>
      </w:pPr>
    </w:p>
    <w:p>
      <w:pPr>
        <w:pStyle w:val="Heading2"/>
      </w:pPr>
      <w:r>
        <w:rPr/>
        <w:t>TRANSPORTE</w:t>
      </w:r>
    </w:p>
    <w:p>
      <w:pPr>
        <w:pStyle w:val="BodyText"/>
        <w:rPr>
          <w:rFonts w:ascii="Corbel"/>
          <w:b/>
          <w:sz w:val="24"/>
        </w:rPr>
      </w:pPr>
    </w:p>
    <w:p>
      <w:pPr>
        <w:pStyle w:val="Heading2"/>
      </w:pPr>
      <w:r>
        <w:rPr/>
        <w:t>Transporte de pasajeros</w:t>
      </w:r>
    </w:p>
    <w:p>
      <w:pPr>
        <w:pStyle w:val="BodyText"/>
        <w:spacing w:before="2"/>
        <w:rPr>
          <w:rFonts w:ascii="Corbel"/>
          <w:b/>
          <w:sz w:val="24"/>
        </w:rPr>
      </w:pPr>
    </w:p>
    <w:p>
      <w:pPr>
        <w:pStyle w:val="BodyText"/>
        <w:spacing w:line="276" w:lineRule="auto"/>
        <w:ind w:left="901" w:right="1154"/>
        <w:jc w:val="both"/>
      </w:pPr>
      <w:r>
        <w:rPr/>
        <w:t>El municipio de magdalena, se ha caracterizado desde hace mucho tiempo, por tener acceso a un servicio de transporte de pasajeros muy eficiente, casi desde que la carretera internacional se abrió paso allá por los años de 1940 cuando los Autotransportes TEQUILA, proporcionaron sus primeras ‘corridas’ a la hora que aun hoy en día es tradicional, las 8.30 de la mañana hacia Guadalajara, en sus camiones ‘ trompudos’ y de regreso hacia ésta población saliendo de las calles de 8 de Julio y Pedro Moreno en Guadalajara; Indudablemente que ese tipo de transporte vino a revolucionar el viaje que anteriormente se hacía en remudas aunque si bien la gente más pudiente, disponía de excelentes carrozas, entre ellas algunas muy distinguidas que aún se conservan en el Museo del Estado cuyos propietarios eran los dueños de la Hacienda de San Andrés.</w:t>
      </w:r>
    </w:p>
    <w:p>
      <w:pPr>
        <w:pStyle w:val="BodyText"/>
        <w:rPr>
          <w:sz w:val="24"/>
        </w:rPr>
      </w:pPr>
    </w:p>
    <w:p>
      <w:pPr>
        <w:pStyle w:val="BodyText"/>
        <w:spacing w:line="276" w:lineRule="auto"/>
        <w:ind w:left="901" w:right="1157"/>
        <w:jc w:val="both"/>
      </w:pPr>
      <w:r>
        <w:rPr/>
        <w:t>Al correr el tiempo, el antiguo Camino Real de Tequila, se transformó en algunas de sus partes, y quedó olvidado en muchas otras, al construirse la carretera Guadalajara - Nogales, misma que agilizó notablemente las comunicaciones.</w:t>
      </w:r>
    </w:p>
    <w:p>
      <w:pPr>
        <w:pStyle w:val="BodyText"/>
        <w:spacing w:before="4"/>
        <w:rPr>
          <w:sz w:val="25"/>
        </w:rPr>
      </w:pPr>
    </w:p>
    <w:p>
      <w:pPr>
        <w:pStyle w:val="BodyText"/>
        <w:spacing w:line="276" w:lineRule="auto"/>
        <w:ind w:left="901" w:right="1156"/>
        <w:jc w:val="both"/>
      </w:pPr>
      <w:r>
        <w:rPr/>
        <w:t>El transporte hacia la frontera norte se incrementó notablemente y ello permitió que Magdalena, disfrutara de una excelente prestación de servicios de transporte de pasajeros, el cual le proporcionaban el 90% de los autobuses foráneos qué estaban en tránsito hacia la ciudad de Guadalajara al oriente o hacia los estados del Norte del  País. Estas unidades por lo general se podían abordar de día y de</w:t>
      </w:r>
      <w:r>
        <w:rPr>
          <w:spacing w:val="-19"/>
        </w:rPr>
        <w:t> </w:t>
      </w:r>
      <w:r>
        <w:rPr/>
        <w:t>noche.</w:t>
      </w:r>
    </w:p>
    <w:p>
      <w:pPr>
        <w:pStyle w:val="BodyText"/>
        <w:spacing w:before="5"/>
        <w:rPr>
          <w:sz w:val="25"/>
        </w:rPr>
      </w:pPr>
    </w:p>
    <w:p>
      <w:pPr>
        <w:pStyle w:val="BodyText"/>
        <w:spacing w:line="276" w:lineRule="auto"/>
        <w:ind w:left="901" w:right="1155"/>
        <w:jc w:val="both"/>
      </w:pPr>
      <w:r>
        <w:rPr/>
        <w:t>A raíz de la puesta en operación de la Autopista de la Sierra que cruza la población </w:t>
      </w:r>
      <w:r>
        <w:rPr>
          <w:spacing w:val="-5"/>
        </w:rPr>
        <w:t>de </w:t>
      </w:r>
      <w:r>
        <w:rPr/>
        <w:t>Magdalena, por su lado sur, estos servicios de alguna manera ya no estuvieron </w:t>
      </w:r>
      <w:r>
        <w:rPr>
          <w:spacing w:val="-5"/>
        </w:rPr>
        <w:t>al </w:t>
      </w:r>
      <w:r>
        <w:rPr/>
        <w:t>alcance de los habitantes del municipio, en principio por la velocidad que se desarrolla en la citada autopista y que origina “viajes sin escala” entre Guadalajara y ciudades  del Occidente y Noroccidente de México y por otro lado, la falta de infraestructura vial a la vera de la propia autopista, que permita que con seguridad, comodidad y adecuadas condiciones permitan abordar y bajar de la unidad a las personas que viajan de o hacia</w:t>
      </w:r>
      <w:r>
        <w:rPr>
          <w:spacing w:val="-6"/>
        </w:rPr>
        <w:t> </w:t>
      </w:r>
      <w:r>
        <w:rPr/>
        <w:t>Magdalena.</w:t>
      </w:r>
    </w:p>
    <w:p>
      <w:pPr>
        <w:spacing w:after="0" w:line="276" w:lineRule="auto"/>
        <w:jc w:val="both"/>
        <w:sectPr>
          <w:pgSz w:w="12240" w:h="15840"/>
          <w:pgMar w:header="178" w:footer="1179" w:top="1120" w:bottom="1360" w:left="460" w:right="220"/>
        </w:sectPr>
      </w:pPr>
    </w:p>
    <w:p>
      <w:pPr>
        <w:pStyle w:val="BodyText"/>
        <w:rPr>
          <w:sz w:val="20"/>
        </w:rPr>
      </w:pPr>
    </w:p>
    <w:p>
      <w:pPr>
        <w:pStyle w:val="BodyText"/>
        <w:rPr>
          <w:sz w:val="20"/>
        </w:rPr>
      </w:pPr>
    </w:p>
    <w:p>
      <w:pPr>
        <w:pStyle w:val="BodyText"/>
        <w:spacing w:before="10"/>
        <w:rPr>
          <w:sz w:val="20"/>
        </w:rPr>
      </w:pPr>
    </w:p>
    <w:p>
      <w:pPr>
        <w:pStyle w:val="Heading2"/>
        <w:spacing w:before="51"/>
        <w:jc w:val="both"/>
      </w:pPr>
      <w:r>
        <w:rPr/>
        <w:t>Transporte local</w:t>
      </w:r>
    </w:p>
    <w:p>
      <w:pPr>
        <w:pStyle w:val="BodyText"/>
        <w:spacing w:before="6"/>
        <w:rPr>
          <w:rFonts w:ascii="Corbel"/>
          <w:b/>
          <w:sz w:val="25"/>
        </w:rPr>
      </w:pPr>
    </w:p>
    <w:p>
      <w:pPr>
        <w:pStyle w:val="BodyText"/>
        <w:spacing w:line="276" w:lineRule="auto"/>
        <w:ind w:left="901" w:right="1155"/>
        <w:jc w:val="both"/>
      </w:pPr>
      <w:r>
        <w:rPr/>
        <w:t>El servicio local lo prestan las empresas camioneras Quick y Tequila Plus, con corridas que inician a las 6:00 A. M. y terminan con la “corrida” de las 8:00 de la noche, todas con rumbo a la Ciudad de Guadalajara; en tanto que, de la ciudad de Guadalajara, con destino a Magdalena y otras localidades, el servicio inicia a las 6:00 a.m. y termina con la última corrida del día a las 9:00 de la noche. Se puede viajar también a San Andrés, Ixtlán del Río, Tepic y Hostotipaquillo. Esta información se precisa en el cuadro de HORARIOS del transporte</w:t>
      </w:r>
      <w:r>
        <w:rPr>
          <w:spacing w:val="-3"/>
        </w:rPr>
        <w:t> </w:t>
      </w:r>
      <w:r>
        <w:rPr/>
        <w:t>local.</w:t>
      </w:r>
    </w:p>
    <w:p>
      <w:pPr>
        <w:pStyle w:val="BodyText"/>
        <w:rPr>
          <w:sz w:val="24"/>
        </w:rPr>
      </w:pPr>
    </w:p>
    <w:p>
      <w:pPr>
        <w:pStyle w:val="BodyText"/>
        <w:ind w:left="901" w:right="1156"/>
        <w:jc w:val="both"/>
      </w:pPr>
      <w:r>
        <w:rPr/>
        <w:t>La empresa camionera Autotransportes Etzatlan, opera rutas que unen a la Cabecera Municipal Magdalena, con La Joya, Etzatlán, Ahualulco,</w:t>
      </w:r>
    </w:p>
    <w:p>
      <w:pPr>
        <w:pStyle w:val="BodyText"/>
        <w:spacing w:before="1"/>
        <w:ind w:left="901" w:right="1156"/>
        <w:jc w:val="both"/>
      </w:pPr>
      <w:r>
        <w:rPr/>
        <w:t>San Marcos, San Andrés y San Simón, con corridas que van en ambos sentidos desde las 6:00 am hasta las 7:00 pm.</w:t>
      </w:r>
    </w:p>
    <w:p>
      <w:pPr>
        <w:pStyle w:val="BodyText"/>
        <w:spacing w:before="11"/>
        <w:rPr>
          <w:sz w:val="21"/>
        </w:rPr>
      </w:pPr>
    </w:p>
    <w:p>
      <w:pPr>
        <w:pStyle w:val="BodyText"/>
        <w:ind w:left="901" w:right="1156"/>
        <w:jc w:val="both"/>
      </w:pPr>
      <w:r>
        <w:rPr/>
        <w:t>En forma particular, la empresa Busmen, se encarga de transportar de Magdalena a Guadalajara y retornarlos a su destino de origen, a los trabajadores que prestan sus servicios en el corredor de la Electrónica en la zona metropolitana de Guadalajara.</w:t>
      </w:r>
    </w:p>
    <w:p>
      <w:pPr>
        <w:pStyle w:val="BodyText"/>
        <w:spacing w:before="1"/>
      </w:pPr>
    </w:p>
    <w:p>
      <w:pPr>
        <w:pStyle w:val="BodyText"/>
        <w:spacing w:before="1"/>
        <w:ind w:left="901" w:right="1157"/>
        <w:jc w:val="both"/>
      </w:pPr>
      <w:r>
        <w:rPr/>
        <w:t>Por otra parte, el servicio de Taxis en el municipio opera con eficiencia, localizándose estaciones o sitios en Magdalena, La Quemada, La Joya, etc.</w:t>
      </w:r>
    </w:p>
    <w:p>
      <w:pPr>
        <w:pStyle w:val="BodyText"/>
        <w:spacing w:before="11"/>
        <w:rPr>
          <w:sz w:val="21"/>
        </w:rPr>
      </w:pPr>
    </w:p>
    <w:p>
      <w:pPr>
        <w:pStyle w:val="BodyText"/>
        <w:ind w:left="901" w:right="1155"/>
        <w:jc w:val="both"/>
      </w:pPr>
      <w:r>
        <w:rPr/>
        <w:t>En la cabecera municipal, el transporte urbano, recorre la población desde Guevara en el oriente hasta Las Matas, en el occidente de Magdalena. Este servicio en la actualidad está limitado a una ruta muy rígida, por lo que hace falta que se diversifique y toque puntos en la población que requieran de su servicio, por lo que se requiere regenerar la ruta, diversificarla o</w:t>
      </w:r>
      <w:r>
        <w:rPr>
          <w:spacing w:val="-7"/>
        </w:rPr>
        <w:t> </w:t>
      </w:r>
      <w:r>
        <w:rPr/>
        <w:t>ramificarla.</w:t>
      </w:r>
    </w:p>
    <w:p>
      <w:pPr>
        <w:pStyle w:val="BodyText"/>
      </w:pPr>
    </w:p>
    <w:p>
      <w:pPr>
        <w:pStyle w:val="BodyText"/>
        <w:ind w:left="901" w:right="1156"/>
        <w:jc w:val="both"/>
      </w:pPr>
      <w:r>
        <w:rPr/>
        <w:t>El transporte público de pasajeros en general, cuenta con instalaciones apropiadas para prestar el servicio en una Terminal, por lo que sus autobuses ya no se estacionan para el abordaje en las calles de la</w:t>
      </w:r>
      <w:r>
        <w:rPr>
          <w:spacing w:val="-9"/>
        </w:rPr>
        <w:t> </w:t>
      </w:r>
      <w:r>
        <w:rPr/>
        <w:t>población.</w:t>
      </w:r>
    </w:p>
    <w:p>
      <w:pPr>
        <w:pStyle w:val="BodyText"/>
        <w:spacing w:before="1"/>
      </w:pPr>
    </w:p>
    <w:p>
      <w:pPr>
        <w:pStyle w:val="BodyText"/>
        <w:ind w:left="901" w:right="1154"/>
        <w:jc w:val="both"/>
      </w:pPr>
      <w:r>
        <w:rPr/>
        <w:t>El transporte urbano, no cuenta con paradas y horarios a los que tenga que ajustarse, dictados por las autoridades municipales, pudiéndose llevar a cabo, sin ningún problema, ya que por ejemplo en ciudades más avanzadas y organizadas, los autobuses que sirven al público en el medio urbano, cuentan con asientos y parasoles en cada una de sus estaciones de parada, además de exhibir el horario en que trabajan, de tal manera que los usuarios del mismo, conocen perfectamente la hora en que hará su arribo hacia uno u otro de sus destinos y tienen la seguridad de que podrán acudir a él a determinadas horas sobre todo de la noche o de la mañana; y los concesionarios del transporte cumplen</w:t>
      </w:r>
      <w:r>
        <w:rPr>
          <w:spacing w:val="-2"/>
        </w:rPr>
        <w:t> </w:t>
      </w:r>
      <w:r>
        <w:rPr/>
        <w:t>cabalmente.</w:t>
      </w:r>
    </w:p>
    <w:p>
      <w:pPr>
        <w:spacing w:after="0"/>
        <w:jc w:val="both"/>
        <w:sectPr>
          <w:footerReference w:type="default" r:id="rId63"/>
          <w:pgSz w:w="12240" w:h="15840"/>
          <w:pgMar w:footer="1179" w:header="178" w:top="1120" w:bottom="1360" w:left="460" w:right="220"/>
          <w:pgNumType w:start="130"/>
        </w:sectPr>
      </w:pPr>
    </w:p>
    <w:p>
      <w:pPr>
        <w:pStyle w:val="BodyText"/>
        <w:rPr>
          <w:sz w:val="20"/>
        </w:rPr>
      </w:pPr>
    </w:p>
    <w:p>
      <w:pPr>
        <w:pStyle w:val="BodyText"/>
        <w:spacing w:before="3"/>
        <w:rPr>
          <w:sz w:val="21"/>
        </w:rPr>
      </w:pPr>
    </w:p>
    <w:p>
      <w:pPr>
        <w:pStyle w:val="BodyText"/>
        <w:ind w:left="901" w:right="1155"/>
        <w:jc w:val="both"/>
      </w:pPr>
      <w:r>
        <w:rPr/>
        <w:t>Los paraderos del transporte local se encuentran dispersos en la población, si bien  ahora se ubican en lugares, o "terminales” relativamente cercanas; es ya el momento de iniciar un proyecto que aglutine los servicios de éste tipo de transporte, que dé comodidad a los usuarios y seguridad a transportistas, vehículos y personal que en este servicio</w:t>
      </w:r>
      <w:r>
        <w:rPr>
          <w:spacing w:val="-5"/>
        </w:rPr>
        <w:t> </w:t>
      </w:r>
      <w:r>
        <w:rPr/>
        <w:t>labora.</w:t>
      </w:r>
    </w:p>
    <w:p>
      <w:pPr>
        <w:pStyle w:val="BodyText"/>
        <w:spacing w:before="11"/>
        <w:rPr>
          <w:sz w:val="21"/>
        </w:rPr>
      </w:pPr>
    </w:p>
    <w:p>
      <w:pPr>
        <w:pStyle w:val="BodyText"/>
        <w:spacing w:before="1"/>
        <w:ind w:left="901" w:right="1155"/>
        <w:jc w:val="both"/>
      </w:pPr>
      <w:r>
        <w:rPr/>
        <w:t>El servicio urbano de autotransporte es regular, cubre solo una ruta de la población y carece de horarios estrictos o no se practican y sus paradas no están reglamentadas al 100%, por lo que las realiza donde los clientes se la solicitan, con cierto peligro para ellos mismos, para los vehículos que circulan junto a ellos en ese momento, y entorpecen momentáneamente la vialidad.</w:t>
      </w:r>
    </w:p>
    <w:p>
      <w:pPr>
        <w:pStyle w:val="BodyText"/>
        <w:spacing w:before="11"/>
        <w:rPr>
          <w:sz w:val="21"/>
        </w:rPr>
      </w:pPr>
    </w:p>
    <w:p>
      <w:pPr>
        <w:pStyle w:val="Heading2"/>
        <w:spacing w:before="1"/>
        <w:jc w:val="both"/>
      </w:pPr>
      <w:r>
        <w:rPr/>
        <w:t>Transporte de carga</w:t>
      </w:r>
    </w:p>
    <w:p>
      <w:pPr>
        <w:pStyle w:val="BodyText"/>
        <w:spacing w:line="276" w:lineRule="auto" w:before="201"/>
        <w:ind w:left="901" w:right="1155"/>
        <w:jc w:val="both"/>
      </w:pPr>
      <w:r>
        <w:rPr/>
        <w:t>Magdalena fue, desde épocas inmemoriales, posta y lugar de descanso de los viajeros, que lo tenían como puerto, al cruzar las quebradas tierras de La Barranca, lugar de descanso y paso obligado, importante por ello para el transporte de pasajeros y de carga.</w:t>
      </w:r>
    </w:p>
    <w:p>
      <w:pPr>
        <w:pStyle w:val="BodyText"/>
        <w:spacing w:line="276" w:lineRule="auto"/>
        <w:ind w:left="901" w:right="1156"/>
        <w:jc w:val="both"/>
      </w:pPr>
      <w:r>
        <w:rPr/>
        <w:t>En la actualidad, se puede tener el servicio de transporte de carga, mediante el uso </w:t>
      </w:r>
      <w:r>
        <w:rPr>
          <w:spacing w:val="-3"/>
        </w:rPr>
        <w:t>de </w:t>
      </w:r>
      <w:r>
        <w:rPr/>
        <w:t>camionetas y camiones de entre 700 kgs. y 14 o más toneladas. Solo el primero de los transportes que es de ‘carga ligera’ tiene una ubicación fija, por la calle Ramón Corona. Los vehículos de transportación pesada no cuentan con un sitio en el cual se localicen</w:t>
      </w:r>
      <w:r>
        <w:rPr>
          <w:spacing w:val="-2"/>
        </w:rPr>
        <w:t> </w:t>
      </w:r>
      <w:r>
        <w:rPr/>
        <w:t>cotidianamente.</w:t>
      </w:r>
    </w:p>
    <w:p>
      <w:pPr>
        <w:pStyle w:val="BodyText"/>
        <w:spacing w:before="5"/>
        <w:rPr>
          <w:sz w:val="25"/>
        </w:rPr>
      </w:pPr>
    </w:p>
    <w:p>
      <w:pPr>
        <w:pStyle w:val="BodyText"/>
        <w:spacing w:line="276" w:lineRule="auto"/>
        <w:ind w:left="901" w:right="1156"/>
        <w:jc w:val="both"/>
      </w:pPr>
      <w:r>
        <w:rPr/>
        <w:t>El ferrocarril Antes del PACIFICO prestaba el servicio de carga a la localidad, siendo en determinadas épocas muy común su uso para el transporte de combustibles para los expendios y gasolinera de la localidad, para transportar el grano que producía Magdalena, y para transportar hacia ella, los fertilizantes y abonos químicos que requería.</w:t>
      </w:r>
    </w:p>
    <w:p>
      <w:pPr>
        <w:pStyle w:val="Heading2"/>
        <w:spacing w:before="197"/>
        <w:jc w:val="both"/>
        <w:rPr>
          <w:rFonts w:ascii="Calibri" w:hAnsi="Calibri"/>
        </w:rPr>
      </w:pPr>
      <w:r>
        <w:rPr>
          <w:rFonts w:ascii="Calibri" w:hAnsi="Calibri"/>
        </w:rPr>
        <w:t>Transporte aéreo</w:t>
      </w:r>
    </w:p>
    <w:p>
      <w:pPr>
        <w:pStyle w:val="BodyText"/>
        <w:spacing w:before="2"/>
        <w:rPr>
          <w:rFonts w:ascii="Calibri"/>
          <w:b/>
          <w:sz w:val="24"/>
        </w:rPr>
      </w:pPr>
    </w:p>
    <w:p>
      <w:pPr>
        <w:pStyle w:val="BodyText"/>
        <w:spacing w:line="276" w:lineRule="auto"/>
        <w:ind w:left="901" w:right="1152"/>
        <w:jc w:val="both"/>
      </w:pPr>
      <w:r>
        <w:rPr/>
        <w:t>Por muchos años, Magdalena fue el punto de llegada de la Zona Huichol y Cora, recibiendo por vía aérea a una considerable cantidad de personas que procedían de lejanos municipios en el norte de Jalisco, Nayarit, Durango y Zacatecas, entre ellos LA YESCA, HUAJICORI, PUENTE DE CAMOTLÁN, BOLAÑOS, etc. Sin embargo, por los años  80s. La empresa que prestaba el servicio, utilizando la pista de aterrizaje que aún subsiste, canceló sus operaciones en</w:t>
      </w:r>
      <w:r>
        <w:rPr>
          <w:spacing w:val="-6"/>
        </w:rPr>
        <w:t> </w:t>
      </w:r>
      <w:r>
        <w:rPr/>
        <w:t>Magdalena.</w:t>
      </w:r>
    </w:p>
    <w:p>
      <w:pPr>
        <w:pStyle w:val="BodyText"/>
        <w:spacing w:before="4"/>
        <w:rPr>
          <w:sz w:val="25"/>
        </w:rPr>
      </w:pPr>
    </w:p>
    <w:p>
      <w:pPr>
        <w:pStyle w:val="BodyText"/>
        <w:spacing w:line="276" w:lineRule="auto" w:before="1"/>
        <w:ind w:left="901" w:right="1153"/>
        <w:jc w:val="both"/>
      </w:pPr>
      <w:r>
        <w:rPr/>
        <w:t>El servicio se trasladó con sus equipos y unidades a la ciudad de Ixtlán del Río y Tepic, perdiéndose con ello el medio de subsistencia de numerosas personas que trabajaban en dicha actividad, y no solo eso, también un punto de contacto con zonas indígenas que llenaban de colorido y folklore y además con ello un importante intercambio</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comercial, en el que los establecimientos de Magdalena, dedicados a la venta de numerosos productos estaban participando y que iba en aumento cada día, todo ello aunado a este servicio de transporte.</w:t>
      </w:r>
    </w:p>
    <w:p>
      <w:pPr>
        <w:pStyle w:val="BodyText"/>
        <w:spacing w:before="4"/>
        <w:rPr>
          <w:sz w:val="25"/>
        </w:rPr>
      </w:pPr>
    </w:p>
    <w:p>
      <w:pPr>
        <w:pStyle w:val="BodyText"/>
        <w:spacing w:line="276" w:lineRule="auto"/>
        <w:ind w:left="901" w:right="1155"/>
        <w:jc w:val="both"/>
      </w:pPr>
      <w:r>
        <w:rPr/>
        <w:t>La aeropista, aún se encuentra en pie, pero no se tienen vuelos comerciales. Por lo general su uso es para actividades del Ejército Mexicano y de la PGR que lo usa como helipuerto.</w:t>
      </w:r>
    </w:p>
    <w:p>
      <w:pPr>
        <w:pStyle w:val="BodyText"/>
        <w:spacing w:before="3"/>
        <w:rPr>
          <w:sz w:val="25"/>
        </w:rPr>
      </w:pPr>
    </w:p>
    <w:p>
      <w:pPr>
        <w:pStyle w:val="BodyText"/>
        <w:spacing w:line="276" w:lineRule="auto" w:before="1"/>
        <w:ind w:left="901" w:right="1155"/>
        <w:jc w:val="both"/>
      </w:pPr>
      <w:r>
        <w:rPr/>
        <w:t>Aún se conserva una lejana posibilidad de que esta aeropista vuelva a operar, ya que empresarios del transporte aéreo no han quitado el dedo del renglón, manteniendo un taller de reparación de aeronaves de pequeñas dimensiones aquí en Magdalena, y con la esperanza de un día volver a operar, ahora con la idea del servicio de taxi aéreo que una a Magdalena con Guadalajara, Talpa de Allende, La Zona Cora y Huichola, Bolaños, La Yesca, etc.; que están en estos momentos ya conectadas por vía terrestre con poblaciones importantes para su desarrollo, pero que de cualquier manera pudiesen no obstante ser clientes de la aerolínea para viajar principalmente a la capital del estado.</w:t>
      </w:r>
    </w:p>
    <w:p>
      <w:pPr>
        <w:pStyle w:val="BodyText"/>
        <w:spacing w:before="8"/>
        <w:rPr>
          <w:sz w:val="23"/>
        </w:rPr>
      </w:pPr>
    </w:p>
    <w:p>
      <w:pPr>
        <w:pStyle w:val="Heading2"/>
        <w:jc w:val="both"/>
      </w:pPr>
      <w:r>
        <w:rPr/>
        <w:t>Vías de Comunicación</w:t>
      </w:r>
    </w:p>
    <w:p>
      <w:pPr>
        <w:pStyle w:val="BodyText"/>
        <w:spacing w:before="11"/>
        <w:rPr>
          <w:rFonts w:ascii="Corbel"/>
          <w:b/>
          <w:sz w:val="27"/>
        </w:rPr>
      </w:pPr>
    </w:p>
    <w:p>
      <w:pPr>
        <w:pStyle w:val="BodyText"/>
        <w:spacing w:line="276" w:lineRule="auto"/>
        <w:ind w:left="901" w:right="1156"/>
        <w:jc w:val="both"/>
      </w:pPr>
      <w:r>
        <w:rPr/>
        <w:t>Las vías de comunicación en las sociedades en desarrollo son fundamentales para alcanzar un nivel adecuado de bienestar social y económico. Sin embargo, también se tiene conciencia de que en el proceso de dotación de ésta y en su operación se generan impactos negativos al medio ambiente y a la salud de la población.</w:t>
      </w:r>
    </w:p>
    <w:p>
      <w:pPr>
        <w:pStyle w:val="BodyText"/>
        <w:spacing w:before="6"/>
        <w:rPr>
          <w:sz w:val="25"/>
        </w:rPr>
      </w:pPr>
    </w:p>
    <w:p>
      <w:pPr>
        <w:pStyle w:val="BodyText"/>
        <w:ind w:left="901"/>
        <w:jc w:val="both"/>
      </w:pPr>
      <w:r>
        <w:rPr/>
        <w:t>En la actualidad en el municipio se tiene la siguiente red carretera:</w:t>
      </w:r>
    </w:p>
    <w:p>
      <w:pPr>
        <w:pStyle w:val="BodyText"/>
        <w:spacing w:line="276" w:lineRule="auto" w:before="40"/>
        <w:ind w:left="901" w:right="1155"/>
        <w:jc w:val="both"/>
      </w:pPr>
      <w:r>
        <w:rPr/>
        <w:t>Los caminos pavimentados se encuentran en buenas condiciones, los cuales tienen mantenimiento a cargo de la SCT y del Gobierno del Estado, solo en la zona centro de la cabecera municipal se tiene un tramo de Camino Federal en condiciones normales tendientes al deterioro por la</w:t>
      </w:r>
      <w:r>
        <w:rPr>
          <w:spacing w:val="-7"/>
        </w:rPr>
        <w:t> </w:t>
      </w:r>
      <w:r>
        <w:rPr/>
        <w:t>lluvia.</w:t>
      </w:r>
    </w:p>
    <w:p>
      <w:pPr>
        <w:pStyle w:val="BodyText"/>
        <w:spacing w:before="8"/>
        <w:rPr>
          <w:sz w:val="23"/>
        </w:rPr>
      </w:pPr>
    </w:p>
    <w:p>
      <w:pPr>
        <w:pStyle w:val="Heading3"/>
        <w:ind w:left="1001" w:right="1259"/>
        <w:rPr>
          <w:rFonts w:ascii="Calibri"/>
        </w:rPr>
      </w:pPr>
      <w:r>
        <w:rPr>
          <w:rFonts w:ascii="Calibri"/>
        </w:rPr>
        <w:t>TABLA 15. ESTADO ACTUAL DE LAS CARRETERAS Y CAMINOS</w:t>
      </w:r>
    </w:p>
    <w:p>
      <w:pPr>
        <w:pStyle w:val="BodyText"/>
        <w:rPr>
          <w:rFonts w:ascii="Calibri"/>
          <w:sz w:val="24"/>
        </w:rPr>
      </w:pPr>
    </w:p>
    <w:tbl>
      <w:tblPr>
        <w:tblW w:w="0" w:type="auto"/>
        <w:jc w:val="left"/>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2"/>
        <w:gridCol w:w="1381"/>
        <w:gridCol w:w="1986"/>
        <w:gridCol w:w="2836"/>
        <w:gridCol w:w="1136"/>
      </w:tblGrid>
      <w:tr>
        <w:trPr>
          <w:trHeight w:val="795" w:hRule="atLeast"/>
        </w:trPr>
        <w:tc>
          <w:tcPr>
            <w:tcW w:w="1822" w:type="dxa"/>
            <w:tcBorders>
              <w:bottom w:val="single" w:sz="48" w:space="0" w:color="FFFFFF"/>
            </w:tcBorders>
          </w:tcPr>
          <w:p>
            <w:pPr>
              <w:pStyle w:val="TableParagraph"/>
              <w:rPr>
                <w:rFonts w:ascii="Calibri"/>
                <w:sz w:val="26"/>
              </w:rPr>
            </w:pPr>
          </w:p>
          <w:p>
            <w:pPr>
              <w:pStyle w:val="TableParagraph"/>
              <w:spacing w:before="2"/>
              <w:rPr>
                <w:rFonts w:ascii="Calibri"/>
                <w:sz w:val="20"/>
              </w:rPr>
            </w:pPr>
          </w:p>
          <w:p>
            <w:pPr>
              <w:pStyle w:val="TableParagraph"/>
              <w:spacing w:line="212" w:lineRule="exact" w:before="1"/>
              <w:ind w:left="81"/>
              <w:rPr>
                <w:sz w:val="21"/>
              </w:rPr>
            </w:pPr>
            <w:r>
              <w:rPr>
                <w:sz w:val="21"/>
              </w:rPr>
              <w:t>CAMINO</w:t>
            </w:r>
          </w:p>
        </w:tc>
        <w:tc>
          <w:tcPr>
            <w:tcW w:w="1381" w:type="dxa"/>
            <w:tcBorders>
              <w:bottom w:val="single" w:sz="48" w:space="0" w:color="FFFFFF"/>
            </w:tcBorders>
          </w:tcPr>
          <w:p>
            <w:pPr>
              <w:pStyle w:val="TableParagraph"/>
              <w:rPr>
                <w:rFonts w:ascii="Calibri"/>
                <w:sz w:val="26"/>
              </w:rPr>
            </w:pPr>
          </w:p>
          <w:p>
            <w:pPr>
              <w:pStyle w:val="TableParagraph"/>
              <w:spacing w:before="2"/>
              <w:rPr>
                <w:rFonts w:ascii="Calibri"/>
                <w:sz w:val="20"/>
              </w:rPr>
            </w:pPr>
          </w:p>
          <w:p>
            <w:pPr>
              <w:pStyle w:val="TableParagraph"/>
              <w:spacing w:line="212" w:lineRule="exact" w:before="1"/>
              <w:ind w:left="78"/>
              <w:rPr>
                <w:sz w:val="21"/>
              </w:rPr>
            </w:pPr>
            <w:r>
              <w:rPr>
                <w:sz w:val="21"/>
              </w:rPr>
              <w:t>LONGITUD</w:t>
            </w:r>
          </w:p>
        </w:tc>
        <w:tc>
          <w:tcPr>
            <w:tcW w:w="1986" w:type="dxa"/>
            <w:tcBorders>
              <w:bottom w:val="single" w:sz="48" w:space="0" w:color="FFFFFF"/>
            </w:tcBorders>
          </w:tcPr>
          <w:p>
            <w:pPr>
              <w:pStyle w:val="TableParagraph"/>
              <w:rPr>
                <w:rFonts w:ascii="Calibri"/>
                <w:sz w:val="26"/>
              </w:rPr>
            </w:pPr>
          </w:p>
          <w:p>
            <w:pPr>
              <w:pStyle w:val="TableParagraph"/>
              <w:spacing w:before="2"/>
              <w:rPr>
                <w:rFonts w:ascii="Calibri"/>
                <w:sz w:val="20"/>
              </w:rPr>
            </w:pPr>
          </w:p>
          <w:p>
            <w:pPr>
              <w:pStyle w:val="TableParagraph"/>
              <w:spacing w:line="212" w:lineRule="exact" w:before="1"/>
              <w:ind w:left="78"/>
              <w:rPr>
                <w:sz w:val="21"/>
              </w:rPr>
            </w:pPr>
            <w:r>
              <w:rPr>
                <w:sz w:val="21"/>
              </w:rPr>
              <w:t>TIPO DE TERRENO</w:t>
            </w:r>
          </w:p>
        </w:tc>
        <w:tc>
          <w:tcPr>
            <w:tcW w:w="2836" w:type="dxa"/>
            <w:tcBorders>
              <w:bottom w:val="single" w:sz="48" w:space="0" w:color="FFFFFF"/>
            </w:tcBorders>
          </w:tcPr>
          <w:p>
            <w:pPr>
              <w:pStyle w:val="TableParagraph"/>
              <w:rPr>
                <w:rFonts w:ascii="Calibri"/>
                <w:sz w:val="26"/>
              </w:rPr>
            </w:pPr>
          </w:p>
          <w:p>
            <w:pPr>
              <w:pStyle w:val="TableParagraph"/>
              <w:spacing w:before="2"/>
              <w:rPr>
                <w:rFonts w:ascii="Calibri"/>
                <w:sz w:val="20"/>
              </w:rPr>
            </w:pPr>
          </w:p>
          <w:p>
            <w:pPr>
              <w:pStyle w:val="TableParagraph"/>
              <w:spacing w:line="212" w:lineRule="exact" w:before="1"/>
              <w:ind w:left="79"/>
              <w:rPr>
                <w:sz w:val="21"/>
              </w:rPr>
            </w:pPr>
            <w:r>
              <w:rPr>
                <w:sz w:val="21"/>
              </w:rPr>
              <w:t>TIPO DE CAMINO</w:t>
            </w:r>
          </w:p>
        </w:tc>
        <w:tc>
          <w:tcPr>
            <w:tcW w:w="1136" w:type="dxa"/>
            <w:tcBorders>
              <w:bottom w:val="single" w:sz="48" w:space="0" w:color="FFFFFF"/>
            </w:tcBorders>
          </w:tcPr>
          <w:p>
            <w:pPr>
              <w:pStyle w:val="TableParagraph"/>
              <w:rPr>
                <w:rFonts w:ascii="Calibri"/>
                <w:sz w:val="26"/>
              </w:rPr>
            </w:pPr>
          </w:p>
          <w:p>
            <w:pPr>
              <w:pStyle w:val="TableParagraph"/>
              <w:spacing w:before="2"/>
              <w:rPr>
                <w:rFonts w:ascii="Calibri"/>
                <w:sz w:val="20"/>
              </w:rPr>
            </w:pPr>
          </w:p>
          <w:p>
            <w:pPr>
              <w:pStyle w:val="TableParagraph"/>
              <w:spacing w:line="212" w:lineRule="exact" w:before="1"/>
              <w:ind w:left="78"/>
              <w:rPr>
                <w:sz w:val="21"/>
              </w:rPr>
            </w:pPr>
            <w:r>
              <w:rPr>
                <w:sz w:val="21"/>
              </w:rPr>
              <w:t>ESTADO</w:t>
            </w:r>
          </w:p>
        </w:tc>
      </w:tr>
      <w:tr>
        <w:trPr>
          <w:trHeight w:val="1144" w:hRule="atLeast"/>
        </w:trPr>
        <w:tc>
          <w:tcPr>
            <w:tcW w:w="1822" w:type="dxa"/>
            <w:tcBorders>
              <w:top w:val="single" w:sz="48" w:space="0" w:color="FFFFFF"/>
              <w:bottom w:val="single" w:sz="6" w:space="0" w:color="000000"/>
            </w:tcBorders>
          </w:tcPr>
          <w:p>
            <w:pPr>
              <w:pStyle w:val="TableParagraph"/>
              <w:rPr>
                <w:rFonts w:ascii="Calibri"/>
                <w:sz w:val="26"/>
              </w:rPr>
            </w:pPr>
          </w:p>
          <w:p>
            <w:pPr>
              <w:pStyle w:val="TableParagraph"/>
              <w:spacing w:before="6"/>
              <w:rPr>
                <w:rFonts w:ascii="Calibri"/>
                <w:sz w:val="19"/>
              </w:rPr>
            </w:pPr>
          </w:p>
          <w:p>
            <w:pPr>
              <w:pStyle w:val="TableParagraph"/>
              <w:ind w:left="81" w:right="263"/>
              <w:rPr>
                <w:sz w:val="21"/>
              </w:rPr>
            </w:pPr>
            <w:r>
              <w:rPr>
                <w:sz w:val="21"/>
              </w:rPr>
              <w:t>Guadalajara - Tepic.</w:t>
            </w:r>
          </w:p>
        </w:tc>
        <w:tc>
          <w:tcPr>
            <w:tcW w:w="1381" w:type="dxa"/>
            <w:tcBorders>
              <w:top w:val="single" w:sz="48" w:space="0" w:color="FFFFFF"/>
              <w:bottom w:val="single" w:sz="6" w:space="0" w:color="000000"/>
            </w:tcBorders>
          </w:tcPr>
          <w:p>
            <w:pPr>
              <w:pStyle w:val="TableParagraph"/>
              <w:rPr>
                <w:rFonts w:ascii="Calibri"/>
                <w:sz w:val="26"/>
              </w:rPr>
            </w:pPr>
          </w:p>
          <w:p>
            <w:pPr>
              <w:pStyle w:val="TableParagraph"/>
              <w:spacing w:before="6"/>
              <w:rPr>
                <w:rFonts w:ascii="Calibri"/>
                <w:sz w:val="19"/>
              </w:rPr>
            </w:pPr>
          </w:p>
          <w:p>
            <w:pPr>
              <w:pStyle w:val="TableParagraph"/>
              <w:ind w:left="78"/>
              <w:rPr>
                <w:sz w:val="21"/>
              </w:rPr>
            </w:pPr>
            <w:r>
              <w:rPr>
                <w:sz w:val="21"/>
              </w:rPr>
              <w:t>23.00 Km.</w:t>
            </w:r>
          </w:p>
        </w:tc>
        <w:tc>
          <w:tcPr>
            <w:tcW w:w="1986" w:type="dxa"/>
            <w:tcBorders>
              <w:top w:val="single" w:sz="48" w:space="0" w:color="FFFFFF"/>
              <w:bottom w:val="single" w:sz="6" w:space="0" w:color="000000"/>
            </w:tcBorders>
          </w:tcPr>
          <w:p>
            <w:pPr>
              <w:pStyle w:val="TableParagraph"/>
              <w:rPr>
                <w:rFonts w:ascii="Calibri"/>
                <w:sz w:val="26"/>
              </w:rPr>
            </w:pPr>
          </w:p>
          <w:p>
            <w:pPr>
              <w:pStyle w:val="TableParagraph"/>
              <w:spacing w:before="6"/>
              <w:rPr>
                <w:rFonts w:ascii="Calibri"/>
                <w:sz w:val="19"/>
              </w:rPr>
            </w:pPr>
          </w:p>
          <w:p>
            <w:pPr>
              <w:pStyle w:val="TableParagraph"/>
              <w:ind w:left="78"/>
              <w:rPr>
                <w:sz w:val="21"/>
              </w:rPr>
            </w:pPr>
            <w:r>
              <w:rPr>
                <w:sz w:val="21"/>
              </w:rPr>
              <w:t>Lomerío suave.</w:t>
            </w:r>
          </w:p>
        </w:tc>
        <w:tc>
          <w:tcPr>
            <w:tcW w:w="2836" w:type="dxa"/>
            <w:tcBorders>
              <w:top w:val="single" w:sz="48" w:space="0" w:color="FFFFFF"/>
              <w:bottom w:val="single" w:sz="6" w:space="0" w:color="000000"/>
            </w:tcBorders>
          </w:tcPr>
          <w:p>
            <w:pPr>
              <w:pStyle w:val="TableParagraph"/>
              <w:rPr>
                <w:rFonts w:ascii="Calibri"/>
                <w:sz w:val="26"/>
              </w:rPr>
            </w:pPr>
          </w:p>
          <w:p>
            <w:pPr>
              <w:pStyle w:val="TableParagraph"/>
              <w:spacing w:before="6"/>
              <w:rPr>
                <w:rFonts w:ascii="Calibri"/>
                <w:sz w:val="19"/>
              </w:rPr>
            </w:pPr>
          </w:p>
          <w:p>
            <w:pPr>
              <w:pStyle w:val="TableParagraph"/>
              <w:ind w:left="79"/>
              <w:rPr>
                <w:sz w:val="21"/>
              </w:rPr>
            </w:pPr>
            <w:r>
              <w:rPr>
                <w:sz w:val="21"/>
              </w:rPr>
              <w:t>De cuota 4 carriles.</w:t>
            </w:r>
          </w:p>
        </w:tc>
        <w:tc>
          <w:tcPr>
            <w:tcW w:w="1136" w:type="dxa"/>
            <w:tcBorders>
              <w:top w:val="single" w:sz="48" w:space="0" w:color="FFFFFF"/>
              <w:bottom w:val="single" w:sz="6" w:space="0" w:color="000000"/>
            </w:tcBorders>
          </w:tcPr>
          <w:p>
            <w:pPr>
              <w:pStyle w:val="TableParagraph"/>
              <w:rPr>
                <w:rFonts w:ascii="Calibri"/>
                <w:sz w:val="26"/>
              </w:rPr>
            </w:pPr>
          </w:p>
          <w:p>
            <w:pPr>
              <w:pStyle w:val="TableParagraph"/>
              <w:spacing w:before="6"/>
              <w:rPr>
                <w:rFonts w:ascii="Calibri"/>
                <w:sz w:val="19"/>
              </w:rPr>
            </w:pPr>
          </w:p>
          <w:p>
            <w:pPr>
              <w:pStyle w:val="TableParagraph"/>
              <w:ind w:left="78"/>
              <w:rPr>
                <w:sz w:val="21"/>
              </w:rPr>
            </w:pPr>
            <w:r>
              <w:rPr>
                <w:sz w:val="21"/>
              </w:rPr>
              <w:t>Bueno</w:t>
            </w:r>
          </w:p>
        </w:tc>
      </w:tr>
    </w:tbl>
    <w:p>
      <w:pPr>
        <w:spacing w:after="0"/>
        <w:rPr>
          <w:sz w:val="21"/>
        </w:rPr>
        <w:sectPr>
          <w:pgSz w:w="12240" w:h="15840"/>
          <w:pgMar w:header="178" w:footer="1179" w:top="1120" w:bottom="1360" w:left="460" w:right="220"/>
        </w:sectPr>
      </w:pPr>
    </w:p>
    <w:p>
      <w:pPr>
        <w:pStyle w:val="BodyText"/>
        <w:rPr>
          <w:rFonts w:ascii="Calibri"/>
          <w:sz w:val="20"/>
        </w:rPr>
      </w:pPr>
    </w:p>
    <w:p>
      <w:pPr>
        <w:pStyle w:val="BodyText"/>
        <w:spacing w:before="3"/>
        <w:rPr>
          <w:rFonts w:ascii="Calibri"/>
          <w:sz w:val="21"/>
        </w:rPr>
      </w:pPr>
    </w:p>
    <w:tbl>
      <w:tblPr>
        <w:tblW w:w="0" w:type="auto"/>
        <w:jc w:val="left"/>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2"/>
        <w:gridCol w:w="1381"/>
        <w:gridCol w:w="1986"/>
        <w:gridCol w:w="2836"/>
        <w:gridCol w:w="1136"/>
      </w:tblGrid>
      <w:tr>
        <w:trPr>
          <w:trHeight w:val="1058" w:hRule="atLeast"/>
        </w:trPr>
        <w:tc>
          <w:tcPr>
            <w:tcW w:w="1822" w:type="dxa"/>
            <w:tcBorders>
              <w:bottom w:val="single" w:sz="48" w:space="0" w:color="FFFFFF"/>
            </w:tcBorders>
          </w:tcPr>
          <w:p>
            <w:pPr>
              <w:pStyle w:val="TableParagraph"/>
              <w:rPr>
                <w:rFonts w:ascii="Calibri"/>
                <w:sz w:val="26"/>
              </w:rPr>
            </w:pPr>
          </w:p>
          <w:p>
            <w:pPr>
              <w:pStyle w:val="TableParagraph"/>
              <w:spacing w:before="8"/>
              <w:rPr>
                <w:rFonts w:ascii="Calibri"/>
                <w:sz w:val="20"/>
              </w:rPr>
            </w:pPr>
          </w:p>
          <w:p>
            <w:pPr>
              <w:pStyle w:val="TableParagraph"/>
              <w:spacing w:line="256" w:lineRule="exact"/>
              <w:ind w:left="81" w:right="263"/>
              <w:rPr>
                <w:sz w:val="21"/>
              </w:rPr>
            </w:pPr>
            <w:r>
              <w:rPr>
                <w:sz w:val="21"/>
              </w:rPr>
              <w:t>Guadalajara - Tepic</w:t>
            </w:r>
          </w:p>
        </w:tc>
        <w:tc>
          <w:tcPr>
            <w:tcW w:w="1381" w:type="dxa"/>
            <w:tcBorders>
              <w:bottom w:val="single" w:sz="6" w:space="0" w:color="000000"/>
            </w:tcBorders>
          </w:tcPr>
          <w:p>
            <w:pPr>
              <w:pStyle w:val="TableParagraph"/>
              <w:rPr>
                <w:rFonts w:ascii="Calibri"/>
                <w:sz w:val="26"/>
              </w:rPr>
            </w:pPr>
          </w:p>
          <w:p>
            <w:pPr>
              <w:pStyle w:val="TableParagraph"/>
              <w:spacing w:before="2"/>
              <w:rPr>
                <w:rFonts w:ascii="Calibri"/>
                <w:sz w:val="20"/>
              </w:rPr>
            </w:pPr>
          </w:p>
          <w:p>
            <w:pPr>
              <w:pStyle w:val="TableParagraph"/>
              <w:ind w:left="78"/>
              <w:rPr>
                <w:sz w:val="21"/>
              </w:rPr>
            </w:pPr>
            <w:r>
              <w:rPr>
                <w:sz w:val="21"/>
              </w:rPr>
              <w:t>19.00 Km.</w:t>
            </w:r>
          </w:p>
        </w:tc>
        <w:tc>
          <w:tcPr>
            <w:tcW w:w="1986" w:type="dxa"/>
            <w:tcBorders>
              <w:bottom w:val="single" w:sz="6" w:space="0" w:color="000000"/>
            </w:tcBorders>
          </w:tcPr>
          <w:p>
            <w:pPr>
              <w:pStyle w:val="TableParagraph"/>
              <w:rPr>
                <w:rFonts w:ascii="Calibri"/>
                <w:sz w:val="26"/>
              </w:rPr>
            </w:pPr>
          </w:p>
          <w:p>
            <w:pPr>
              <w:pStyle w:val="TableParagraph"/>
              <w:spacing w:before="2"/>
              <w:rPr>
                <w:rFonts w:ascii="Calibri"/>
                <w:sz w:val="20"/>
              </w:rPr>
            </w:pPr>
          </w:p>
          <w:p>
            <w:pPr>
              <w:pStyle w:val="TableParagraph"/>
              <w:ind w:left="78"/>
              <w:rPr>
                <w:sz w:val="21"/>
              </w:rPr>
            </w:pPr>
            <w:r>
              <w:rPr>
                <w:sz w:val="21"/>
              </w:rPr>
              <w:t>Lomerío suave.</w:t>
            </w:r>
          </w:p>
        </w:tc>
        <w:tc>
          <w:tcPr>
            <w:tcW w:w="2836" w:type="dxa"/>
            <w:tcBorders>
              <w:bottom w:val="single" w:sz="6" w:space="0" w:color="000000"/>
            </w:tcBorders>
          </w:tcPr>
          <w:p>
            <w:pPr>
              <w:pStyle w:val="TableParagraph"/>
              <w:rPr>
                <w:rFonts w:ascii="Calibri"/>
                <w:sz w:val="26"/>
              </w:rPr>
            </w:pPr>
          </w:p>
          <w:p>
            <w:pPr>
              <w:pStyle w:val="TableParagraph"/>
              <w:spacing w:before="2"/>
              <w:rPr>
                <w:rFonts w:ascii="Calibri"/>
                <w:sz w:val="20"/>
              </w:rPr>
            </w:pPr>
          </w:p>
          <w:p>
            <w:pPr>
              <w:pStyle w:val="TableParagraph"/>
              <w:ind w:left="79"/>
              <w:rPr>
                <w:sz w:val="21"/>
              </w:rPr>
            </w:pPr>
            <w:r>
              <w:rPr>
                <w:sz w:val="21"/>
              </w:rPr>
              <w:t>Libre 2 carriles.</w:t>
            </w:r>
          </w:p>
        </w:tc>
        <w:tc>
          <w:tcPr>
            <w:tcW w:w="1136" w:type="dxa"/>
            <w:tcBorders>
              <w:bottom w:val="single" w:sz="6" w:space="0" w:color="000000"/>
            </w:tcBorders>
          </w:tcPr>
          <w:p>
            <w:pPr>
              <w:pStyle w:val="TableParagraph"/>
              <w:rPr>
                <w:rFonts w:ascii="Calibri"/>
                <w:sz w:val="26"/>
              </w:rPr>
            </w:pPr>
          </w:p>
          <w:p>
            <w:pPr>
              <w:pStyle w:val="TableParagraph"/>
              <w:spacing w:before="2"/>
              <w:rPr>
                <w:rFonts w:ascii="Calibri"/>
                <w:sz w:val="20"/>
              </w:rPr>
            </w:pPr>
          </w:p>
          <w:p>
            <w:pPr>
              <w:pStyle w:val="TableParagraph"/>
              <w:ind w:left="78"/>
              <w:rPr>
                <w:sz w:val="21"/>
              </w:rPr>
            </w:pPr>
            <w:r>
              <w:rPr>
                <w:sz w:val="21"/>
              </w:rPr>
              <w:t>Regular</w:t>
            </w:r>
          </w:p>
        </w:tc>
      </w:tr>
      <w:tr>
        <w:trPr>
          <w:trHeight w:val="1115" w:hRule="atLeast"/>
        </w:trPr>
        <w:tc>
          <w:tcPr>
            <w:tcW w:w="1822" w:type="dxa"/>
            <w:tcBorders>
              <w:top w:val="single" w:sz="48" w:space="0" w:color="FFFFFF"/>
              <w:bottom w:val="single" w:sz="6" w:space="0" w:color="000000"/>
            </w:tcBorders>
          </w:tcPr>
          <w:p>
            <w:pPr>
              <w:pStyle w:val="TableParagraph"/>
              <w:rPr>
                <w:rFonts w:ascii="Calibri"/>
                <w:sz w:val="26"/>
              </w:rPr>
            </w:pPr>
          </w:p>
          <w:p>
            <w:pPr>
              <w:pStyle w:val="TableParagraph"/>
              <w:spacing w:before="209"/>
              <w:ind w:left="81" w:right="368"/>
              <w:rPr>
                <w:sz w:val="21"/>
              </w:rPr>
            </w:pPr>
            <w:r>
              <w:rPr>
                <w:sz w:val="21"/>
              </w:rPr>
              <w:t>Magdalena - Etzatlán</w:t>
            </w:r>
          </w:p>
        </w:tc>
        <w:tc>
          <w:tcPr>
            <w:tcW w:w="1381" w:type="dxa"/>
            <w:tcBorders>
              <w:top w:val="single" w:sz="6" w:space="0" w:color="000000"/>
              <w:bottom w:val="single" w:sz="6" w:space="0" w:color="000000"/>
            </w:tcBorders>
          </w:tcPr>
          <w:p>
            <w:pPr>
              <w:pStyle w:val="TableParagraph"/>
              <w:rPr>
                <w:rFonts w:ascii="Calibri"/>
                <w:sz w:val="26"/>
              </w:rPr>
            </w:pPr>
          </w:p>
          <w:p>
            <w:pPr>
              <w:pStyle w:val="TableParagraph"/>
              <w:spacing w:before="209"/>
              <w:ind w:left="78"/>
              <w:rPr>
                <w:sz w:val="21"/>
              </w:rPr>
            </w:pPr>
            <w:r>
              <w:rPr>
                <w:sz w:val="21"/>
              </w:rPr>
              <w:t>22.00 Km.</w:t>
            </w:r>
          </w:p>
        </w:tc>
        <w:tc>
          <w:tcPr>
            <w:tcW w:w="1986" w:type="dxa"/>
            <w:tcBorders>
              <w:top w:val="single" w:sz="6" w:space="0" w:color="000000"/>
              <w:bottom w:val="single" w:sz="6" w:space="0" w:color="000000"/>
            </w:tcBorders>
          </w:tcPr>
          <w:p>
            <w:pPr>
              <w:pStyle w:val="TableParagraph"/>
              <w:rPr>
                <w:rFonts w:ascii="Calibri"/>
                <w:sz w:val="26"/>
              </w:rPr>
            </w:pPr>
          </w:p>
          <w:p>
            <w:pPr>
              <w:pStyle w:val="TableParagraph"/>
              <w:spacing w:before="209"/>
              <w:ind w:left="78"/>
              <w:rPr>
                <w:sz w:val="21"/>
              </w:rPr>
            </w:pPr>
            <w:r>
              <w:rPr>
                <w:sz w:val="21"/>
              </w:rPr>
              <w:t>Plano.</w:t>
            </w:r>
          </w:p>
        </w:tc>
        <w:tc>
          <w:tcPr>
            <w:tcW w:w="2836" w:type="dxa"/>
            <w:tcBorders>
              <w:top w:val="single" w:sz="6" w:space="0" w:color="000000"/>
              <w:bottom w:val="single" w:sz="6" w:space="0" w:color="000000"/>
            </w:tcBorders>
          </w:tcPr>
          <w:p>
            <w:pPr>
              <w:pStyle w:val="TableParagraph"/>
              <w:rPr>
                <w:rFonts w:ascii="Calibri"/>
                <w:sz w:val="26"/>
              </w:rPr>
            </w:pPr>
          </w:p>
          <w:p>
            <w:pPr>
              <w:pStyle w:val="TableParagraph"/>
              <w:spacing w:before="209"/>
              <w:ind w:left="79" w:right="211"/>
              <w:rPr>
                <w:sz w:val="21"/>
              </w:rPr>
            </w:pPr>
            <w:r>
              <w:rPr>
                <w:sz w:val="21"/>
              </w:rPr>
              <w:t>2 carriles con pavimento asfaltico.</w:t>
            </w:r>
          </w:p>
        </w:tc>
        <w:tc>
          <w:tcPr>
            <w:tcW w:w="1136" w:type="dxa"/>
            <w:tcBorders>
              <w:top w:val="single" w:sz="6" w:space="0" w:color="000000"/>
              <w:bottom w:val="single" w:sz="6" w:space="0" w:color="000000"/>
            </w:tcBorders>
          </w:tcPr>
          <w:p>
            <w:pPr>
              <w:pStyle w:val="TableParagraph"/>
              <w:rPr>
                <w:rFonts w:ascii="Calibri"/>
                <w:sz w:val="26"/>
              </w:rPr>
            </w:pPr>
          </w:p>
          <w:p>
            <w:pPr>
              <w:pStyle w:val="TableParagraph"/>
              <w:spacing w:before="209"/>
              <w:ind w:left="78"/>
              <w:rPr>
                <w:sz w:val="21"/>
              </w:rPr>
            </w:pPr>
            <w:r>
              <w:rPr>
                <w:sz w:val="21"/>
              </w:rPr>
              <w:t>Bueno</w:t>
            </w:r>
          </w:p>
        </w:tc>
      </w:tr>
      <w:tr>
        <w:trPr>
          <w:trHeight w:val="1057" w:hRule="atLeast"/>
        </w:trPr>
        <w:tc>
          <w:tcPr>
            <w:tcW w:w="1822" w:type="dxa"/>
            <w:tcBorders>
              <w:top w:val="single" w:sz="6" w:space="0" w:color="000000"/>
              <w:bottom w:val="single" w:sz="48" w:space="0" w:color="FFFFFF"/>
            </w:tcBorders>
          </w:tcPr>
          <w:p>
            <w:pPr>
              <w:pStyle w:val="TableParagraph"/>
              <w:rPr>
                <w:rFonts w:ascii="Calibri"/>
                <w:sz w:val="26"/>
              </w:rPr>
            </w:pPr>
          </w:p>
          <w:p>
            <w:pPr>
              <w:pStyle w:val="TableParagraph"/>
              <w:spacing w:before="8"/>
              <w:rPr>
                <w:rFonts w:ascii="Calibri"/>
                <w:sz w:val="19"/>
              </w:rPr>
            </w:pPr>
          </w:p>
          <w:p>
            <w:pPr>
              <w:pStyle w:val="TableParagraph"/>
              <w:spacing w:line="260" w:lineRule="atLeast"/>
              <w:ind w:left="81" w:right="368"/>
              <w:rPr>
                <w:sz w:val="21"/>
              </w:rPr>
            </w:pPr>
            <w:r>
              <w:rPr>
                <w:sz w:val="21"/>
              </w:rPr>
              <w:t>Magdalena - San Simón</w:t>
            </w:r>
          </w:p>
        </w:tc>
        <w:tc>
          <w:tcPr>
            <w:tcW w:w="1381" w:type="dxa"/>
            <w:tcBorders>
              <w:top w:val="single" w:sz="6" w:space="0" w:color="000000"/>
              <w:bottom w:val="single" w:sz="6" w:space="0" w:color="000000"/>
            </w:tcBorders>
          </w:tcPr>
          <w:p>
            <w:pPr>
              <w:pStyle w:val="TableParagraph"/>
              <w:rPr>
                <w:rFonts w:ascii="Calibri"/>
                <w:sz w:val="26"/>
              </w:rPr>
            </w:pPr>
          </w:p>
          <w:p>
            <w:pPr>
              <w:pStyle w:val="TableParagraph"/>
              <w:spacing w:before="10"/>
              <w:rPr>
                <w:rFonts w:ascii="Calibri"/>
                <w:sz w:val="19"/>
              </w:rPr>
            </w:pPr>
          </w:p>
          <w:p>
            <w:pPr>
              <w:pStyle w:val="TableParagraph"/>
              <w:ind w:left="78"/>
              <w:rPr>
                <w:sz w:val="21"/>
              </w:rPr>
            </w:pPr>
            <w:r>
              <w:rPr>
                <w:sz w:val="21"/>
              </w:rPr>
              <w:t>9 .50 Km.</w:t>
            </w:r>
          </w:p>
        </w:tc>
        <w:tc>
          <w:tcPr>
            <w:tcW w:w="1986" w:type="dxa"/>
            <w:tcBorders>
              <w:top w:val="single" w:sz="6" w:space="0" w:color="000000"/>
              <w:bottom w:val="single" w:sz="6" w:space="0" w:color="000000"/>
            </w:tcBorders>
          </w:tcPr>
          <w:p>
            <w:pPr>
              <w:pStyle w:val="TableParagraph"/>
              <w:rPr>
                <w:rFonts w:ascii="Calibri"/>
                <w:sz w:val="26"/>
              </w:rPr>
            </w:pPr>
          </w:p>
          <w:p>
            <w:pPr>
              <w:pStyle w:val="TableParagraph"/>
              <w:spacing w:before="10"/>
              <w:rPr>
                <w:rFonts w:ascii="Calibri"/>
                <w:sz w:val="19"/>
              </w:rPr>
            </w:pPr>
          </w:p>
          <w:p>
            <w:pPr>
              <w:pStyle w:val="TableParagraph"/>
              <w:ind w:left="78"/>
              <w:rPr>
                <w:sz w:val="21"/>
              </w:rPr>
            </w:pPr>
            <w:r>
              <w:rPr>
                <w:sz w:val="21"/>
              </w:rPr>
              <w:t>Lomerío suave</w:t>
            </w:r>
          </w:p>
        </w:tc>
        <w:tc>
          <w:tcPr>
            <w:tcW w:w="2836" w:type="dxa"/>
            <w:tcBorders>
              <w:top w:val="single" w:sz="6" w:space="0" w:color="000000"/>
              <w:bottom w:val="single" w:sz="48" w:space="0" w:color="FFFFFF"/>
            </w:tcBorders>
          </w:tcPr>
          <w:p>
            <w:pPr>
              <w:pStyle w:val="TableParagraph"/>
              <w:rPr>
                <w:rFonts w:ascii="Calibri"/>
                <w:sz w:val="26"/>
              </w:rPr>
            </w:pPr>
          </w:p>
          <w:p>
            <w:pPr>
              <w:pStyle w:val="TableParagraph"/>
              <w:spacing w:before="8"/>
              <w:rPr>
                <w:rFonts w:ascii="Calibri"/>
                <w:sz w:val="19"/>
              </w:rPr>
            </w:pPr>
          </w:p>
          <w:p>
            <w:pPr>
              <w:pStyle w:val="TableParagraph"/>
              <w:spacing w:line="260" w:lineRule="atLeast"/>
              <w:ind w:left="79" w:right="211"/>
              <w:rPr>
                <w:sz w:val="21"/>
              </w:rPr>
            </w:pPr>
            <w:r>
              <w:rPr>
                <w:sz w:val="21"/>
              </w:rPr>
              <w:t>2 carriles con pavimento asfaltico.</w:t>
            </w:r>
          </w:p>
        </w:tc>
        <w:tc>
          <w:tcPr>
            <w:tcW w:w="1136" w:type="dxa"/>
            <w:tcBorders>
              <w:top w:val="single" w:sz="6" w:space="0" w:color="000000"/>
              <w:bottom w:val="single" w:sz="6" w:space="0" w:color="000000"/>
            </w:tcBorders>
          </w:tcPr>
          <w:p>
            <w:pPr>
              <w:pStyle w:val="TableParagraph"/>
              <w:rPr>
                <w:rFonts w:ascii="Calibri"/>
                <w:sz w:val="26"/>
              </w:rPr>
            </w:pPr>
          </w:p>
          <w:p>
            <w:pPr>
              <w:pStyle w:val="TableParagraph"/>
              <w:spacing w:before="10"/>
              <w:rPr>
                <w:rFonts w:ascii="Calibri"/>
                <w:sz w:val="19"/>
              </w:rPr>
            </w:pPr>
          </w:p>
          <w:p>
            <w:pPr>
              <w:pStyle w:val="TableParagraph"/>
              <w:ind w:left="78"/>
              <w:rPr>
                <w:sz w:val="21"/>
              </w:rPr>
            </w:pPr>
            <w:r>
              <w:rPr>
                <w:sz w:val="21"/>
              </w:rPr>
              <w:t>Regular</w:t>
            </w:r>
          </w:p>
        </w:tc>
      </w:tr>
      <w:tr>
        <w:trPr>
          <w:trHeight w:val="1118" w:hRule="atLeast"/>
        </w:trPr>
        <w:tc>
          <w:tcPr>
            <w:tcW w:w="1822" w:type="dxa"/>
            <w:tcBorders>
              <w:top w:val="single" w:sz="48" w:space="0" w:color="FFFFFF"/>
              <w:bottom w:val="single" w:sz="6" w:space="0" w:color="000000"/>
            </w:tcBorders>
          </w:tcPr>
          <w:p>
            <w:pPr>
              <w:pStyle w:val="TableParagraph"/>
              <w:rPr>
                <w:rFonts w:ascii="Calibri"/>
                <w:sz w:val="26"/>
              </w:rPr>
            </w:pPr>
          </w:p>
          <w:p>
            <w:pPr>
              <w:pStyle w:val="TableParagraph"/>
              <w:spacing w:before="212"/>
              <w:ind w:left="81" w:right="147"/>
              <w:rPr>
                <w:sz w:val="21"/>
              </w:rPr>
            </w:pPr>
            <w:r>
              <w:rPr>
                <w:sz w:val="21"/>
              </w:rPr>
              <w:t>Magdalena - S. Andrés</w:t>
            </w:r>
          </w:p>
        </w:tc>
        <w:tc>
          <w:tcPr>
            <w:tcW w:w="1381" w:type="dxa"/>
            <w:tcBorders>
              <w:top w:val="single" w:sz="6" w:space="0" w:color="000000"/>
              <w:bottom w:val="single" w:sz="6" w:space="0" w:color="000000"/>
            </w:tcBorders>
          </w:tcPr>
          <w:p>
            <w:pPr>
              <w:pStyle w:val="TableParagraph"/>
              <w:rPr>
                <w:rFonts w:ascii="Calibri"/>
                <w:sz w:val="26"/>
              </w:rPr>
            </w:pPr>
          </w:p>
          <w:p>
            <w:pPr>
              <w:pStyle w:val="TableParagraph"/>
              <w:spacing w:before="212"/>
              <w:ind w:left="78"/>
              <w:rPr>
                <w:sz w:val="21"/>
              </w:rPr>
            </w:pPr>
            <w:r>
              <w:rPr>
                <w:sz w:val="21"/>
              </w:rPr>
              <w:t>16.50 Km.</w:t>
            </w:r>
          </w:p>
        </w:tc>
        <w:tc>
          <w:tcPr>
            <w:tcW w:w="1986" w:type="dxa"/>
            <w:tcBorders>
              <w:top w:val="single" w:sz="6" w:space="0" w:color="000000"/>
              <w:bottom w:val="single" w:sz="6" w:space="0" w:color="000000"/>
            </w:tcBorders>
          </w:tcPr>
          <w:p>
            <w:pPr>
              <w:pStyle w:val="TableParagraph"/>
              <w:rPr>
                <w:rFonts w:ascii="Calibri"/>
                <w:sz w:val="26"/>
              </w:rPr>
            </w:pPr>
          </w:p>
          <w:p>
            <w:pPr>
              <w:pStyle w:val="TableParagraph"/>
              <w:spacing w:before="212"/>
              <w:ind w:left="78"/>
              <w:rPr>
                <w:sz w:val="21"/>
              </w:rPr>
            </w:pPr>
            <w:r>
              <w:rPr>
                <w:sz w:val="21"/>
              </w:rPr>
              <w:t>Lomerío suave.</w:t>
            </w:r>
          </w:p>
        </w:tc>
        <w:tc>
          <w:tcPr>
            <w:tcW w:w="2836" w:type="dxa"/>
            <w:tcBorders>
              <w:top w:val="single" w:sz="48" w:space="0" w:color="FFFFFF"/>
              <w:bottom w:val="single" w:sz="6" w:space="0" w:color="000000"/>
            </w:tcBorders>
          </w:tcPr>
          <w:p>
            <w:pPr>
              <w:pStyle w:val="TableParagraph"/>
              <w:rPr>
                <w:rFonts w:ascii="Calibri"/>
                <w:sz w:val="26"/>
              </w:rPr>
            </w:pPr>
          </w:p>
          <w:p>
            <w:pPr>
              <w:pStyle w:val="TableParagraph"/>
              <w:spacing w:before="212"/>
              <w:ind w:left="79" w:right="211"/>
              <w:rPr>
                <w:sz w:val="21"/>
              </w:rPr>
            </w:pPr>
            <w:r>
              <w:rPr>
                <w:sz w:val="21"/>
              </w:rPr>
              <w:t>2 carriles con pavimento asfaltico.</w:t>
            </w:r>
          </w:p>
        </w:tc>
        <w:tc>
          <w:tcPr>
            <w:tcW w:w="1136" w:type="dxa"/>
            <w:tcBorders>
              <w:top w:val="single" w:sz="6" w:space="0" w:color="000000"/>
              <w:bottom w:val="single" w:sz="6" w:space="0" w:color="000000"/>
            </w:tcBorders>
          </w:tcPr>
          <w:p>
            <w:pPr>
              <w:pStyle w:val="TableParagraph"/>
              <w:rPr>
                <w:rFonts w:ascii="Calibri"/>
                <w:sz w:val="26"/>
              </w:rPr>
            </w:pPr>
          </w:p>
          <w:p>
            <w:pPr>
              <w:pStyle w:val="TableParagraph"/>
              <w:spacing w:before="212"/>
              <w:ind w:left="78" w:right="314"/>
              <w:rPr>
                <w:sz w:val="21"/>
              </w:rPr>
            </w:pPr>
            <w:r>
              <w:rPr>
                <w:sz w:val="21"/>
              </w:rPr>
              <w:t>Mal estado</w:t>
            </w:r>
          </w:p>
        </w:tc>
      </w:tr>
      <w:tr>
        <w:trPr>
          <w:trHeight w:val="1148" w:hRule="atLeast"/>
        </w:trPr>
        <w:tc>
          <w:tcPr>
            <w:tcW w:w="1822" w:type="dxa"/>
            <w:tcBorders>
              <w:top w:val="single" w:sz="6" w:space="0" w:color="000000"/>
              <w:bottom w:val="single" w:sz="6" w:space="0" w:color="000000"/>
            </w:tcBorders>
          </w:tcPr>
          <w:p>
            <w:pPr>
              <w:pStyle w:val="TableParagraph"/>
              <w:rPr>
                <w:rFonts w:ascii="Calibri"/>
                <w:sz w:val="26"/>
              </w:rPr>
            </w:pPr>
          </w:p>
          <w:p>
            <w:pPr>
              <w:pStyle w:val="TableParagraph"/>
              <w:spacing w:before="10"/>
              <w:rPr>
                <w:rFonts w:ascii="Calibri"/>
                <w:sz w:val="19"/>
              </w:rPr>
            </w:pPr>
          </w:p>
          <w:p>
            <w:pPr>
              <w:pStyle w:val="TableParagraph"/>
              <w:ind w:left="81" w:right="69"/>
              <w:rPr>
                <w:sz w:val="21"/>
              </w:rPr>
            </w:pPr>
            <w:r>
              <w:rPr>
                <w:sz w:val="21"/>
              </w:rPr>
              <w:t>Magdalena - La Joya.</w:t>
            </w:r>
          </w:p>
        </w:tc>
        <w:tc>
          <w:tcPr>
            <w:tcW w:w="1381" w:type="dxa"/>
            <w:tcBorders>
              <w:top w:val="single" w:sz="6" w:space="0" w:color="000000"/>
              <w:bottom w:val="single" w:sz="6" w:space="0" w:color="000000"/>
            </w:tcBorders>
          </w:tcPr>
          <w:p>
            <w:pPr>
              <w:pStyle w:val="TableParagraph"/>
              <w:rPr>
                <w:rFonts w:ascii="Calibri"/>
                <w:sz w:val="26"/>
              </w:rPr>
            </w:pPr>
          </w:p>
          <w:p>
            <w:pPr>
              <w:pStyle w:val="TableParagraph"/>
              <w:spacing w:before="10"/>
              <w:rPr>
                <w:rFonts w:ascii="Calibri"/>
                <w:sz w:val="19"/>
              </w:rPr>
            </w:pPr>
          </w:p>
          <w:p>
            <w:pPr>
              <w:pStyle w:val="TableParagraph"/>
              <w:ind w:left="78"/>
              <w:rPr>
                <w:sz w:val="21"/>
              </w:rPr>
            </w:pPr>
            <w:r>
              <w:rPr>
                <w:sz w:val="21"/>
              </w:rPr>
              <w:t>6.50 Km.</w:t>
            </w:r>
          </w:p>
        </w:tc>
        <w:tc>
          <w:tcPr>
            <w:tcW w:w="1986" w:type="dxa"/>
            <w:tcBorders>
              <w:top w:val="single" w:sz="6" w:space="0" w:color="000000"/>
              <w:bottom w:val="single" w:sz="6" w:space="0" w:color="000000"/>
            </w:tcBorders>
          </w:tcPr>
          <w:p>
            <w:pPr>
              <w:pStyle w:val="TableParagraph"/>
              <w:rPr>
                <w:rFonts w:ascii="Calibri"/>
                <w:sz w:val="26"/>
              </w:rPr>
            </w:pPr>
          </w:p>
          <w:p>
            <w:pPr>
              <w:pStyle w:val="TableParagraph"/>
              <w:spacing w:before="10"/>
              <w:rPr>
                <w:rFonts w:ascii="Calibri"/>
                <w:sz w:val="19"/>
              </w:rPr>
            </w:pPr>
          </w:p>
          <w:p>
            <w:pPr>
              <w:pStyle w:val="TableParagraph"/>
              <w:ind w:left="78"/>
              <w:rPr>
                <w:sz w:val="21"/>
              </w:rPr>
            </w:pPr>
            <w:r>
              <w:rPr>
                <w:sz w:val="21"/>
              </w:rPr>
              <w:t>Lomerío.</w:t>
            </w:r>
          </w:p>
        </w:tc>
        <w:tc>
          <w:tcPr>
            <w:tcW w:w="2836" w:type="dxa"/>
            <w:tcBorders>
              <w:top w:val="single" w:sz="6" w:space="0" w:color="000000"/>
              <w:bottom w:val="single" w:sz="6" w:space="0" w:color="000000"/>
            </w:tcBorders>
          </w:tcPr>
          <w:p>
            <w:pPr>
              <w:pStyle w:val="TableParagraph"/>
              <w:rPr>
                <w:rFonts w:ascii="Calibri"/>
                <w:sz w:val="26"/>
              </w:rPr>
            </w:pPr>
          </w:p>
          <w:p>
            <w:pPr>
              <w:pStyle w:val="TableParagraph"/>
              <w:spacing w:before="10"/>
              <w:rPr>
                <w:rFonts w:ascii="Calibri"/>
                <w:sz w:val="19"/>
              </w:rPr>
            </w:pPr>
          </w:p>
          <w:p>
            <w:pPr>
              <w:pStyle w:val="TableParagraph"/>
              <w:ind w:left="79" w:right="211"/>
              <w:rPr>
                <w:sz w:val="21"/>
              </w:rPr>
            </w:pPr>
            <w:r>
              <w:rPr>
                <w:sz w:val="21"/>
              </w:rPr>
              <w:t>2 carriles con pavimento asfaltico.</w:t>
            </w:r>
          </w:p>
        </w:tc>
        <w:tc>
          <w:tcPr>
            <w:tcW w:w="1136" w:type="dxa"/>
            <w:tcBorders>
              <w:top w:val="single" w:sz="6" w:space="0" w:color="000000"/>
              <w:bottom w:val="single" w:sz="6" w:space="0" w:color="000000"/>
            </w:tcBorders>
          </w:tcPr>
          <w:p>
            <w:pPr>
              <w:pStyle w:val="TableParagraph"/>
              <w:rPr>
                <w:rFonts w:ascii="Calibri"/>
                <w:sz w:val="26"/>
              </w:rPr>
            </w:pPr>
          </w:p>
          <w:p>
            <w:pPr>
              <w:pStyle w:val="TableParagraph"/>
              <w:spacing w:before="10"/>
              <w:rPr>
                <w:rFonts w:ascii="Calibri"/>
                <w:sz w:val="19"/>
              </w:rPr>
            </w:pPr>
          </w:p>
          <w:p>
            <w:pPr>
              <w:pStyle w:val="TableParagraph"/>
              <w:ind w:left="78"/>
              <w:rPr>
                <w:sz w:val="21"/>
              </w:rPr>
            </w:pPr>
            <w:r>
              <w:rPr>
                <w:sz w:val="21"/>
              </w:rPr>
              <w:t>Bueno</w:t>
            </w:r>
          </w:p>
        </w:tc>
      </w:tr>
    </w:tbl>
    <w:p>
      <w:pPr>
        <w:pStyle w:val="BodyText"/>
        <w:rPr>
          <w:rFonts w:ascii="Calibri"/>
          <w:sz w:val="20"/>
        </w:rPr>
      </w:pPr>
    </w:p>
    <w:p>
      <w:pPr>
        <w:pStyle w:val="BodyText"/>
        <w:spacing w:before="4"/>
        <w:rPr>
          <w:rFonts w:ascii="Calibri"/>
          <w:sz w:val="16"/>
        </w:rPr>
      </w:pPr>
    </w:p>
    <w:p>
      <w:pPr>
        <w:pStyle w:val="Heading2"/>
        <w:spacing w:before="50"/>
      </w:pPr>
      <w:r>
        <w:rPr/>
        <w:t>Ferrocarril</w:t>
      </w:r>
    </w:p>
    <w:p>
      <w:pPr>
        <w:pStyle w:val="BodyText"/>
        <w:spacing w:line="276" w:lineRule="auto" w:before="202"/>
        <w:ind w:left="901" w:right="1155"/>
        <w:jc w:val="both"/>
      </w:pPr>
      <w:r>
        <w:rPr/>
        <w:t>Magdalena, fue el punto donde conectaron, en el poblado de La Quemada, las construcciones de las líneas férreas que venían del norte del país y las que se desplazaban en sentido contrario, de norte a sur, Nogales; Sonora y Guadalajara; Jalisco, disfrutó por muchos años del servicio de pasajeros, que si bien perdió su edificio que operaba como estación en la población de Magdalena, a raíz de la huelga de ferrocarrileros de los años 50s. Injustamente para la población, el arribo por este medio de transporte se siguió dando con regularidad en la Estación del poblado de La Quemada, donde expendían boletos, se recibía y se enviaba carga, a los diferentes destinos que ofrecía en ese momento el ferrocarril, entonces FERROCARRIL DEL PACÍFICO.</w:t>
      </w:r>
    </w:p>
    <w:p>
      <w:pPr>
        <w:pStyle w:val="BodyText"/>
        <w:spacing w:before="5"/>
        <w:rPr>
          <w:sz w:val="25"/>
        </w:rPr>
      </w:pPr>
    </w:p>
    <w:p>
      <w:pPr>
        <w:pStyle w:val="BodyText"/>
        <w:spacing w:line="276" w:lineRule="auto"/>
        <w:ind w:left="901" w:right="1154"/>
        <w:jc w:val="both"/>
      </w:pPr>
      <w:r>
        <w:rPr/>
        <w:t>Si bien en Magdalena, también se podía abordar, no obstante, las condiciones para hacerlo eran de mala calidad, ya que lo que quedó como estación, no tenía sala de espera, no había venta de boletos, los pisos eran de tierra y grava, es decir; no se tenían espacios cementados para abordar los trenes, y, por consiguiente, en ocasiones no era seguro que el tren hiciera la parada correspondiente.</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156"/>
        <w:jc w:val="both"/>
      </w:pPr>
      <w:r>
        <w:rPr/>
        <w:t>Con la venta de los Ferrocarriles, se acabó también en Magdalena un importante sector de trabajadores, al cerrarse su fuente de trabajo, y definitivamente vino muy pronto la cancelación del servicio; aproximadamente a mitad de la década de los años 90s, este medio de transporte popular principalmente, terminó.</w:t>
      </w:r>
    </w:p>
    <w:p>
      <w:pPr>
        <w:pStyle w:val="BodyText"/>
        <w:spacing w:before="3"/>
        <w:rPr>
          <w:sz w:val="25"/>
        </w:rPr>
      </w:pPr>
    </w:p>
    <w:p>
      <w:pPr>
        <w:pStyle w:val="BodyText"/>
        <w:spacing w:line="278" w:lineRule="auto"/>
        <w:ind w:left="901" w:right="1156"/>
        <w:jc w:val="both"/>
      </w:pPr>
      <w:r>
        <w:rPr/>
        <w:t>Actualmente solo existe el servicio de transporte de carga que presta la nueva empresa y solo funciona en La Estación de La Quemada.</w:t>
      </w:r>
    </w:p>
    <w:p>
      <w:pPr>
        <w:pStyle w:val="BodyText"/>
        <w:spacing w:before="4"/>
        <w:rPr>
          <w:sz w:val="23"/>
        </w:rPr>
      </w:pPr>
    </w:p>
    <w:p>
      <w:pPr>
        <w:pStyle w:val="Heading2"/>
      </w:pPr>
      <w:r>
        <w:rPr/>
        <w:t>Turismo</w:t>
      </w:r>
    </w:p>
    <w:p>
      <w:pPr>
        <w:pStyle w:val="BodyText"/>
        <w:spacing w:before="1"/>
        <w:rPr>
          <w:rFonts w:ascii="Corbel"/>
          <w:b/>
          <w:sz w:val="28"/>
        </w:rPr>
      </w:pPr>
    </w:p>
    <w:p>
      <w:pPr>
        <w:pStyle w:val="Heading3"/>
        <w:spacing w:line="276" w:lineRule="auto"/>
        <w:ind w:right="1155"/>
        <w:jc w:val="both"/>
      </w:pPr>
      <w:r>
        <w:rPr/>
        <w:t>Magdalena, no ha explotado las posibilidades turísticas que posee y que son variadas; Sus potencialidades se han desaprovechado, por falta de propuestas, proyectos e inversionistas que den vida a los mismos; es por ello que, en el diagnóstico relativo al tema, trataremos de localizar todas esas potencialidades existentes, con el fin de promoverlas y de impulsarlas, seguros de que representarán avances en el mejoramiento de vida de los habitantes del municipio.</w:t>
      </w:r>
    </w:p>
    <w:p>
      <w:pPr>
        <w:pStyle w:val="BodyText"/>
        <w:spacing w:before="4"/>
        <w:rPr>
          <w:sz w:val="27"/>
        </w:rPr>
      </w:pPr>
    </w:p>
    <w:p>
      <w:pPr>
        <w:pStyle w:val="Heading2"/>
      </w:pPr>
      <w:r>
        <w:rPr/>
        <w:t>Turismo de montaña</w:t>
      </w:r>
    </w:p>
    <w:p>
      <w:pPr>
        <w:pStyle w:val="BodyText"/>
        <w:spacing w:before="6"/>
        <w:rPr>
          <w:rFonts w:ascii="Corbel"/>
          <w:b/>
          <w:sz w:val="25"/>
        </w:rPr>
      </w:pPr>
    </w:p>
    <w:p>
      <w:pPr>
        <w:pStyle w:val="BodyText"/>
        <w:spacing w:line="276" w:lineRule="auto" w:before="1"/>
        <w:ind w:left="901" w:right="1153"/>
        <w:jc w:val="both"/>
      </w:pPr>
      <w:r>
        <w:rPr/>
        <w:t>Rico en paisajes y bosques de pino, roble, cedro, etc. el Cerro Viejo o de Magdalena, es un lugar muy atractivo, con vistas preciosas hacia los valles, con un olor a pino exquisito, con un potencial para la construcción de alojamientos turísticos y de descanso, que por su cercanía con Guadalajara, sea un destino para el descanso familiar. Sin embargo, para ello, el municipio debiera proveer los servicios básicos en estas zonas, lo que representaría una inversión importante en líneas de energía eléctrica y redes de agua potable y alcantarillado.</w:t>
      </w:r>
    </w:p>
    <w:p>
      <w:pPr>
        <w:pStyle w:val="BodyText"/>
        <w:spacing w:before="4"/>
        <w:rPr>
          <w:sz w:val="25"/>
        </w:rPr>
      </w:pPr>
    </w:p>
    <w:p>
      <w:pPr>
        <w:pStyle w:val="BodyText"/>
        <w:spacing w:line="276" w:lineRule="auto"/>
        <w:ind w:left="901" w:right="1155"/>
        <w:jc w:val="both"/>
      </w:pPr>
      <w:r>
        <w:rPr/>
        <w:t>Similares condiciones se podrían encontrar en las sierras de San Andrés y del Huajical, que pudiesen por igual ser transformadas en atractivos turísticos o habitacionales.</w:t>
      </w:r>
    </w:p>
    <w:p>
      <w:pPr>
        <w:pStyle w:val="BodyText"/>
        <w:spacing w:before="1"/>
        <w:rPr>
          <w:sz w:val="25"/>
        </w:rPr>
      </w:pPr>
    </w:p>
    <w:p>
      <w:pPr>
        <w:pStyle w:val="Heading2"/>
        <w:spacing w:before="1"/>
      </w:pPr>
      <w:r>
        <w:rPr/>
        <w:t>Lagunas y embalses</w:t>
      </w:r>
    </w:p>
    <w:p>
      <w:pPr>
        <w:pStyle w:val="BodyText"/>
        <w:spacing w:before="2"/>
        <w:rPr>
          <w:rFonts w:ascii="Corbel"/>
          <w:b/>
          <w:sz w:val="24"/>
        </w:rPr>
      </w:pPr>
    </w:p>
    <w:p>
      <w:pPr>
        <w:pStyle w:val="BodyText"/>
        <w:spacing w:line="276" w:lineRule="auto"/>
        <w:ind w:left="901" w:right="1155"/>
        <w:jc w:val="both"/>
      </w:pPr>
      <w:r>
        <w:rPr/>
        <w:t>Lo que aún queda de laguna, el Bordo del Trigo, tiene un potencial enorme para transformarse en un atractivo acuático, tanto para la pesca, como para posibles deportes de vela, ya que el viento que sopla en su entorno alcanza una excelente velocidad. Este potencial turístico desde luego requiere de trabajo e inversión, para transformarlo en un recito donde las aves migratorias encuentren el lugar que por siglos han tenido, principalmente el pato canadiense, las garzas, los pelícanos, etc. que lo han visitado desde tiempo inmemorial.</w:t>
      </w:r>
    </w:p>
    <w:p>
      <w:pPr>
        <w:spacing w:after="0" w:line="276" w:lineRule="auto"/>
        <w:jc w:val="both"/>
        <w:sectPr>
          <w:pgSz w:w="12240" w:h="15840"/>
          <w:pgMar w:header="178" w:footer="1179" w:top="1120" w:bottom="1360" w:left="460" w:right="220"/>
        </w:sectPr>
      </w:pPr>
    </w:p>
    <w:p>
      <w:pPr>
        <w:pStyle w:val="BodyText"/>
        <w:rPr>
          <w:sz w:val="20"/>
        </w:rPr>
      </w:pPr>
    </w:p>
    <w:p>
      <w:pPr>
        <w:pStyle w:val="BodyText"/>
        <w:rPr>
          <w:sz w:val="20"/>
        </w:rPr>
      </w:pPr>
    </w:p>
    <w:p>
      <w:pPr>
        <w:pStyle w:val="BodyText"/>
        <w:spacing w:before="3"/>
        <w:rPr>
          <w:sz w:val="18"/>
        </w:rPr>
      </w:pPr>
    </w:p>
    <w:p>
      <w:pPr>
        <w:pStyle w:val="BodyText"/>
        <w:spacing w:line="276" w:lineRule="auto" w:before="101"/>
        <w:ind w:left="901" w:right="1155"/>
        <w:jc w:val="both"/>
      </w:pPr>
      <w:r>
        <w:rPr/>
        <w:t>Producto de los años, los azolves lo han mermado notoriamente, por lo que deberá hacerse un enorme esfuerzo para profundizarlo y elevar su cortina, así como para generar espacios en donde pudiesen instalarse restaurantes, terrazas, zonas de artesanías, centros de recreación culturales, y algunas zonas para avistamiento de aves, etc.</w:t>
      </w:r>
    </w:p>
    <w:p>
      <w:pPr>
        <w:pStyle w:val="BodyText"/>
        <w:spacing w:before="10"/>
        <w:rPr>
          <w:sz w:val="23"/>
        </w:rPr>
      </w:pPr>
    </w:p>
    <w:p>
      <w:pPr>
        <w:pStyle w:val="Heading2"/>
        <w:spacing w:before="1"/>
      </w:pPr>
      <w:r>
        <w:rPr/>
        <w:t>Haciendas</w:t>
      </w:r>
    </w:p>
    <w:p>
      <w:pPr>
        <w:pStyle w:val="BodyText"/>
        <w:spacing w:before="1"/>
        <w:rPr>
          <w:rFonts w:ascii="Corbel"/>
          <w:b/>
          <w:sz w:val="24"/>
        </w:rPr>
      </w:pPr>
    </w:p>
    <w:p>
      <w:pPr>
        <w:pStyle w:val="BodyText"/>
        <w:spacing w:line="276" w:lineRule="auto" w:before="1"/>
        <w:ind w:left="901" w:right="1157"/>
        <w:jc w:val="both"/>
      </w:pPr>
      <w:r>
        <w:rPr/>
        <w:t>Dignas de arquitectura, son las HACIENDAS que en el municipio se construyeron hace ya muchos años, las cuales, aun guardan un rico legado arquitectónico, que a diario se destruye, a pedazos, poco a poco, sin que se haga mucho por rescatarlas.</w:t>
      </w:r>
    </w:p>
    <w:p>
      <w:pPr>
        <w:pStyle w:val="BodyText"/>
        <w:spacing w:before="4"/>
        <w:rPr>
          <w:sz w:val="25"/>
        </w:rPr>
      </w:pPr>
    </w:p>
    <w:p>
      <w:pPr>
        <w:pStyle w:val="BodyText"/>
        <w:spacing w:line="276" w:lineRule="auto"/>
        <w:ind w:left="901" w:right="1155"/>
        <w:jc w:val="both"/>
      </w:pPr>
      <w:r>
        <w:rPr/>
        <w:t>Salvo la muy honrosa excepción de la Hacienda de San Andrés, cuyos propietarios se han preocupado notablemente por conservarla, y le han regresado su fisonomía y su grandeza, digna de visitarse y de conocerse, atractiva sin duda para el turismo local, estatal y nacional, no se ha trabajado en ella para transformarla en ese foco de atención que puede ser, centro de reuniones, de fiestas, de eventos de gran clase que den satisfacción a quienes los realizan y dividendos económicos a sus propietarios.</w:t>
      </w:r>
    </w:p>
    <w:p>
      <w:pPr>
        <w:pStyle w:val="BodyText"/>
        <w:spacing w:before="2"/>
        <w:rPr>
          <w:sz w:val="25"/>
        </w:rPr>
      </w:pPr>
    </w:p>
    <w:p>
      <w:pPr>
        <w:pStyle w:val="BodyText"/>
        <w:spacing w:line="276" w:lineRule="auto"/>
        <w:ind w:left="901" w:right="1154"/>
        <w:jc w:val="both"/>
      </w:pPr>
      <w:r>
        <w:rPr/>
        <w:t>Lejos de ésta buena suerte se encuentran las Haciendas de La Quemada, Ojo Zarco y Huitzizilapa, por los rumbos del oriente, poniente y suroeste del Municipio, cuyos cascos señoriales, aún subsisten, sin embargo, sucumben día a día ante el abandono y ante la imposibilidad de sus moradores para restaurarlas o por lo menos evitar que se sigan viniendo abajo.</w:t>
      </w:r>
    </w:p>
    <w:p>
      <w:pPr>
        <w:pStyle w:val="BodyText"/>
        <w:spacing w:before="5"/>
        <w:rPr>
          <w:sz w:val="25"/>
        </w:rPr>
      </w:pPr>
    </w:p>
    <w:p>
      <w:pPr>
        <w:pStyle w:val="BodyText"/>
        <w:spacing w:line="276" w:lineRule="auto"/>
        <w:ind w:left="901" w:right="1155"/>
        <w:jc w:val="both"/>
      </w:pPr>
      <w:r>
        <w:rPr/>
        <w:t>Peor suerte, han corrido las Haciendas de Santa María, San Simón, San Antonio de los Guevara, Santa Fe, de las que ya solo quedan las huellas de algunas canteras labradas, de algunas bardas de adobe, de algún contrafuerte, de algún fortín aun señorial, y de otras ya ni el recuerdo.</w:t>
      </w:r>
    </w:p>
    <w:p>
      <w:pPr>
        <w:pStyle w:val="BodyText"/>
        <w:spacing w:before="3"/>
        <w:rPr>
          <w:sz w:val="25"/>
        </w:rPr>
      </w:pPr>
    </w:p>
    <w:p>
      <w:pPr>
        <w:pStyle w:val="BodyText"/>
        <w:spacing w:line="276" w:lineRule="auto"/>
        <w:ind w:left="901" w:right="1155"/>
        <w:jc w:val="both"/>
      </w:pPr>
      <w:r>
        <w:rPr/>
        <w:t>Tal vez en la mente y en el recuerdo de algunas personas que estén viviendo una muy larga vida, aun quede en ellas, un resquicio de su pasado que pueda rescatarse y ser motivo de atracción para invitar a los turistas y darlo a conocer a los niños y jóvenes de las presentes generaciones.</w:t>
      </w:r>
    </w:p>
    <w:p>
      <w:pPr>
        <w:pStyle w:val="BodyText"/>
        <w:spacing w:before="4"/>
        <w:rPr>
          <w:sz w:val="25"/>
        </w:rPr>
      </w:pPr>
    </w:p>
    <w:p>
      <w:pPr>
        <w:pStyle w:val="BodyText"/>
        <w:spacing w:line="276" w:lineRule="auto"/>
        <w:ind w:left="901" w:right="1155"/>
        <w:jc w:val="both"/>
      </w:pPr>
      <w:r>
        <w:rPr/>
        <w:t>Así, por ejemplo, Santa María, conserva las viejas tinajas de fermentación de los Tequilas, cavadas en la roca viva de cantera, algunas columnas, su clima ideal, su vista al valle generosa.</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155"/>
        <w:jc w:val="both"/>
      </w:pPr>
      <w:r>
        <w:rPr/>
        <w:t>San Simón, aunque perdió ya su ingreso majestuoso en el que descollaron enormes árboles a los lados de su entrada principal, aún conserva un aire campirano digno </w:t>
      </w:r>
      <w:r>
        <w:rPr>
          <w:spacing w:val="-3"/>
        </w:rPr>
        <w:t>de </w:t>
      </w:r>
      <w:r>
        <w:rPr/>
        <w:t>vivirse, su cercanía a las minas que tanta fama le dieran, de la Hacienda de San Antonio de Los Guevara, ya no queda casi nada, si acaso unas viejas tapias y unos cimientos de piedras que se</w:t>
      </w:r>
      <w:r>
        <w:rPr>
          <w:spacing w:val="-4"/>
        </w:rPr>
        <w:t> </w:t>
      </w:r>
      <w:r>
        <w:rPr/>
        <w:t>desgranan.</w:t>
      </w:r>
    </w:p>
    <w:p>
      <w:pPr>
        <w:pStyle w:val="BodyText"/>
        <w:spacing w:before="5"/>
        <w:rPr>
          <w:sz w:val="25"/>
        </w:rPr>
      </w:pPr>
    </w:p>
    <w:p>
      <w:pPr>
        <w:pStyle w:val="BodyText"/>
        <w:spacing w:line="276" w:lineRule="auto"/>
        <w:ind w:left="901" w:right="1155"/>
        <w:jc w:val="both"/>
      </w:pPr>
      <w:r>
        <w:rPr/>
        <w:t>El Gobierno del Estado de Jalisco, tiene en estos momentos, algunos programas para el rescate de fincas y haciendas de valor patrimonial, relacionados con la conservación y reutilización de los edificios patrimoniales con fines turísticos, solo falta que se busque aterrizarlos en los innumerables edificios de esta naturaleza que se ubican por todo el territorio municipal.</w:t>
      </w:r>
    </w:p>
    <w:p>
      <w:pPr>
        <w:pStyle w:val="BodyText"/>
        <w:spacing w:before="8"/>
        <w:rPr>
          <w:sz w:val="23"/>
        </w:rPr>
      </w:pPr>
    </w:p>
    <w:p>
      <w:pPr>
        <w:pStyle w:val="Heading2"/>
        <w:jc w:val="both"/>
      </w:pPr>
      <w:r>
        <w:rPr/>
        <w:t>Templos y capillas</w:t>
      </w:r>
    </w:p>
    <w:p>
      <w:pPr>
        <w:pStyle w:val="BodyText"/>
        <w:spacing w:before="2"/>
        <w:rPr>
          <w:rFonts w:ascii="Corbel"/>
          <w:b/>
          <w:sz w:val="24"/>
        </w:rPr>
      </w:pPr>
    </w:p>
    <w:p>
      <w:pPr>
        <w:pStyle w:val="BodyText"/>
        <w:spacing w:line="276" w:lineRule="auto" w:before="1"/>
        <w:ind w:left="901" w:right="1156"/>
        <w:jc w:val="both"/>
      </w:pPr>
      <w:r>
        <w:rPr/>
        <w:t>Templos y capillas, siguen siendo un atractivo para la población, hace falta difundir más su vida, milagros, historia y resaltar sus atractivos, para que sean punto de destino de los viajeros que, con carácter religioso, recorren las ciudades y los pueblos, entre ellos y por su orden de importancia mencionaremos con algunas de sus principales características los siguientes:</w:t>
      </w:r>
    </w:p>
    <w:p>
      <w:pPr>
        <w:pStyle w:val="BodyText"/>
        <w:spacing w:before="2"/>
        <w:rPr>
          <w:sz w:val="25"/>
        </w:rPr>
      </w:pPr>
    </w:p>
    <w:p>
      <w:pPr>
        <w:pStyle w:val="BodyText"/>
        <w:spacing w:line="276" w:lineRule="auto"/>
        <w:ind w:left="901" w:right="1154"/>
        <w:jc w:val="both"/>
      </w:pPr>
      <w:r>
        <w:rPr/>
        <w:t>Templo del Señor de los Milagros. El templo y el curato de Santa María Magdalena de Xochitepec, se ubica en el centro del municipio, es el corazón del mismo, en su entorno, se fundó la población, allá por el año de 1594, cuando los franciscanos establecieron el templo y el convento, templo de una sola nave, típica fundación franciscana, donde la mano indígena se manifiesta en las ornamentaciones con motivos vegetales que adornan y conforman el retablo de su portada principal, sus esculturas y símbolos que reflejaron el sentir del indio que los construyó, templo que si bien ha sido alterado en su estructura original, al agregarle crucero y desde el siglo XIX modificar su torre, no por ello ha perdido vigor y majestuosidad, digno de ser visitado, hogar del Señor de los Milagros, cuya historia es grande y digna de contarse.</w:t>
      </w:r>
    </w:p>
    <w:p>
      <w:pPr>
        <w:pStyle w:val="BodyText"/>
        <w:rPr>
          <w:sz w:val="26"/>
        </w:rPr>
      </w:pPr>
    </w:p>
    <w:p>
      <w:pPr>
        <w:pStyle w:val="BodyText"/>
        <w:spacing w:line="276" w:lineRule="auto" w:before="194"/>
        <w:ind w:left="901" w:right="1155"/>
        <w:jc w:val="both"/>
      </w:pPr>
      <w:r>
        <w:rPr/>
        <w:t>Capilla de la Purísima. La capilla de la purísima, al lado norte del templo del Señor de los Milagros, en Magdalena, es la construcción más antigua en el ámbito religioso del municipio, data de los años finales del siglo XVI. Reconstruidas sus bóvedas por don Félix</w:t>
      </w:r>
    </w:p>
    <w:p>
      <w:pPr>
        <w:pStyle w:val="BodyText"/>
        <w:spacing w:line="278" w:lineRule="auto"/>
        <w:ind w:left="901" w:right="1156"/>
        <w:jc w:val="both"/>
      </w:pPr>
      <w:r>
        <w:rPr/>
        <w:t>M. Martínez, cuenta con un coro y un altar principal excelentes. Su torre, da sitio al Reloj de Magdalena, y es un lugar digno de visitar.</w:t>
      </w:r>
    </w:p>
    <w:p>
      <w:pPr>
        <w:pStyle w:val="Heading3"/>
        <w:spacing w:line="276" w:lineRule="auto" w:before="195"/>
        <w:ind w:right="1154"/>
        <w:jc w:val="both"/>
      </w:pPr>
      <w:r>
        <w:rPr/>
        <w:t>Templo de san Andrés. En el poblado de su nombre, al poniente de Magdalena, con un anexo de curato y huerta, conserva aún todo el esplendor de su pasado, pequeño, adecuado a la comunidad a que sirvió, y sirve aun, joya</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4"/>
        <w:rPr>
          <w:sz w:val="21"/>
        </w:rPr>
      </w:pPr>
    </w:p>
    <w:p>
      <w:pPr>
        <w:pStyle w:val="Heading3"/>
        <w:spacing w:line="276" w:lineRule="auto" w:before="1"/>
        <w:ind w:right="1156"/>
        <w:jc w:val="both"/>
      </w:pPr>
      <w:r>
        <w:rPr/>
        <w:t>arquitectónica, obra de arte que debe preservarse y conservarse lo mejor posible en su estado</w:t>
      </w:r>
      <w:r>
        <w:rPr>
          <w:spacing w:val="-3"/>
        </w:rPr>
        <w:t> </w:t>
      </w:r>
      <w:r>
        <w:rPr/>
        <w:t>original.</w:t>
      </w:r>
    </w:p>
    <w:p>
      <w:pPr>
        <w:pStyle w:val="BodyText"/>
        <w:spacing w:before="7"/>
        <w:rPr>
          <w:sz w:val="27"/>
        </w:rPr>
      </w:pPr>
    </w:p>
    <w:p>
      <w:pPr>
        <w:pStyle w:val="Heading3"/>
        <w:spacing w:line="276" w:lineRule="auto"/>
        <w:ind w:right="1155"/>
        <w:jc w:val="both"/>
      </w:pPr>
      <w:r>
        <w:rPr/>
        <w:t>Se localiza a un costado de la vieja Hacienda, de la que indudablemente formo parte frente a un enorme espacio-patio público, con un excelente empedrado que debe conservarse por su hermosa apariencia y a un costado de la plaza principal del</w:t>
      </w:r>
      <w:r>
        <w:rPr>
          <w:spacing w:val="2"/>
        </w:rPr>
        <w:t> </w:t>
      </w:r>
      <w:r>
        <w:rPr/>
        <w:t>lugar.</w:t>
      </w:r>
    </w:p>
    <w:p>
      <w:pPr>
        <w:pStyle w:val="BodyText"/>
        <w:spacing w:before="7"/>
        <w:rPr>
          <w:sz w:val="27"/>
        </w:rPr>
      </w:pPr>
    </w:p>
    <w:p>
      <w:pPr>
        <w:pStyle w:val="Heading3"/>
        <w:spacing w:line="276" w:lineRule="auto"/>
        <w:ind w:right="1155"/>
        <w:jc w:val="both"/>
      </w:pPr>
      <w:r>
        <w:rPr/>
        <w:t>Templo de san Antonio. El templo de San Antonio en el poblado de La Quemada, fue construido sobre lo que hace muchos años constituyó un trapiche de la vieja Hacienda de San Antonio, aun se pueden ver en su sótano las bocas de hornos, en una parte de la Hacienda, por esas accesorias que fueran las trojes. Se localiza a la margen del arroyo del Huajical, frente a la plaza principal del</w:t>
      </w:r>
      <w:r>
        <w:rPr>
          <w:spacing w:val="2"/>
        </w:rPr>
        <w:t> </w:t>
      </w:r>
      <w:r>
        <w:rPr/>
        <w:t>lugar.</w:t>
      </w:r>
    </w:p>
    <w:p>
      <w:pPr>
        <w:pStyle w:val="BodyText"/>
        <w:spacing w:before="8"/>
        <w:rPr>
          <w:sz w:val="23"/>
        </w:rPr>
      </w:pPr>
    </w:p>
    <w:p>
      <w:pPr>
        <w:pStyle w:val="Heading2"/>
      </w:pPr>
      <w:r>
        <w:rPr/>
        <w:t>Casonas</w:t>
      </w:r>
    </w:p>
    <w:p>
      <w:pPr>
        <w:pStyle w:val="BodyText"/>
        <w:spacing w:before="2"/>
        <w:rPr>
          <w:rFonts w:ascii="Corbel"/>
          <w:b/>
          <w:sz w:val="24"/>
        </w:rPr>
      </w:pPr>
    </w:p>
    <w:p>
      <w:pPr>
        <w:pStyle w:val="BodyText"/>
        <w:spacing w:line="276" w:lineRule="auto"/>
        <w:ind w:left="901" w:right="1156"/>
        <w:jc w:val="both"/>
      </w:pPr>
      <w:r>
        <w:rPr/>
        <w:t>Dignas de mención son numerosas casonas de la época colonial, destacando entre ellas:</w:t>
      </w:r>
    </w:p>
    <w:p>
      <w:pPr>
        <w:pStyle w:val="BodyText"/>
        <w:spacing w:line="276" w:lineRule="auto" w:before="1"/>
        <w:ind w:left="901" w:right="1156"/>
        <w:jc w:val="both"/>
      </w:pPr>
      <w:r>
        <w:rPr/>
        <w:t>La casa Acevedo, construcción de patio central con arcadas por los 4 lados, en sus orígenes la Casa Grande en Magdalena, de la Hacienda de San Andrés, ubicada al sur de la plaza principal de Magdalena, con numerosas accesorias, y que hoy en día aún conserva buena parte de su grandeza.</w:t>
      </w:r>
    </w:p>
    <w:p>
      <w:pPr>
        <w:pStyle w:val="BodyText"/>
        <w:spacing w:before="4"/>
        <w:rPr>
          <w:sz w:val="25"/>
        </w:rPr>
      </w:pPr>
    </w:p>
    <w:p>
      <w:pPr>
        <w:pStyle w:val="BodyText"/>
        <w:spacing w:line="276" w:lineRule="auto"/>
        <w:ind w:left="901" w:right="1156"/>
        <w:jc w:val="both"/>
      </w:pPr>
      <w:r>
        <w:rPr/>
        <w:t>La casa colorada, ubicada también en el primer cuadro, frente a la Plaza Principal de Magdalena, originalmente casa de las minerías del rumbo de San Pedro Analco y al parecer también de la Hacienda de Santa María. Se construyó con su patio central, con 3 de sus lados con arcadas, se conserva en excelentes condiciones y su estructura está por igual con mínimas alteraciones y en muy buenas condiciones.</w:t>
      </w:r>
    </w:p>
    <w:p>
      <w:pPr>
        <w:pStyle w:val="BodyText"/>
        <w:spacing w:before="2"/>
        <w:rPr>
          <w:sz w:val="25"/>
        </w:rPr>
      </w:pPr>
    </w:p>
    <w:p>
      <w:pPr>
        <w:pStyle w:val="BodyText"/>
        <w:spacing w:line="276" w:lineRule="auto"/>
        <w:ind w:left="901" w:right="1155"/>
        <w:jc w:val="both"/>
      </w:pPr>
      <w:r>
        <w:rPr/>
        <w:t>La casa Ortiz, al norte de la Plaza principal, luego de muchos años de haber sido construida, su patio, aun cuando más pequeño que el de las dos anteriores, es muy digno, contaba con numerosas accesorias.</w:t>
      </w:r>
    </w:p>
    <w:p>
      <w:pPr>
        <w:pStyle w:val="BodyText"/>
        <w:spacing w:before="4"/>
        <w:rPr>
          <w:sz w:val="25"/>
        </w:rPr>
      </w:pPr>
    </w:p>
    <w:p>
      <w:pPr>
        <w:pStyle w:val="BodyText"/>
        <w:spacing w:line="276" w:lineRule="auto" w:before="1"/>
        <w:ind w:left="901" w:right="1152"/>
        <w:jc w:val="both"/>
      </w:pPr>
      <w:r>
        <w:rPr/>
        <w:t>La comunidad agraria de Magdalena, es parte de un edificio muy antiguo, que comprendía otras casas anexas, es por igual una construcción del siglo XVIII seguramente, que aún conserva algunos elementos arquitectónicos originales muy significativos, escalinatas, pisos, techos, muros de adobe, etc. Su conservación como testigo de la historia arquitectónica de Magdalena, es fundamental. Parte de ella, son los actuales billares Ochoa y la casa que fuera del Sr. Juan Ochoa M. Y un anexo más,</w:t>
      </w:r>
    </w:p>
    <w:p>
      <w:pPr>
        <w:spacing w:after="0" w:line="276" w:lineRule="auto"/>
        <w:jc w:val="both"/>
        <w:sectPr>
          <w:pgSz w:w="12240" w:h="15840"/>
          <w:pgMar w:header="178" w:footer="1179" w:top="1120" w:bottom="1360" w:left="460" w:right="220"/>
        </w:sectPr>
      </w:pPr>
    </w:p>
    <w:p>
      <w:pPr>
        <w:pStyle w:val="BodyText"/>
        <w:rPr>
          <w:sz w:val="20"/>
        </w:rPr>
      </w:pPr>
    </w:p>
    <w:p>
      <w:pPr>
        <w:pStyle w:val="BodyText"/>
        <w:spacing w:before="3"/>
        <w:rPr>
          <w:sz w:val="21"/>
        </w:rPr>
      </w:pPr>
    </w:p>
    <w:p>
      <w:pPr>
        <w:pStyle w:val="BodyText"/>
        <w:spacing w:line="276" w:lineRule="auto"/>
        <w:ind w:left="901" w:right="1435"/>
      </w:pPr>
      <w:r>
        <w:rPr/>
        <w:t>propiedad de la familia López Ochoa. Se localiza por la Av. Hidalgo al poniente y Nicolás Bravo al oriente, al norte la calle</w:t>
      </w:r>
      <w:r>
        <w:rPr>
          <w:spacing w:val="-7"/>
        </w:rPr>
        <w:t> </w:t>
      </w:r>
      <w:r>
        <w:rPr/>
        <w:t>México.</w:t>
      </w:r>
    </w:p>
    <w:p>
      <w:pPr>
        <w:pStyle w:val="BodyText"/>
        <w:spacing w:before="4"/>
        <w:rPr>
          <w:sz w:val="25"/>
        </w:rPr>
      </w:pPr>
    </w:p>
    <w:p>
      <w:pPr>
        <w:pStyle w:val="BodyText"/>
        <w:spacing w:line="276" w:lineRule="auto"/>
        <w:ind w:left="901" w:right="1145"/>
      </w:pPr>
      <w:r>
        <w:rPr/>
        <w:t>Otras casonas de menor importancia lo son, La casa del Sr. Rafael Guevara R., La Presidencia Municipal, La casa de la Srita. Cuca Hernández, La casa del Sr. Elpidio Leal, la casa de la familia Órnelas Meza y La Biblioteca Municipal José Dau, varias de ellas, ya en total transformación y con alteraciones sustanciales.</w:t>
      </w:r>
    </w:p>
    <w:p>
      <w:pPr>
        <w:pStyle w:val="BodyText"/>
        <w:spacing w:before="1"/>
        <w:rPr>
          <w:sz w:val="24"/>
        </w:rPr>
      </w:pPr>
    </w:p>
    <w:p>
      <w:pPr>
        <w:pStyle w:val="BodyText"/>
        <w:spacing w:line="276" w:lineRule="auto"/>
        <w:ind w:left="901" w:right="1156"/>
        <w:jc w:val="both"/>
      </w:pPr>
      <w:r>
        <w:rPr/>
        <w:t>LA PLAZA PRINCIPAL DE MAGDALENA, es un lugar atractivo para disfrutar la frescura de sus árboles y el ambiente pueblerino que la caracteriza.</w:t>
      </w:r>
    </w:p>
    <w:p>
      <w:pPr>
        <w:pStyle w:val="BodyText"/>
        <w:spacing w:before="5"/>
        <w:rPr>
          <w:sz w:val="25"/>
        </w:rPr>
      </w:pPr>
    </w:p>
    <w:p>
      <w:pPr>
        <w:pStyle w:val="BodyText"/>
        <w:spacing w:line="276" w:lineRule="auto"/>
        <w:ind w:left="901" w:right="1155"/>
        <w:jc w:val="both"/>
      </w:pPr>
      <w:r>
        <w:rPr/>
        <w:t>En cada una de las localidades del municipio, se cuenta con un espacio público como PLAZA del lugar, donde se encuentra solaz y esparcimiento, tranquilidad campirana y aire fresco y sombra que disfrutar.</w:t>
      </w:r>
    </w:p>
    <w:p>
      <w:pPr>
        <w:pStyle w:val="BodyText"/>
        <w:spacing w:before="7"/>
        <w:rPr>
          <w:sz w:val="21"/>
        </w:rPr>
      </w:pPr>
    </w:p>
    <w:p>
      <w:pPr>
        <w:pStyle w:val="Heading4"/>
        <w:jc w:val="both"/>
        <w:rPr>
          <w:rFonts w:ascii="Corbel" w:hAnsi="Corbel"/>
        </w:rPr>
      </w:pPr>
      <w:r>
        <w:rPr>
          <w:rFonts w:ascii="Corbel" w:hAnsi="Corbel"/>
        </w:rPr>
        <w:t>Zona Arqueológica</w:t>
      </w:r>
    </w:p>
    <w:p>
      <w:pPr>
        <w:pStyle w:val="BodyText"/>
        <w:spacing w:before="10"/>
        <w:rPr>
          <w:rFonts w:ascii="Corbel"/>
          <w:b/>
          <w:sz w:val="25"/>
        </w:rPr>
      </w:pPr>
    </w:p>
    <w:p>
      <w:pPr>
        <w:pStyle w:val="BodyText"/>
        <w:spacing w:line="276" w:lineRule="auto"/>
        <w:ind w:left="901" w:right="1154"/>
        <w:jc w:val="both"/>
      </w:pPr>
      <w:r>
        <w:rPr/>
        <w:t>La zona arqueológica de Huitzizilapa, con su tumba de tiro, con sus guachimontones,  sus juegos de pelota, la exquisita vista que ofrece del cerro de tequila y del cerro viejo, y la investigación de toda la extensa zona arqueológica de sus inmediaciones, entre otras, la pirámide misma que está en la cercanía de la hacienda de Huitzizilapa; constituye un atractivo turístico potencial. Sin embargo, requiere de inversión en infraestructura y desarrollo de la zona arqueológica por las dependencias responsables a nivel estatal y</w:t>
      </w:r>
      <w:r>
        <w:rPr>
          <w:spacing w:val="-4"/>
        </w:rPr>
        <w:t> </w:t>
      </w:r>
      <w:r>
        <w:rPr/>
        <w:t>federal.</w:t>
      </w:r>
    </w:p>
    <w:p>
      <w:pPr>
        <w:pStyle w:val="BodyText"/>
        <w:spacing w:before="4"/>
        <w:rPr>
          <w:sz w:val="25"/>
        </w:rPr>
      </w:pPr>
    </w:p>
    <w:p>
      <w:pPr>
        <w:pStyle w:val="BodyText"/>
        <w:spacing w:line="276" w:lineRule="auto"/>
        <w:ind w:left="901" w:right="1154"/>
        <w:jc w:val="both"/>
      </w:pPr>
      <w:r>
        <w:rPr/>
        <w:t>Vital para la cultura de Magdalena, será seguir luchando para recuperar el tesoro arqueológico encontrado en la tumba de tiro, piezas que por su valor podrían ser un enorme atractivo en un Museo de Sitio o en un Museo de la Cultura del Occidente de Jalisco, a construirse en Magdalena, dado que ese hallazgo vino a revolucionar el concepto de que la cultura del área donde habitamos, era en la antigüedad una cultura rudimentaria, lo que desmintió, la calidad de la cerámica encontrada, la diversidad de objetos que rodearon el entierro ceremonial de quién sin duda, debió ser un gran personaje, quién dio a la zona su nombre, “el gran guerrero”, HUITZIZILAPA, que se traduce según los estudiosos, como “LA TIERRA DEL GRAN GUERRERO”.</w:t>
      </w:r>
    </w:p>
    <w:p>
      <w:pPr>
        <w:pStyle w:val="BodyText"/>
        <w:spacing w:before="11"/>
        <w:rPr>
          <w:sz w:val="21"/>
        </w:rPr>
      </w:pPr>
    </w:p>
    <w:p>
      <w:pPr>
        <w:pStyle w:val="BodyText"/>
        <w:ind w:left="901" w:right="1155"/>
        <w:jc w:val="both"/>
      </w:pPr>
      <w:r>
        <w:rPr/>
        <w:t>Magdalena, con su historia aún en proceso de estudio, con sus numerosos edificios y lugares típicos, con su ambiente pueblerino y festivo, es un municipio que cuenta con  un importante acervo arquitectónico y cultural, que debe aprovecharse  para disfrutarlo, para disfrutar la naturaleza, para</w:t>
      </w:r>
      <w:r>
        <w:rPr>
          <w:spacing w:val="-10"/>
        </w:rPr>
        <w:t> </w:t>
      </w:r>
      <w:r>
        <w:rPr/>
        <w:t>vivirlo.</w:t>
      </w:r>
    </w:p>
    <w:p>
      <w:pPr>
        <w:spacing w:after="0"/>
        <w:jc w:val="both"/>
        <w:sectPr>
          <w:pgSz w:w="12240" w:h="15840"/>
          <w:pgMar w:header="178" w:footer="1179" w:top="1120" w:bottom="1360" w:left="460" w:right="220"/>
        </w:sectPr>
      </w:pPr>
    </w:p>
    <w:p>
      <w:pPr>
        <w:pStyle w:val="BodyText"/>
        <w:rPr>
          <w:sz w:val="20"/>
        </w:rPr>
      </w:pPr>
    </w:p>
    <w:p>
      <w:pPr>
        <w:pStyle w:val="BodyText"/>
        <w:spacing w:before="5"/>
        <w:rPr>
          <w:sz w:val="16"/>
        </w:rPr>
      </w:pPr>
    </w:p>
    <w:p>
      <w:pPr>
        <w:pStyle w:val="Heading4"/>
        <w:spacing w:before="55"/>
        <w:rPr>
          <w:rFonts w:ascii="Corbel" w:hAnsi="Corbel"/>
        </w:rPr>
      </w:pPr>
      <w:r>
        <w:rPr>
          <w:rFonts w:ascii="Corbel" w:hAnsi="Corbel"/>
        </w:rPr>
        <w:t>Festividades cívicas y culturales</w:t>
      </w:r>
    </w:p>
    <w:p>
      <w:pPr>
        <w:pStyle w:val="BodyText"/>
        <w:spacing w:before="9"/>
        <w:rPr>
          <w:rFonts w:ascii="Corbel"/>
          <w:b/>
          <w:sz w:val="25"/>
        </w:rPr>
      </w:pPr>
    </w:p>
    <w:p>
      <w:pPr>
        <w:pStyle w:val="BodyText"/>
        <w:spacing w:line="276" w:lineRule="auto"/>
        <w:ind w:left="901" w:right="1156"/>
        <w:jc w:val="both"/>
      </w:pPr>
      <w:r>
        <w:rPr/>
        <w:t>El municipio es rico en tradición y folklore, siendo las más importantes sus festividades del mes de septiembre en Magdalena, festividades en honor del Señor de los Milagros, que van del 18 al 29 del citado mes, ampliándose en la actualidad desde el día Primero.</w:t>
      </w:r>
    </w:p>
    <w:p>
      <w:pPr>
        <w:pStyle w:val="BodyText"/>
        <w:spacing w:before="4"/>
        <w:rPr>
          <w:sz w:val="25"/>
        </w:rPr>
      </w:pPr>
    </w:p>
    <w:p>
      <w:pPr>
        <w:pStyle w:val="BodyText"/>
        <w:spacing w:line="276" w:lineRule="auto"/>
        <w:ind w:left="901" w:right="1152"/>
        <w:jc w:val="both"/>
      </w:pPr>
      <w:r>
        <w:rPr/>
        <w:t>En el mes de Julio, se celebran durante 9 días, el novenario en honor de la patrona del Municipio, SANTA MARÍA MAGDALENA. Además, en las capillas y templos de la población de Magdalena, en las fechas en que se celebran sus santos patronos, se está generalizando las festividades populares.</w:t>
      </w:r>
    </w:p>
    <w:p>
      <w:pPr>
        <w:pStyle w:val="BodyText"/>
        <w:spacing w:before="3"/>
        <w:rPr>
          <w:sz w:val="25"/>
        </w:rPr>
      </w:pPr>
    </w:p>
    <w:p>
      <w:pPr>
        <w:pStyle w:val="BodyText"/>
        <w:spacing w:line="276" w:lineRule="auto" w:before="1"/>
        <w:ind w:left="901" w:right="1155"/>
        <w:jc w:val="both"/>
      </w:pPr>
      <w:r>
        <w:rPr/>
        <w:t>Muy importante en el aspecto religioso y social es la ROMERÍA DE LA VIRGEN DE SAN JUANITO, romería que se celebra al inicio de la cuaresma, para traer en peregrinación a la Virgen de San Juanito o del Pueblito, desde la población de San Juanito de Escobedo, hasta esta población de Magdalena, tradición que ya rebasó los 200 años, y que año con año se consolida, siendo aprovechada para venir a Magdalena, sus hijos ausentes, y muchas personas más de diferentes lugares de la</w:t>
      </w:r>
      <w:r>
        <w:rPr>
          <w:spacing w:val="-11"/>
        </w:rPr>
        <w:t> </w:t>
      </w:r>
      <w:r>
        <w:rPr/>
        <w:t>región.</w:t>
      </w:r>
    </w:p>
    <w:p>
      <w:pPr>
        <w:pStyle w:val="BodyText"/>
        <w:spacing w:before="4"/>
        <w:rPr>
          <w:sz w:val="25"/>
        </w:rPr>
      </w:pPr>
    </w:p>
    <w:p>
      <w:pPr>
        <w:pStyle w:val="BodyText"/>
        <w:spacing w:line="276" w:lineRule="auto"/>
        <w:ind w:left="901" w:right="1156"/>
        <w:jc w:val="both"/>
      </w:pPr>
      <w:r>
        <w:rPr/>
        <w:t>Tradiciones como ésta, de romeros que venían a pie desde Tequila a visitar al Señor Milagroso el 29 de septiembre de cada año, se están perdiendo, valdrá la pena revivirlas.</w:t>
      </w:r>
    </w:p>
    <w:p>
      <w:pPr>
        <w:pStyle w:val="BodyText"/>
        <w:spacing w:before="4"/>
        <w:rPr>
          <w:sz w:val="25"/>
        </w:rPr>
      </w:pPr>
    </w:p>
    <w:p>
      <w:pPr>
        <w:pStyle w:val="BodyText"/>
        <w:spacing w:line="276" w:lineRule="auto"/>
        <w:ind w:left="901" w:right="1156"/>
        <w:jc w:val="both"/>
      </w:pPr>
      <w:r>
        <w:rPr/>
        <w:t>En el mes de noviembre, San Andrés, celebra la fiesta de su santo patrono. En el mes de agosto, La Quemada también festeja a su patrono, San Antonio. San Simón, también celebra sus fiestas patronales, y además el 15 y 16 de septiembre. En todas las localidades, se celebran charreadas, corridas de toros, serenatas y feria en las plazas principales de cada lugar.</w:t>
      </w:r>
    </w:p>
    <w:p>
      <w:pPr>
        <w:pStyle w:val="BodyText"/>
        <w:spacing w:before="9"/>
        <w:rPr>
          <w:sz w:val="26"/>
        </w:rPr>
      </w:pPr>
    </w:p>
    <w:p>
      <w:pPr>
        <w:spacing w:before="1"/>
        <w:ind w:left="901" w:right="0" w:firstLine="0"/>
        <w:jc w:val="left"/>
        <w:rPr>
          <w:rFonts w:ascii="Corbel" w:hAnsi="Corbel"/>
          <w:sz w:val="26"/>
        </w:rPr>
      </w:pPr>
      <w:bookmarkStart w:name="_bookmark16" w:id="25"/>
      <w:bookmarkEnd w:id="25"/>
      <w:r>
        <w:rPr/>
      </w:r>
      <w:r>
        <w:rPr>
          <w:rFonts w:ascii="Corbel" w:hAnsi="Corbel"/>
          <w:color w:val="365F91"/>
          <w:w w:val="99"/>
          <w:sz w:val="26"/>
        </w:rPr>
        <w:t>5</w:t>
      </w:r>
      <w:r>
        <w:rPr>
          <w:rFonts w:ascii="Corbel" w:hAnsi="Corbel"/>
          <w:color w:val="365F91"/>
          <w:spacing w:val="1"/>
          <w:w w:val="99"/>
          <w:sz w:val="26"/>
        </w:rPr>
        <w:t>.</w:t>
      </w:r>
      <w:r>
        <w:rPr>
          <w:rFonts w:ascii="Corbel" w:hAnsi="Corbel"/>
          <w:smallCaps/>
          <w:color w:val="365F91"/>
          <w:w w:val="99"/>
          <w:sz w:val="26"/>
        </w:rPr>
        <w:t>2</w:t>
      </w:r>
      <w:r>
        <w:rPr>
          <w:rFonts w:ascii="Corbel" w:hAnsi="Corbel"/>
          <w:smallCaps w:val="0"/>
          <w:color w:val="365F91"/>
          <w:sz w:val="26"/>
        </w:rPr>
        <w:t> </w:t>
      </w:r>
      <w:r>
        <w:rPr>
          <w:rFonts w:ascii="Corbel" w:hAnsi="Corbel"/>
          <w:smallCaps w:val="0"/>
          <w:color w:val="365F91"/>
          <w:w w:val="99"/>
          <w:sz w:val="26"/>
        </w:rPr>
        <w:t>C</w:t>
      </w:r>
      <w:r>
        <w:rPr>
          <w:rFonts w:ascii="Corbel" w:hAnsi="Corbel"/>
          <w:smallCaps w:val="0"/>
          <w:color w:val="365F91"/>
          <w:spacing w:val="-1"/>
          <w:w w:val="99"/>
          <w:sz w:val="26"/>
        </w:rPr>
        <w:t>O</w:t>
      </w:r>
      <w:r>
        <w:rPr>
          <w:rFonts w:ascii="Corbel" w:hAnsi="Corbel"/>
          <w:smallCaps w:val="0"/>
          <w:color w:val="365F91"/>
          <w:w w:val="99"/>
          <w:sz w:val="26"/>
        </w:rPr>
        <w:t>MP</w:t>
      </w:r>
      <w:r>
        <w:rPr>
          <w:rFonts w:ascii="Corbel" w:hAnsi="Corbel"/>
          <w:smallCaps w:val="0"/>
          <w:color w:val="365F91"/>
          <w:spacing w:val="-1"/>
          <w:w w:val="99"/>
          <w:sz w:val="26"/>
        </w:rPr>
        <w:t>ON</w:t>
      </w:r>
      <w:r>
        <w:rPr>
          <w:rFonts w:ascii="Corbel" w:hAnsi="Corbel"/>
          <w:smallCaps w:val="0"/>
          <w:color w:val="365F91"/>
          <w:w w:val="99"/>
          <w:sz w:val="26"/>
        </w:rPr>
        <w:t>E</w:t>
      </w:r>
      <w:r>
        <w:rPr>
          <w:rFonts w:ascii="Corbel" w:hAnsi="Corbel"/>
          <w:smallCaps w:val="0"/>
          <w:color w:val="365F91"/>
          <w:spacing w:val="-1"/>
          <w:w w:val="99"/>
          <w:sz w:val="26"/>
        </w:rPr>
        <w:t>NT</w:t>
      </w:r>
      <w:r>
        <w:rPr>
          <w:rFonts w:ascii="Corbel" w:hAnsi="Corbel"/>
          <w:smallCaps w:val="0"/>
          <w:color w:val="365F91"/>
          <w:w w:val="99"/>
          <w:sz w:val="26"/>
        </w:rPr>
        <w:t>E</w:t>
      </w:r>
      <w:r>
        <w:rPr>
          <w:rFonts w:ascii="Corbel" w:hAnsi="Corbel"/>
          <w:smallCaps w:val="0"/>
          <w:color w:val="365F91"/>
          <w:spacing w:val="2"/>
          <w:sz w:val="26"/>
        </w:rPr>
        <w:t> </w:t>
      </w:r>
      <w:r>
        <w:rPr>
          <w:rFonts w:ascii="Corbel" w:hAnsi="Corbel"/>
          <w:smallCaps w:val="0"/>
          <w:color w:val="365F91"/>
          <w:w w:val="99"/>
          <w:sz w:val="26"/>
        </w:rPr>
        <w:t>E</w:t>
      </w:r>
      <w:r>
        <w:rPr>
          <w:rFonts w:ascii="Corbel" w:hAnsi="Corbel"/>
          <w:smallCaps w:val="0"/>
          <w:color w:val="365F91"/>
          <w:spacing w:val="-2"/>
          <w:w w:val="99"/>
          <w:sz w:val="26"/>
        </w:rPr>
        <w:t>S</w:t>
      </w:r>
      <w:r>
        <w:rPr>
          <w:rFonts w:ascii="Corbel" w:hAnsi="Corbel"/>
          <w:smallCaps w:val="0"/>
          <w:color w:val="365F91"/>
          <w:spacing w:val="-1"/>
          <w:w w:val="99"/>
          <w:sz w:val="26"/>
        </w:rPr>
        <w:t>TR</w:t>
      </w:r>
      <w:r>
        <w:rPr>
          <w:rFonts w:ascii="Corbel" w:hAnsi="Corbel"/>
          <w:smallCaps w:val="0"/>
          <w:color w:val="365F91"/>
          <w:spacing w:val="1"/>
          <w:w w:val="99"/>
          <w:sz w:val="26"/>
        </w:rPr>
        <w:t>A</w:t>
      </w:r>
      <w:r>
        <w:rPr>
          <w:rFonts w:ascii="Corbel" w:hAnsi="Corbel"/>
          <w:smallCaps w:val="0"/>
          <w:color w:val="365F91"/>
          <w:spacing w:val="-1"/>
          <w:w w:val="99"/>
          <w:sz w:val="26"/>
        </w:rPr>
        <w:t>T</w:t>
      </w:r>
      <w:r>
        <w:rPr>
          <w:rFonts w:ascii="Corbel" w:hAnsi="Corbel"/>
          <w:smallCaps w:val="0"/>
          <w:color w:val="365F91"/>
          <w:spacing w:val="1"/>
          <w:w w:val="99"/>
          <w:sz w:val="26"/>
        </w:rPr>
        <w:t>É</w:t>
      </w:r>
      <w:r>
        <w:rPr>
          <w:rFonts w:ascii="Corbel" w:hAnsi="Corbel"/>
          <w:smallCaps w:val="0"/>
          <w:color w:val="365F91"/>
          <w:w w:val="99"/>
          <w:sz w:val="26"/>
        </w:rPr>
        <w:t>GI</w:t>
      </w:r>
      <w:r>
        <w:rPr>
          <w:rFonts w:ascii="Corbel" w:hAnsi="Corbel"/>
          <w:smallCaps w:val="0"/>
          <w:color w:val="365F91"/>
          <w:spacing w:val="3"/>
          <w:w w:val="99"/>
          <w:sz w:val="26"/>
        </w:rPr>
        <w:t>C</w:t>
      </w:r>
      <w:r>
        <w:rPr>
          <w:rFonts w:ascii="Corbel" w:hAnsi="Corbel"/>
          <w:smallCaps w:val="0"/>
          <w:color w:val="365F91"/>
          <w:w w:val="99"/>
          <w:sz w:val="26"/>
        </w:rPr>
        <w:t>O</w:t>
      </w:r>
    </w:p>
    <w:p>
      <w:pPr>
        <w:pStyle w:val="BodyText"/>
        <w:spacing w:before="1"/>
        <w:rPr>
          <w:rFonts w:ascii="Corbel"/>
          <w:sz w:val="24"/>
        </w:rPr>
      </w:pPr>
    </w:p>
    <w:p>
      <w:pPr>
        <w:pStyle w:val="Heading2"/>
      </w:pPr>
      <w:r>
        <w:rPr/>
        <w:t>VISIÓN</w:t>
      </w:r>
    </w:p>
    <w:p>
      <w:pPr>
        <w:pStyle w:val="BodyText"/>
        <w:spacing w:before="3"/>
        <w:rPr>
          <w:rFonts w:ascii="Corbel"/>
          <w:b/>
          <w:sz w:val="29"/>
        </w:rPr>
      </w:pPr>
    </w:p>
    <w:p>
      <w:pPr>
        <w:pStyle w:val="BodyText"/>
        <w:spacing w:line="276" w:lineRule="auto"/>
        <w:ind w:left="901" w:right="1154"/>
        <w:jc w:val="both"/>
      </w:pPr>
      <w:r>
        <w:rPr/>
        <w:t>Magdalena se encuentra en un punto crucial para su desarrollo, el contar con un inventario turístico económico y social representa una inmejorable calidad de vida de sus pobladores, por lo que deberán explotarse con orden y responsabilidad y sobre todo la buena disposición de los servicios económicos que se acercarán en conjunto con el desarrollo económico.</w:t>
      </w:r>
    </w:p>
    <w:p>
      <w:pPr>
        <w:spacing w:after="0" w:line="276" w:lineRule="auto"/>
        <w:jc w:val="both"/>
        <w:sectPr>
          <w:pgSz w:w="12240" w:h="15840"/>
          <w:pgMar w:header="178" w:footer="1179" w:top="1120" w:bottom="1360" w:left="460" w:right="220"/>
        </w:sectPr>
      </w:pPr>
    </w:p>
    <w:p>
      <w:pPr>
        <w:pStyle w:val="BodyText"/>
        <w:rPr>
          <w:sz w:val="20"/>
        </w:rPr>
      </w:pPr>
    </w:p>
    <w:p>
      <w:pPr>
        <w:pStyle w:val="BodyText"/>
        <w:rPr>
          <w:sz w:val="17"/>
        </w:rPr>
      </w:pPr>
    </w:p>
    <w:p>
      <w:pPr>
        <w:pStyle w:val="Heading3"/>
        <w:spacing w:before="50"/>
        <w:jc w:val="left"/>
        <w:rPr>
          <w:rFonts w:ascii="Corbel" w:hAnsi="Corbel"/>
        </w:rPr>
      </w:pPr>
      <w:r>
        <w:rPr/>
        <w:drawing>
          <wp:anchor distT="0" distB="0" distL="0" distR="0" allowOverlap="1" layoutInCell="1" locked="0" behindDoc="0" simplePos="0" relativeHeight="251761664">
            <wp:simplePos x="0" y="0"/>
            <wp:positionH relativeFrom="page">
              <wp:posOffset>4677375</wp:posOffset>
            </wp:positionH>
            <wp:positionV relativeFrom="paragraph">
              <wp:posOffset>318748</wp:posOffset>
            </wp:positionV>
            <wp:extent cx="394302" cy="400011"/>
            <wp:effectExtent l="0" t="0" r="0" b="0"/>
            <wp:wrapNone/>
            <wp:docPr id="35" name="image45.png"/>
            <wp:cNvGraphicFramePr>
              <a:graphicFrameLocks noChangeAspect="1"/>
            </wp:cNvGraphicFramePr>
            <a:graphic>
              <a:graphicData uri="http://schemas.openxmlformats.org/drawingml/2006/picture">
                <pic:pic>
                  <pic:nvPicPr>
                    <pic:cNvPr id="36" name="image45.png"/>
                    <pic:cNvPicPr/>
                  </pic:nvPicPr>
                  <pic:blipFill>
                    <a:blip r:embed="rId65" cstate="print"/>
                    <a:stretch>
                      <a:fillRect/>
                    </a:stretch>
                  </pic:blipFill>
                  <pic:spPr>
                    <a:xfrm>
                      <a:off x="0" y="0"/>
                      <a:ext cx="394302" cy="400011"/>
                    </a:xfrm>
                    <a:prstGeom prst="rect">
                      <a:avLst/>
                    </a:prstGeom>
                  </pic:spPr>
                </pic:pic>
              </a:graphicData>
            </a:graphic>
          </wp:anchor>
        </w:drawing>
      </w:r>
      <w:r>
        <w:rPr>
          <w:rFonts w:ascii="Corbel" w:hAnsi="Corbel"/>
          <w:color w:val="808080"/>
        </w:rPr>
        <w:t>LINÉAS ESTRATÉGICAS, PROGRAMAS Y PROYECTOS.</w:t>
      </w:r>
    </w:p>
    <w:p>
      <w:pPr>
        <w:pStyle w:val="BodyText"/>
        <w:spacing w:before="6"/>
        <w:rPr>
          <w:rFonts w:ascii="Corbel"/>
          <w:sz w:val="30"/>
        </w:rPr>
      </w:pPr>
    </w:p>
    <w:p>
      <w:pPr>
        <w:spacing w:before="1"/>
        <w:ind w:left="901" w:right="0" w:firstLine="0"/>
        <w:jc w:val="left"/>
        <w:rPr>
          <w:rFonts w:ascii="Tw Cen MT Condensed Extra Bold"/>
          <w:sz w:val="56"/>
        </w:rPr>
      </w:pPr>
      <w:r>
        <w:rPr/>
        <w:pict>
          <v:group style="position:absolute;margin-left:69.503998pt;margin-top:37.695305pt;width:217pt;height:48.25pt;mso-position-horizontal-relative:page;mso-position-vertical-relative:paragraph;z-index:-262273024" coordorigin="1390,754" coordsize="4340,965">
            <v:shape style="position:absolute;left:1399;top:833;width:4321;height:884" coordorigin="1400,833" coordsize="4321,884" path="m5720,836l5650,836,5650,833,1469,833,1469,836,1400,836,1400,1716,5720,1716,5720,836e" filled="true" fillcolor="#92cddc" stroked="false">
              <v:path arrowok="t"/>
              <v:fill type="solid"/>
            </v:shape>
            <v:shape style="position:absolute;left:1390;top:753;width:4340;height:965" coordorigin="1390,754" coordsize="4340,965" path="m5720,754l1400,754,1400,836,5720,836,5720,754m5730,1640l1390,1640,1390,1719,5730,1719,5730,1640e" filled="true" fillcolor="#92cddc" stroked="false">
              <v:path arrowok="t"/>
              <v:fill type="solid"/>
            </v:shape>
            <w10:wrap type="none"/>
          </v:group>
        </w:pict>
      </w:r>
      <w:r>
        <w:rPr>
          <w:rFonts w:ascii="Tw Cen MT Condensed Extra Bold"/>
          <w:color w:val="92CDDC"/>
          <w:sz w:val="56"/>
        </w:rPr>
        <w:t>Desarrollo Economico</w:t>
      </w:r>
    </w:p>
    <w:p>
      <w:pPr>
        <w:pStyle w:val="BodyText"/>
        <w:spacing w:before="5"/>
        <w:rPr>
          <w:rFonts w:ascii="Tw Cen MT Condensed Extra Bold"/>
          <w:sz w:val="13"/>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340"/>
        <w:gridCol w:w="4256"/>
      </w:tblGrid>
      <w:tr>
        <w:trPr>
          <w:trHeight w:val="964" w:hRule="atLeast"/>
        </w:trPr>
        <w:tc>
          <w:tcPr>
            <w:tcW w:w="4340" w:type="dxa"/>
            <w:tcBorders>
              <w:top w:val="nil"/>
              <w:bottom w:val="single" w:sz="24" w:space="0" w:color="FFFFFF"/>
            </w:tcBorders>
            <w:shd w:val="clear" w:color="auto" w:fill="92CDDC"/>
          </w:tcPr>
          <w:p>
            <w:pPr>
              <w:pStyle w:val="TableParagraph"/>
              <w:spacing w:before="78"/>
              <w:ind w:left="1204"/>
              <w:rPr>
                <w:rFonts w:ascii="Corbel"/>
                <w:sz w:val="48"/>
              </w:rPr>
            </w:pPr>
            <w:r>
              <w:rPr>
                <w:rFonts w:ascii="Corbel"/>
                <w:color w:val="FFFFFF"/>
                <w:sz w:val="48"/>
              </w:rPr>
              <w:t>Problema</w:t>
            </w:r>
          </w:p>
        </w:tc>
        <w:tc>
          <w:tcPr>
            <w:tcW w:w="4256" w:type="dxa"/>
            <w:tcBorders>
              <w:top w:val="nil"/>
              <w:bottom w:val="single" w:sz="24" w:space="0" w:color="FFFFFF"/>
            </w:tcBorders>
            <w:shd w:val="clear" w:color="auto" w:fill="30849B"/>
          </w:tcPr>
          <w:p>
            <w:pPr>
              <w:pStyle w:val="TableParagraph"/>
              <w:spacing w:before="78"/>
              <w:ind w:left="414"/>
              <w:rPr>
                <w:rFonts w:ascii="Corbel" w:hAnsi="Corbel"/>
                <w:sz w:val="48"/>
              </w:rPr>
            </w:pPr>
            <w:r>
              <w:rPr>
                <w:rFonts w:ascii="Corbel" w:hAnsi="Corbel"/>
                <w:color w:val="FFFFFF"/>
                <w:sz w:val="48"/>
              </w:rPr>
              <w:t>Línea Estratégica</w:t>
            </w:r>
          </w:p>
        </w:tc>
      </w:tr>
      <w:tr>
        <w:trPr>
          <w:trHeight w:val="4344" w:hRule="atLeast"/>
        </w:trPr>
        <w:tc>
          <w:tcPr>
            <w:tcW w:w="4340" w:type="dxa"/>
            <w:tcBorders>
              <w:top w:val="single" w:sz="24" w:space="0" w:color="FFFFFF"/>
              <w:bottom w:val="nil"/>
            </w:tcBorders>
            <w:shd w:val="clear" w:color="auto" w:fill="92CDDC"/>
          </w:tcPr>
          <w:p>
            <w:pPr>
              <w:pStyle w:val="TableParagraph"/>
              <w:rPr>
                <w:rFonts w:ascii="Tw Cen MT Condensed Extra Bold"/>
                <w:sz w:val="20"/>
              </w:rPr>
            </w:pPr>
          </w:p>
          <w:p>
            <w:pPr>
              <w:pStyle w:val="TableParagraph"/>
              <w:tabs>
                <w:tab w:pos="798" w:val="left" w:leader="none"/>
              </w:tabs>
              <w:spacing w:line="276" w:lineRule="auto" w:before="128"/>
              <w:ind w:left="798" w:right="96" w:hanging="360"/>
              <w:rPr>
                <w:rFonts w:ascii="Corbel" w:hAnsi="Corbel"/>
                <w:sz w:val="21"/>
              </w:rPr>
            </w:pPr>
            <w:r>
              <w:rPr>
                <w:rFonts w:ascii="Corbel" w:hAnsi="Corbel"/>
                <w:smallCaps/>
                <w:spacing w:val="-2"/>
                <w:w w:val="100"/>
                <w:sz w:val="21"/>
              </w:rPr>
              <w:t>1</w:t>
            </w:r>
            <w:r>
              <w:rPr>
                <w:rFonts w:ascii="Corbel" w:hAnsi="Corbel"/>
                <w:smallCaps/>
                <w:w w:val="100"/>
                <w:sz w:val="21"/>
              </w:rPr>
              <w:t>.</w:t>
            </w:r>
            <w:r>
              <w:rPr>
                <w:rFonts w:ascii="Corbel" w:hAnsi="Corbel"/>
                <w:smallCaps w:val="0"/>
                <w:sz w:val="21"/>
              </w:rPr>
              <w:tab/>
            </w:r>
            <w:r>
              <w:rPr>
                <w:rFonts w:ascii="Corbel" w:hAnsi="Corbel"/>
                <w:smallCaps w:val="0"/>
                <w:spacing w:val="1"/>
                <w:w w:val="100"/>
                <w:sz w:val="21"/>
              </w:rPr>
              <w:t>E</w:t>
            </w:r>
            <w:r>
              <w:rPr>
                <w:rFonts w:ascii="Corbel" w:hAnsi="Corbel"/>
                <w:smallCaps w:val="0"/>
                <w:w w:val="100"/>
                <w:sz w:val="21"/>
              </w:rPr>
              <w:t>l</w:t>
            </w:r>
            <w:r>
              <w:rPr>
                <w:rFonts w:ascii="Corbel" w:hAnsi="Corbel"/>
                <w:smallCaps w:val="0"/>
                <w:spacing w:val="-3"/>
                <w:sz w:val="21"/>
              </w:rPr>
              <w:t> </w:t>
            </w:r>
            <w:r>
              <w:rPr>
                <w:rFonts w:ascii="Corbel" w:hAnsi="Corbel"/>
                <w:smallCaps w:val="0"/>
                <w:w w:val="100"/>
                <w:sz w:val="21"/>
              </w:rPr>
              <w:t>s</w:t>
            </w:r>
            <w:r>
              <w:rPr>
                <w:rFonts w:ascii="Corbel" w:hAnsi="Corbel"/>
                <w:smallCaps w:val="0"/>
                <w:spacing w:val="-2"/>
                <w:w w:val="100"/>
                <w:sz w:val="21"/>
              </w:rPr>
              <w:t>e</w:t>
            </w:r>
            <w:r>
              <w:rPr>
                <w:rFonts w:ascii="Corbel" w:hAnsi="Corbel"/>
                <w:smallCaps w:val="0"/>
                <w:w w:val="100"/>
                <w:sz w:val="21"/>
              </w:rPr>
              <w:t>c</w:t>
            </w:r>
            <w:r>
              <w:rPr>
                <w:rFonts w:ascii="Corbel" w:hAnsi="Corbel"/>
                <w:smallCaps w:val="0"/>
                <w:spacing w:val="-2"/>
                <w:w w:val="100"/>
                <w:sz w:val="21"/>
              </w:rPr>
              <w:t>t</w:t>
            </w:r>
            <w:r>
              <w:rPr>
                <w:rFonts w:ascii="Corbel" w:hAnsi="Corbel"/>
                <w:smallCaps w:val="0"/>
                <w:spacing w:val="-1"/>
                <w:w w:val="100"/>
                <w:sz w:val="21"/>
              </w:rPr>
              <w:t>o</w:t>
            </w:r>
            <w:r>
              <w:rPr>
                <w:rFonts w:ascii="Corbel" w:hAnsi="Corbel"/>
                <w:smallCaps w:val="0"/>
                <w:w w:val="100"/>
                <w:sz w:val="21"/>
              </w:rPr>
              <w:t>r</w:t>
            </w:r>
            <w:r>
              <w:rPr>
                <w:rFonts w:ascii="Corbel" w:hAnsi="Corbel"/>
                <w:smallCaps w:val="0"/>
                <w:sz w:val="21"/>
              </w:rPr>
              <w:t> </w:t>
            </w:r>
            <w:r>
              <w:rPr>
                <w:rFonts w:ascii="Corbel" w:hAnsi="Corbel"/>
                <w:smallCaps w:val="0"/>
                <w:spacing w:val="-1"/>
                <w:w w:val="100"/>
                <w:sz w:val="21"/>
              </w:rPr>
              <w:t>d</w:t>
            </w:r>
            <w:r>
              <w:rPr>
                <w:rFonts w:ascii="Corbel" w:hAnsi="Corbel"/>
                <w:smallCaps w:val="0"/>
                <w:w w:val="100"/>
                <w:sz w:val="21"/>
              </w:rPr>
              <w:t>e</w:t>
            </w:r>
            <w:r>
              <w:rPr>
                <w:rFonts w:ascii="Corbel" w:hAnsi="Corbel"/>
                <w:smallCaps w:val="0"/>
                <w:spacing w:val="-1"/>
                <w:sz w:val="21"/>
              </w:rPr>
              <w:t> </w:t>
            </w:r>
            <w:r>
              <w:rPr>
                <w:rFonts w:ascii="Corbel" w:hAnsi="Corbel"/>
                <w:smallCaps w:val="0"/>
                <w:spacing w:val="-2"/>
                <w:w w:val="100"/>
                <w:sz w:val="21"/>
              </w:rPr>
              <w:t>c</w:t>
            </w:r>
            <w:r>
              <w:rPr>
                <w:rFonts w:ascii="Corbel" w:hAnsi="Corbel"/>
                <w:smallCaps w:val="0"/>
                <w:spacing w:val="-1"/>
                <w:w w:val="100"/>
                <w:sz w:val="21"/>
              </w:rPr>
              <w:t>o</w:t>
            </w:r>
            <w:r>
              <w:rPr>
                <w:rFonts w:ascii="Corbel" w:hAnsi="Corbel"/>
                <w:smallCaps w:val="0"/>
                <w:spacing w:val="-3"/>
                <w:w w:val="100"/>
                <w:sz w:val="21"/>
              </w:rPr>
              <w:t>m</w:t>
            </w:r>
            <w:r>
              <w:rPr>
                <w:rFonts w:ascii="Corbel" w:hAnsi="Corbel"/>
                <w:smallCaps w:val="0"/>
                <w:w w:val="100"/>
                <w:sz w:val="21"/>
              </w:rPr>
              <w:t>e</w:t>
            </w:r>
            <w:r>
              <w:rPr>
                <w:rFonts w:ascii="Corbel" w:hAnsi="Corbel"/>
                <w:smallCaps w:val="0"/>
                <w:spacing w:val="-1"/>
                <w:w w:val="100"/>
                <w:sz w:val="21"/>
              </w:rPr>
              <w:t>r</w:t>
            </w:r>
            <w:r>
              <w:rPr>
                <w:rFonts w:ascii="Corbel" w:hAnsi="Corbel"/>
                <w:smallCaps w:val="0"/>
                <w:w w:val="100"/>
                <w:sz w:val="21"/>
              </w:rPr>
              <w:t>c</w:t>
            </w:r>
            <w:r>
              <w:rPr>
                <w:rFonts w:ascii="Corbel" w:hAnsi="Corbel"/>
                <w:smallCaps w:val="0"/>
                <w:spacing w:val="-2"/>
                <w:w w:val="100"/>
                <w:sz w:val="21"/>
              </w:rPr>
              <w:t>i</w:t>
            </w:r>
            <w:r>
              <w:rPr>
                <w:rFonts w:ascii="Corbel" w:hAnsi="Corbel"/>
                <w:smallCaps w:val="0"/>
                <w:w w:val="100"/>
                <w:sz w:val="21"/>
              </w:rPr>
              <w:t>o</w:t>
            </w:r>
            <w:r>
              <w:rPr>
                <w:rFonts w:ascii="Corbel" w:hAnsi="Corbel"/>
                <w:smallCaps w:val="0"/>
                <w:spacing w:val="-1"/>
                <w:sz w:val="21"/>
              </w:rPr>
              <w:t> </w:t>
            </w:r>
            <w:r>
              <w:rPr>
                <w:rFonts w:ascii="Corbel" w:hAnsi="Corbel"/>
                <w:smallCaps w:val="0"/>
                <w:w w:val="100"/>
                <w:sz w:val="21"/>
              </w:rPr>
              <w:t>y</w:t>
            </w:r>
            <w:r>
              <w:rPr>
                <w:rFonts w:ascii="Corbel" w:hAnsi="Corbel"/>
                <w:smallCaps w:val="0"/>
                <w:spacing w:val="-2"/>
                <w:sz w:val="21"/>
              </w:rPr>
              <w:t> </w:t>
            </w:r>
            <w:r>
              <w:rPr>
                <w:rFonts w:ascii="Corbel" w:hAnsi="Corbel"/>
                <w:smallCaps w:val="0"/>
                <w:w w:val="100"/>
                <w:sz w:val="21"/>
              </w:rPr>
              <w:t>se</w:t>
            </w:r>
            <w:r>
              <w:rPr>
                <w:rFonts w:ascii="Corbel" w:hAnsi="Corbel"/>
                <w:smallCaps w:val="0"/>
                <w:spacing w:val="-1"/>
                <w:w w:val="100"/>
                <w:sz w:val="21"/>
              </w:rPr>
              <w:t>r</w:t>
            </w:r>
            <w:r>
              <w:rPr>
                <w:rFonts w:ascii="Corbel" w:hAnsi="Corbel"/>
                <w:smallCaps w:val="0"/>
                <w:w w:val="100"/>
                <w:sz w:val="21"/>
              </w:rPr>
              <w:t>v</w:t>
            </w:r>
            <w:r>
              <w:rPr>
                <w:rFonts w:ascii="Corbel" w:hAnsi="Corbel"/>
                <w:smallCaps w:val="0"/>
                <w:spacing w:val="-4"/>
                <w:w w:val="100"/>
                <w:sz w:val="21"/>
              </w:rPr>
              <w:t>i</w:t>
            </w:r>
            <w:r>
              <w:rPr>
                <w:rFonts w:ascii="Corbel" w:hAnsi="Corbel"/>
                <w:smallCaps w:val="0"/>
                <w:w w:val="100"/>
                <w:sz w:val="21"/>
              </w:rPr>
              <w:t>c</w:t>
            </w:r>
            <w:r>
              <w:rPr>
                <w:rFonts w:ascii="Corbel" w:hAnsi="Corbel"/>
                <w:smallCaps w:val="0"/>
                <w:spacing w:val="-2"/>
                <w:w w:val="100"/>
                <w:sz w:val="21"/>
              </w:rPr>
              <w:t>i</w:t>
            </w:r>
            <w:r>
              <w:rPr>
                <w:rFonts w:ascii="Corbel" w:hAnsi="Corbel"/>
                <w:smallCaps w:val="0"/>
                <w:spacing w:val="-1"/>
                <w:w w:val="100"/>
                <w:sz w:val="21"/>
              </w:rPr>
              <w:t>o</w:t>
            </w:r>
            <w:r>
              <w:rPr>
                <w:rFonts w:ascii="Corbel" w:hAnsi="Corbel"/>
                <w:smallCaps w:val="0"/>
                <w:w w:val="100"/>
                <w:sz w:val="21"/>
              </w:rPr>
              <w:t>s</w:t>
            </w:r>
            <w:r>
              <w:rPr>
                <w:rFonts w:ascii="Corbel" w:hAnsi="Corbel"/>
                <w:smallCaps w:val="0"/>
                <w:sz w:val="21"/>
              </w:rPr>
              <w:t> </w:t>
            </w:r>
            <w:r>
              <w:rPr>
                <w:rFonts w:ascii="Corbel" w:hAnsi="Corbel"/>
                <w:smallCaps w:val="0"/>
                <w:spacing w:val="-2"/>
                <w:w w:val="100"/>
                <w:sz w:val="21"/>
              </w:rPr>
              <w:t>e</w:t>
            </w:r>
            <w:r>
              <w:rPr>
                <w:rFonts w:ascii="Corbel" w:hAnsi="Corbel"/>
                <w:smallCaps w:val="0"/>
                <w:w w:val="100"/>
                <w:sz w:val="21"/>
              </w:rPr>
              <w:t>s</w:t>
            </w:r>
            <w:r>
              <w:rPr>
                <w:rFonts w:ascii="Corbel" w:hAnsi="Corbel"/>
                <w:smallCaps w:val="0"/>
                <w:spacing w:val="-1"/>
                <w:sz w:val="21"/>
              </w:rPr>
              <w:t> </w:t>
            </w:r>
            <w:r>
              <w:rPr>
                <w:rFonts w:ascii="Corbel" w:hAnsi="Corbel"/>
                <w:smallCaps w:val="0"/>
                <w:w w:val="100"/>
                <w:sz w:val="21"/>
              </w:rPr>
              <w:t>el </w:t>
            </w:r>
            <w:r>
              <w:rPr>
                <w:rFonts w:ascii="Corbel" w:hAnsi="Corbel"/>
                <w:smallCaps w:val="0"/>
                <w:spacing w:val="-1"/>
                <w:w w:val="100"/>
                <w:sz w:val="21"/>
              </w:rPr>
              <w:t>q</w:t>
            </w:r>
            <w:r>
              <w:rPr>
                <w:rFonts w:ascii="Corbel" w:hAnsi="Corbel"/>
                <w:smallCaps w:val="0"/>
                <w:w w:val="100"/>
                <w:sz w:val="21"/>
              </w:rPr>
              <w:t>ue</w:t>
            </w:r>
            <w:r>
              <w:rPr>
                <w:rFonts w:ascii="Corbel" w:hAnsi="Corbel"/>
                <w:smallCaps w:val="0"/>
                <w:spacing w:val="-1"/>
                <w:sz w:val="21"/>
              </w:rPr>
              <w:t> </w:t>
            </w:r>
            <w:r>
              <w:rPr>
                <w:rFonts w:ascii="Corbel" w:hAnsi="Corbel"/>
                <w:smallCaps w:val="0"/>
                <w:w w:val="100"/>
                <w:sz w:val="21"/>
              </w:rPr>
              <w:t>p</w:t>
            </w:r>
            <w:r>
              <w:rPr>
                <w:rFonts w:ascii="Corbel" w:hAnsi="Corbel"/>
                <w:smallCaps w:val="0"/>
                <w:spacing w:val="-2"/>
                <w:w w:val="100"/>
                <w:sz w:val="21"/>
              </w:rPr>
              <w:t>r</w:t>
            </w:r>
            <w:r>
              <w:rPr>
                <w:rFonts w:ascii="Corbel" w:hAnsi="Corbel"/>
                <w:smallCaps w:val="0"/>
                <w:spacing w:val="-3"/>
                <w:w w:val="100"/>
                <w:sz w:val="21"/>
              </w:rPr>
              <w:t>o</w:t>
            </w:r>
            <w:r>
              <w:rPr>
                <w:rFonts w:ascii="Corbel" w:hAnsi="Corbel"/>
                <w:smallCaps w:val="0"/>
                <w:w w:val="100"/>
                <w:sz w:val="21"/>
              </w:rPr>
              <w:t>v</w:t>
            </w:r>
            <w:r>
              <w:rPr>
                <w:rFonts w:ascii="Corbel" w:hAnsi="Corbel"/>
                <w:smallCaps w:val="0"/>
                <w:spacing w:val="-2"/>
                <w:w w:val="100"/>
                <w:sz w:val="21"/>
              </w:rPr>
              <w:t>e</w:t>
            </w:r>
            <w:r>
              <w:rPr>
                <w:rFonts w:ascii="Corbel" w:hAnsi="Corbel"/>
                <w:smallCaps w:val="0"/>
                <w:w w:val="100"/>
                <w:sz w:val="21"/>
              </w:rPr>
              <w:t>e</w:t>
            </w:r>
            <w:r>
              <w:rPr>
                <w:rFonts w:ascii="Corbel" w:hAnsi="Corbel"/>
                <w:smallCaps w:val="0"/>
                <w:spacing w:val="-1"/>
                <w:sz w:val="21"/>
              </w:rPr>
              <w:t> </w:t>
            </w:r>
            <w:r>
              <w:rPr>
                <w:rFonts w:ascii="Corbel" w:hAnsi="Corbel"/>
                <w:smallCaps w:val="0"/>
                <w:w w:val="100"/>
                <w:sz w:val="21"/>
              </w:rPr>
              <w:t>p</w:t>
            </w:r>
            <w:r>
              <w:rPr>
                <w:rFonts w:ascii="Corbel" w:hAnsi="Corbel"/>
                <w:smallCaps w:val="0"/>
                <w:spacing w:val="-2"/>
                <w:w w:val="100"/>
                <w:sz w:val="21"/>
              </w:rPr>
              <w:t>ri</w:t>
            </w:r>
            <w:r>
              <w:rPr>
                <w:rFonts w:ascii="Corbel" w:hAnsi="Corbel"/>
                <w:smallCaps w:val="0"/>
                <w:spacing w:val="-1"/>
                <w:w w:val="100"/>
                <w:sz w:val="21"/>
              </w:rPr>
              <w:t>n</w:t>
            </w:r>
            <w:r>
              <w:rPr>
                <w:rFonts w:ascii="Corbel" w:hAnsi="Corbel"/>
                <w:smallCaps w:val="0"/>
                <w:w w:val="100"/>
                <w:sz w:val="21"/>
              </w:rPr>
              <w:t>c</w:t>
            </w:r>
            <w:r>
              <w:rPr>
                <w:rFonts w:ascii="Corbel" w:hAnsi="Corbel"/>
                <w:smallCaps w:val="0"/>
                <w:spacing w:val="-2"/>
                <w:w w:val="100"/>
                <w:sz w:val="21"/>
              </w:rPr>
              <w:t>i</w:t>
            </w:r>
            <w:r>
              <w:rPr>
                <w:rFonts w:ascii="Corbel" w:hAnsi="Corbel"/>
                <w:smallCaps w:val="0"/>
                <w:w w:val="100"/>
                <w:sz w:val="21"/>
              </w:rPr>
              <w:t>pa</w:t>
            </w:r>
            <w:r>
              <w:rPr>
                <w:rFonts w:ascii="Corbel" w:hAnsi="Corbel"/>
                <w:smallCaps w:val="0"/>
                <w:spacing w:val="-2"/>
                <w:w w:val="100"/>
                <w:sz w:val="21"/>
              </w:rPr>
              <w:t>l</w:t>
            </w:r>
            <w:r>
              <w:rPr>
                <w:rFonts w:ascii="Corbel" w:hAnsi="Corbel"/>
                <w:smallCaps w:val="0"/>
                <w:spacing w:val="-3"/>
                <w:w w:val="100"/>
                <w:sz w:val="21"/>
              </w:rPr>
              <w:t>m</w:t>
            </w:r>
            <w:r>
              <w:rPr>
                <w:rFonts w:ascii="Corbel" w:hAnsi="Corbel"/>
                <w:smallCaps w:val="0"/>
                <w:w w:val="100"/>
                <w:sz w:val="21"/>
              </w:rPr>
              <w:t>en</w:t>
            </w:r>
            <w:r>
              <w:rPr>
                <w:rFonts w:ascii="Corbel" w:hAnsi="Corbel"/>
                <w:smallCaps w:val="0"/>
                <w:spacing w:val="-2"/>
                <w:w w:val="100"/>
                <w:sz w:val="21"/>
              </w:rPr>
              <w:t>t</w:t>
            </w:r>
            <w:r>
              <w:rPr>
                <w:rFonts w:ascii="Corbel" w:hAnsi="Corbel"/>
                <w:smallCaps w:val="0"/>
                <w:w w:val="100"/>
                <w:sz w:val="21"/>
              </w:rPr>
              <w:t>e</w:t>
            </w:r>
            <w:r>
              <w:rPr>
                <w:rFonts w:ascii="Corbel" w:hAnsi="Corbel"/>
                <w:smallCaps w:val="0"/>
                <w:sz w:val="21"/>
              </w:rPr>
              <w:t> </w:t>
            </w:r>
            <w:r>
              <w:rPr>
                <w:rFonts w:ascii="Corbel" w:hAnsi="Corbel"/>
                <w:smallCaps w:val="0"/>
                <w:spacing w:val="-1"/>
                <w:w w:val="100"/>
                <w:sz w:val="21"/>
              </w:rPr>
              <w:t>d</w:t>
            </w:r>
            <w:r>
              <w:rPr>
                <w:rFonts w:ascii="Corbel" w:hAnsi="Corbel"/>
                <w:smallCaps w:val="0"/>
                <w:w w:val="100"/>
                <w:sz w:val="21"/>
              </w:rPr>
              <w:t>e</w:t>
            </w:r>
            <w:r>
              <w:rPr>
                <w:rFonts w:ascii="Corbel" w:hAnsi="Corbel"/>
                <w:smallCaps w:val="0"/>
                <w:spacing w:val="-1"/>
                <w:sz w:val="21"/>
              </w:rPr>
              <w:t> </w:t>
            </w:r>
            <w:r>
              <w:rPr>
                <w:rFonts w:ascii="Corbel" w:hAnsi="Corbel"/>
                <w:smallCaps w:val="0"/>
                <w:w w:val="100"/>
                <w:sz w:val="21"/>
              </w:rPr>
              <w:t>e</w:t>
            </w:r>
            <w:r>
              <w:rPr>
                <w:rFonts w:ascii="Corbel" w:hAnsi="Corbel"/>
                <w:smallCaps w:val="0"/>
                <w:spacing w:val="-2"/>
                <w:w w:val="100"/>
                <w:sz w:val="21"/>
              </w:rPr>
              <w:t>m</w:t>
            </w:r>
            <w:r>
              <w:rPr>
                <w:rFonts w:ascii="Corbel" w:hAnsi="Corbel"/>
                <w:smallCaps w:val="0"/>
                <w:w w:val="100"/>
                <w:sz w:val="21"/>
              </w:rPr>
              <w:t>p</w:t>
            </w:r>
            <w:r>
              <w:rPr>
                <w:rFonts w:ascii="Corbel" w:hAnsi="Corbel"/>
                <w:smallCaps w:val="0"/>
                <w:spacing w:val="-2"/>
                <w:w w:val="100"/>
                <w:sz w:val="21"/>
              </w:rPr>
              <w:t>l</w:t>
            </w:r>
            <w:r>
              <w:rPr>
                <w:rFonts w:ascii="Corbel" w:hAnsi="Corbel"/>
                <w:smallCaps w:val="0"/>
                <w:w w:val="100"/>
                <w:sz w:val="21"/>
              </w:rPr>
              <w:t>eo</w:t>
            </w:r>
            <w:r>
              <w:rPr>
                <w:rFonts w:ascii="Corbel" w:hAnsi="Corbel"/>
                <w:smallCaps w:val="0"/>
                <w:spacing w:val="-1"/>
                <w:sz w:val="21"/>
              </w:rPr>
              <w:t> </w:t>
            </w:r>
            <w:r>
              <w:rPr>
                <w:rFonts w:ascii="Corbel" w:hAnsi="Corbel"/>
                <w:smallCaps w:val="0"/>
                <w:w w:val="100"/>
                <w:sz w:val="21"/>
              </w:rPr>
              <w:t>a </w:t>
            </w:r>
            <w:r>
              <w:rPr>
                <w:rFonts w:ascii="Corbel" w:hAnsi="Corbel"/>
                <w:smallCaps w:val="0"/>
                <w:spacing w:val="-2"/>
                <w:w w:val="100"/>
                <w:sz w:val="21"/>
              </w:rPr>
              <w:t>l</w:t>
            </w:r>
            <w:r>
              <w:rPr>
                <w:rFonts w:ascii="Corbel" w:hAnsi="Corbel"/>
                <w:smallCaps w:val="0"/>
                <w:spacing w:val="-1"/>
                <w:w w:val="100"/>
                <w:sz w:val="21"/>
              </w:rPr>
              <w:t>o</w:t>
            </w:r>
            <w:r>
              <w:rPr>
                <w:rFonts w:ascii="Corbel" w:hAnsi="Corbel"/>
                <w:smallCaps w:val="0"/>
                <w:w w:val="100"/>
                <w:sz w:val="21"/>
              </w:rPr>
              <w:t>s</w:t>
            </w:r>
            <w:r>
              <w:rPr>
                <w:rFonts w:ascii="Corbel" w:hAnsi="Corbel"/>
                <w:smallCaps w:val="0"/>
                <w:sz w:val="21"/>
              </w:rPr>
              <w:t> </w:t>
            </w:r>
            <w:r>
              <w:rPr>
                <w:rFonts w:ascii="Corbel" w:hAnsi="Corbel"/>
                <w:smallCaps w:val="0"/>
                <w:spacing w:val="-1"/>
                <w:w w:val="100"/>
                <w:sz w:val="21"/>
              </w:rPr>
              <w:t>hab</w:t>
            </w:r>
            <w:r>
              <w:rPr>
                <w:rFonts w:ascii="Corbel" w:hAnsi="Corbel"/>
                <w:smallCaps w:val="0"/>
                <w:spacing w:val="-2"/>
                <w:w w:val="100"/>
                <w:sz w:val="21"/>
              </w:rPr>
              <w:t>i</w:t>
            </w:r>
            <w:r>
              <w:rPr>
                <w:rFonts w:ascii="Corbel" w:hAnsi="Corbel"/>
                <w:smallCaps w:val="0"/>
                <w:w w:val="100"/>
                <w:sz w:val="21"/>
              </w:rPr>
              <w:t>ta</w:t>
            </w:r>
            <w:r>
              <w:rPr>
                <w:rFonts w:ascii="Corbel" w:hAnsi="Corbel"/>
                <w:smallCaps w:val="0"/>
                <w:spacing w:val="-4"/>
                <w:w w:val="100"/>
                <w:sz w:val="21"/>
              </w:rPr>
              <w:t>n</w:t>
            </w:r>
            <w:r>
              <w:rPr>
                <w:rFonts w:ascii="Corbel" w:hAnsi="Corbel"/>
                <w:smallCaps w:val="0"/>
                <w:w w:val="100"/>
                <w:sz w:val="21"/>
              </w:rPr>
              <w:t>t</w:t>
            </w:r>
            <w:r>
              <w:rPr>
                <w:rFonts w:ascii="Corbel" w:hAnsi="Corbel"/>
                <w:smallCaps w:val="0"/>
                <w:spacing w:val="-2"/>
                <w:w w:val="100"/>
                <w:sz w:val="21"/>
              </w:rPr>
              <w:t>e</w:t>
            </w:r>
            <w:r>
              <w:rPr>
                <w:rFonts w:ascii="Corbel" w:hAnsi="Corbel"/>
                <w:smallCaps w:val="0"/>
                <w:w w:val="100"/>
                <w:sz w:val="21"/>
              </w:rPr>
              <w:t>s</w:t>
            </w:r>
            <w:r>
              <w:rPr>
                <w:rFonts w:ascii="Corbel" w:hAnsi="Corbel"/>
                <w:smallCaps w:val="0"/>
                <w:spacing w:val="2"/>
                <w:sz w:val="21"/>
              </w:rPr>
              <w:t> </w:t>
            </w:r>
            <w:r>
              <w:rPr>
                <w:rFonts w:ascii="Corbel" w:hAnsi="Corbel"/>
                <w:smallCaps w:val="0"/>
                <w:w w:val="100"/>
                <w:sz w:val="21"/>
              </w:rPr>
              <w:t>y</w:t>
            </w:r>
            <w:r>
              <w:rPr>
                <w:rFonts w:ascii="Corbel" w:hAnsi="Corbel"/>
                <w:smallCaps w:val="0"/>
                <w:spacing w:val="-2"/>
                <w:sz w:val="21"/>
              </w:rPr>
              <w:t> </w:t>
            </w:r>
            <w:r>
              <w:rPr>
                <w:rFonts w:ascii="Corbel" w:hAnsi="Corbel"/>
                <w:smallCaps w:val="0"/>
                <w:spacing w:val="-3"/>
                <w:w w:val="100"/>
                <w:sz w:val="21"/>
              </w:rPr>
              <w:t>m</w:t>
            </w:r>
            <w:r>
              <w:rPr>
                <w:rFonts w:ascii="Corbel" w:hAnsi="Corbel"/>
                <w:smallCaps w:val="0"/>
                <w:spacing w:val="-2"/>
                <w:w w:val="100"/>
                <w:sz w:val="21"/>
              </w:rPr>
              <w:t>u</w:t>
            </w:r>
            <w:r>
              <w:rPr>
                <w:rFonts w:ascii="Corbel" w:hAnsi="Corbel"/>
                <w:smallCaps w:val="0"/>
                <w:w w:val="100"/>
                <w:sz w:val="21"/>
              </w:rPr>
              <w:t>e</w:t>
            </w:r>
            <w:r>
              <w:rPr>
                <w:rFonts w:ascii="Corbel" w:hAnsi="Corbel"/>
                <w:smallCaps w:val="0"/>
                <w:spacing w:val="-1"/>
                <w:w w:val="100"/>
                <w:sz w:val="21"/>
              </w:rPr>
              <w:t>v</w:t>
            </w:r>
            <w:r>
              <w:rPr>
                <w:rFonts w:ascii="Corbel" w:hAnsi="Corbel"/>
                <w:smallCaps w:val="0"/>
                <w:w w:val="100"/>
                <w:sz w:val="21"/>
              </w:rPr>
              <w:t>e</w:t>
            </w:r>
            <w:r>
              <w:rPr>
                <w:rFonts w:ascii="Corbel" w:hAnsi="Corbel"/>
                <w:smallCaps w:val="0"/>
                <w:spacing w:val="2"/>
                <w:sz w:val="21"/>
              </w:rPr>
              <w:t> </w:t>
            </w:r>
            <w:r>
              <w:rPr>
                <w:rFonts w:ascii="Corbel" w:hAnsi="Corbel"/>
                <w:smallCaps w:val="0"/>
                <w:spacing w:val="-1"/>
                <w:w w:val="100"/>
                <w:sz w:val="21"/>
              </w:rPr>
              <w:t>l</w:t>
            </w:r>
            <w:r>
              <w:rPr>
                <w:rFonts w:ascii="Corbel" w:hAnsi="Corbel"/>
                <w:smallCaps w:val="0"/>
                <w:w w:val="100"/>
                <w:sz w:val="21"/>
              </w:rPr>
              <w:t>a</w:t>
            </w:r>
            <w:r>
              <w:rPr>
                <w:rFonts w:ascii="Corbel" w:hAnsi="Corbel"/>
                <w:smallCaps w:val="0"/>
                <w:spacing w:val="-2"/>
                <w:sz w:val="21"/>
              </w:rPr>
              <w:t> </w:t>
            </w:r>
            <w:r>
              <w:rPr>
                <w:rFonts w:ascii="Corbel" w:hAnsi="Corbel"/>
                <w:smallCaps w:val="0"/>
                <w:w w:val="100"/>
                <w:sz w:val="21"/>
              </w:rPr>
              <w:t>a</w:t>
            </w:r>
            <w:r>
              <w:rPr>
                <w:rFonts w:ascii="Corbel" w:hAnsi="Corbel"/>
                <w:smallCaps w:val="0"/>
                <w:spacing w:val="-2"/>
                <w:w w:val="100"/>
                <w:sz w:val="21"/>
              </w:rPr>
              <w:t>c</w:t>
            </w:r>
            <w:r>
              <w:rPr>
                <w:rFonts w:ascii="Corbel" w:hAnsi="Corbel"/>
                <w:smallCaps w:val="0"/>
                <w:w w:val="100"/>
                <w:sz w:val="21"/>
              </w:rPr>
              <w:t>t</w:t>
            </w:r>
            <w:r>
              <w:rPr>
                <w:rFonts w:ascii="Corbel" w:hAnsi="Corbel"/>
                <w:smallCaps w:val="0"/>
                <w:spacing w:val="-2"/>
                <w:w w:val="100"/>
                <w:sz w:val="21"/>
              </w:rPr>
              <w:t>i</w:t>
            </w:r>
            <w:r>
              <w:rPr>
                <w:rFonts w:ascii="Corbel" w:hAnsi="Corbel"/>
                <w:smallCaps w:val="0"/>
                <w:w w:val="100"/>
                <w:sz w:val="21"/>
              </w:rPr>
              <w:t>v</w:t>
            </w:r>
            <w:r>
              <w:rPr>
                <w:rFonts w:ascii="Corbel" w:hAnsi="Corbel"/>
                <w:smallCaps w:val="0"/>
                <w:spacing w:val="-2"/>
                <w:w w:val="100"/>
                <w:sz w:val="21"/>
              </w:rPr>
              <w:t>i</w:t>
            </w:r>
            <w:r>
              <w:rPr>
                <w:rFonts w:ascii="Corbel" w:hAnsi="Corbel"/>
                <w:smallCaps w:val="0"/>
                <w:w w:val="100"/>
                <w:sz w:val="21"/>
              </w:rPr>
              <w:t>d</w:t>
            </w:r>
            <w:r>
              <w:rPr>
                <w:rFonts w:ascii="Corbel" w:hAnsi="Corbel"/>
                <w:smallCaps w:val="0"/>
                <w:spacing w:val="-1"/>
                <w:w w:val="100"/>
                <w:sz w:val="21"/>
              </w:rPr>
              <w:t>a</w:t>
            </w:r>
            <w:r>
              <w:rPr>
                <w:rFonts w:ascii="Corbel" w:hAnsi="Corbel"/>
                <w:smallCaps w:val="0"/>
                <w:w w:val="100"/>
                <w:sz w:val="21"/>
              </w:rPr>
              <w:t>d e</w:t>
            </w:r>
            <w:r>
              <w:rPr>
                <w:rFonts w:ascii="Corbel" w:hAnsi="Corbel"/>
                <w:smallCaps w:val="0"/>
                <w:spacing w:val="1"/>
                <w:w w:val="100"/>
                <w:sz w:val="21"/>
              </w:rPr>
              <w:t>c</w:t>
            </w:r>
            <w:r>
              <w:rPr>
                <w:rFonts w:ascii="Corbel" w:hAnsi="Corbel"/>
                <w:smallCaps w:val="0"/>
                <w:spacing w:val="-1"/>
                <w:w w:val="100"/>
                <w:sz w:val="21"/>
              </w:rPr>
              <w:t>o</w:t>
            </w:r>
            <w:r>
              <w:rPr>
                <w:rFonts w:ascii="Corbel" w:hAnsi="Corbel"/>
                <w:smallCaps w:val="0"/>
                <w:spacing w:val="-4"/>
                <w:w w:val="100"/>
                <w:sz w:val="21"/>
              </w:rPr>
              <w:t>n</w:t>
            </w:r>
            <w:r>
              <w:rPr>
                <w:rFonts w:ascii="Corbel" w:hAnsi="Corbel"/>
                <w:smallCaps w:val="0"/>
                <w:spacing w:val="-1"/>
                <w:w w:val="100"/>
                <w:sz w:val="21"/>
              </w:rPr>
              <w:t>ómi</w:t>
            </w:r>
            <w:r>
              <w:rPr>
                <w:rFonts w:ascii="Corbel" w:hAnsi="Corbel"/>
                <w:smallCaps w:val="0"/>
                <w:spacing w:val="-2"/>
                <w:w w:val="100"/>
                <w:sz w:val="21"/>
              </w:rPr>
              <w:t>c</w:t>
            </w:r>
            <w:r>
              <w:rPr>
                <w:rFonts w:ascii="Corbel" w:hAnsi="Corbel"/>
                <w:smallCaps w:val="0"/>
                <w:w w:val="100"/>
                <w:sz w:val="21"/>
              </w:rPr>
              <w:t>a</w:t>
            </w:r>
            <w:r>
              <w:rPr>
                <w:rFonts w:ascii="Corbel" w:hAnsi="Corbel"/>
                <w:smallCaps w:val="0"/>
                <w:spacing w:val="1"/>
                <w:sz w:val="21"/>
              </w:rPr>
              <w:t> </w:t>
            </w:r>
            <w:r>
              <w:rPr>
                <w:rFonts w:ascii="Corbel" w:hAnsi="Corbel"/>
                <w:smallCaps w:val="0"/>
                <w:spacing w:val="-3"/>
                <w:w w:val="100"/>
                <w:sz w:val="21"/>
              </w:rPr>
              <w:t>d</w:t>
            </w:r>
            <w:r>
              <w:rPr>
                <w:rFonts w:ascii="Corbel" w:hAnsi="Corbel"/>
                <w:smallCaps w:val="0"/>
                <w:w w:val="100"/>
                <w:sz w:val="21"/>
              </w:rPr>
              <w:t>el</w:t>
            </w:r>
            <w:r>
              <w:rPr>
                <w:rFonts w:ascii="Corbel" w:hAnsi="Corbel"/>
                <w:smallCaps w:val="0"/>
                <w:sz w:val="21"/>
              </w:rPr>
              <w:t> </w:t>
            </w:r>
            <w:r>
              <w:rPr>
                <w:rFonts w:ascii="Corbel" w:hAnsi="Corbel"/>
                <w:smallCaps w:val="0"/>
                <w:spacing w:val="-3"/>
                <w:w w:val="100"/>
                <w:sz w:val="21"/>
              </w:rPr>
              <w:t>m</w:t>
            </w:r>
            <w:r>
              <w:rPr>
                <w:rFonts w:ascii="Corbel" w:hAnsi="Corbel"/>
                <w:smallCaps w:val="0"/>
                <w:w w:val="100"/>
                <w:sz w:val="21"/>
              </w:rPr>
              <w:t>u</w:t>
            </w:r>
            <w:r>
              <w:rPr>
                <w:rFonts w:ascii="Corbel" w:hAnsi="Corbel"/>
                <w:smallCaps w:val="0"/>
                <w:spacing w:val="-1"/>
                <w:w w:val="100"/>
                <w:sz w:val="21"/>
              </w:rPr>
              <w:t>n</w:t>
            </w:r>
            <w:r>
              <w:rPr>
                <w:rFonts w:ascii="Corbel" w:hAnsi="Corbel"/>
                <w:smallCaps w:val="0"/>
                <w:spacing w:val="-2"/>
                <w:w w:val="100"/>
                <w:sz w:val="21"/>
              </w:rPr>
              <w:t>i</w:t>
            </w:r>
            <w:r>
              <w:rPr>
                <w:rFonts w:ascii="Corbel" w:hAnsi="Corbel"/>
                <w:smallCaps w:val="0"/>
                <w:w w:val="100"/>
                <w:sz w:val="21"/>
              </w:rPr>
              <w:t>c</w:t>
            </w:r>
            <w:r>
              <w:rPr>
                <w:rFonts w:ascii="Corbel" w:hAnsi="Corbel"/>
                <w:smallCaps w:val="0"/>
                <w:spacing w:val="-2"/>
                <w:w w:val="100"/>
                <w:sz w:val="21"/>
              </w:rPr>
              <w:t>i</w:t>
            </w:r>
            <w:r>
              <w:rPr>
                <w:rFonts w:ascii="Corbel" w:hAnsi="Corbel"/>
                <w:smallCaps w:val="0"/>
                <w:w w:val="100"/>
                <w:sz w:val="21"/>
              </w:rPr>
              <w:t>p</w:t>
            </w:r>
            <w:r>
              <w:rPr>
                <w:rFonts w:ascii="Corbel" w:hAnsi="Corbel"/>
                <w:smallCaps w:val="0"/>
                <w:spacing w:val="-4"/>
                <w:w w:val="100"/>
                <w:sz w:val="21"/>
              </w:rPr>
              <w:t>i</w:t>
            </w:r>
            <w:r>
              <w:rPr>
                <w:rFonts w:ascii="Corbel" w:hAnsi="Corbel"/>
                <w:smallCaps w:val="0"/>
                <w:spacing w:val="-1"/>
                <w:w w:val="100"/>
                <w:sz w:val="21"/>
              </w:rPr>
              <w:t>o</w:t>
            </w:r>
            <w:r>
              <w:rPr>
                <w:rFonts w:ascii="Corbel" w:hAnsi="Corbel"/>
                <w:smallCaps w:val="0"/>
                <w:w w:val="100"/>
                <w:sz w:val="21"/>
              </w:rPr>
              <w:t>.</w:t>
            </w:r>
            <w:r>
              <w:rPr>
                <w:rFonts w:ascii="Corbel" w:hAnsi="Corbel"/>
                <w:smallCaps w:val="0"/>
                <w:spacing w:val="-1"/>
                <w:sz w:val="21"/>
              </w:rPr>
              <w:t> </w:t>
            </w:r>
            <w:r>
              <w:rPr>
                <w:rFonts w:ascii="Corbel" w:hAnsi="Corbel"/>
                <w:smallCaps w:val="0"/>
                <w:w w:val="100"/>
                <w:sz w:val="21"/>
              </w:rPr>
              <w:t>S</w:t>
            </w:r>
            <w:r>
              <w:rPr>
                <w:rFonts w:ascii="Corbel" w:hAnsi="Corbel"/>
                <w:smallCaps w:val="0"/>
                <w:spacing w:val="-2"/>
                <w:w w:val="100"/>
                <w:sz w:val="21"/>
              </w:rPr>
              <w:t>i</w:t>
            </w:r>
            <w:r>
              <w:rPr>
                <w:rFonts w:ascii="Corbel" w:hAnsi="Corbel"/>
                <w:smallCaps w:val="0"/>
                <w:w w:val="100"/>
                <w:sz w:val="21"/>
              </w:rPr>
              <w:t>n</w:t>
            </w:r>
            <w:r>
              <w:rPr>
                <w:rFonts w:ascii="Corbel" w:hAnsi="Corbel"/>
                <w:smallCaps w:val="0"/>
                <w:sz w:val="21"/>
              </w:rPr>
              <w:t> </w:t>
            </w:r>
            <w:r>
              <w:rPr>
                <w:rFonts w:ascii="Corbel" w:hAnsi="Corbel"/>
                <w:smallCaps w:val="0"/>
                <w:w w:val="100"/>
                <w:sz w:val="21"/>
              </w:rPr>
              <w:t>em</w:t>
            </w:r>
            <w:r>
              <w:rPr>
                <w:rFonts w:ascii="Corbel" w:hAnsi="Corbel"/>
                <w:smallCaps w:val="0"/>
                <w:spacing w:val="-3"/>
                <w:w w:val="100"/>
                <w:sz w:val="21"/>
              </w:rPr>
              <w:t>b</w:t>
            </w:r>
            <w:r>
              <w:rPr>
                <w:rFonts w:ascii="Corbel" w:hAnsi="Corbel"/>
                <w:smallCaps w:val="0"/>
                <w:w w:val="100"/>
                <w:sz w:val="21"/>
              </w:rPr>
              <w:t>a</w:t>
            </w:r>
            <w:r>
              <w:rPr>
                <w:rFonts w:ascii="Corbel" w:hAnsi="Corbel"/>
                <w:smallCaps w:val="0"/>
                <w:spacing w:val="-2"/>
                <w:w w:val="100"/>
                <w:sz w:val="21"/>
              </w:rPr>
              <w:t>r</w:t>
            </w:r>
            <w:r>
              <w:rPr>
                <w:rFonts w:ascii="Corbel" w:hAnsi="Corbel"/>
                <w:smallCaps w:val="0"/>
                <w:w w:val="100"/>
                <w:sz w:val="21"/>
              </w:rPr>
              <w:t>g</w:t>
            </w:r>
            <w:r>
              <w:rPr>
                <w:rFonts w:ascii="Corbel" w:hAnsi="Corbel"/>
                <w:smallCaps w:val="0"/>
                <w:spacing w:val="-1"/>
                <w:w w:val="100"/>
                <w:sz w:val="21"/>
              </w:rPr>
              <w:t>o, </w:t>
            </w:r>
            <w:r>
              <w:rPr>
                <w:rFonts w:ascii="Corbel" w:hAnsi="Corbel"/>
                <w:smallCaps w:val="0"/>
                <w:spacing w:val="-2"/>
                <w:w w:val="100"/>
                <w:sz w:val="21"/>
              </w:rPr>
              <w:t>l</w:t>
            </w:r>
            <w:r>
              <w:rPr>
                <w:rFonts w:ascii="Corbel" w:hAnsi="Corbel"/>
                <w:smallCaps w:val="0"/>
                <w:spacing w:val="-1"/>
                <w:w w:val="100"/>
                <w:sz w:val="21"/>
              </w:rPr>
              <w:t>o</w:t>
            </w:r>
            <w:r>
              <w:rPr>
                <w:rFonts w:ascii="Corbel" w:hAnsi="Corbel"/>
                <w:smallCaps w:val="0"/>
                <w:w w:val="100"/>
                <w:sz w:val="21"/>
              </w:rPr>
              <w:t>s</w:t>
            </w:r>
            <w:r>
              <w:rPr>
                <w:rFonts w:ascii="Corbel" w:hAnsi="Corbel"/>
                <w:smallCaps w:val="0"/>
                <w:sz w:val="21"/>
              </w:rPr>
              <w:t> </w:t>
            </w:r>
            <w:r>
              <w:rPr>
                <w:rFonts w:ascii="Corbel" w:hAnsi="Corbel"/>
                <w:smallCaps w:val="0"/>
                <w:spacing w:val="-1"/>
                <w:w w:val="100"/>
                <w:sz w:val="21"/>
              </w:rPr>
              <w:t>hab</w:t>
            </w:r>
            <w:r>
              <w:rPr>
                <w:rFonts w:ascii="Corbel" w:hAnsi="Corbel"/>
                <w:smallCaps w:val="0"/>
                <w:spacing w:val="-2"/>
                <w:w w:val="100"/>
                <w:sz w:val="21"/>
              </w:rPr>
              <w:t>i</w:t>
            </w:r>
            <w:r>
              <w:rPr>
                <w:rFonts w:ascii="Corbel" w:hAnsi="Corbel"/>
                <w:smallCaps w:val="0"/>
                <w:w w:val="100"/>
                <w:sz w:val="21"/>
              </w:rPr>
              <w:t>ta</w:t>
            </w:r>
            <w:r>
              <w:rPr>
                <w:rFonts w:ascii="Corbel" w:hAnsi="Corbel"/>
                <w:smallCaps w:val="0"/>
                <w:spacing w:val="-4"/>
                <w:w w:val="100"/>
                <w:sz w:val="21"/>
              </w:rPr>
              <w:t>n</w:t>
            </w:r>
            <w:r>
              <w:rPr>
                <w:rFonts w:ascii="Corbel" w:hAnsi="Corbel"/>
                <w:smallCaps w:val="0"/>
                <w:w w:val="100"/>
                <w:sz w:val="21"/>
              </w:rPr>
              <w:t>t</w:t>
            </w:r>
            <w:r>
              <w:rPr>
                <w:rFonts w:ascii="Corbel" w:hAnsi="Corbel"/>
                <w:smallCaps w:val="0"/>
                <w:spacing w:val="-2"/>
                <w:w w:val="100"/>
                <w:sz w:val="21"/>
              </w:rPr>
              <w:t>e</w:t>
            </w:r>
            <w:r>
              <w:rPr>
                <w:rFonts w:ascii="Corbel" w:hAnsi="Corbel"/>
                <w:smallCaps w:val="0"/>
                <w:w w:val="100"/>
                <w:sz w:val="21"/>
              </w:rPr>
              <w:t>s</w:t>
            </w:r>
            <w:r>
              <w:rPr>
                <w:rFonts w:ascii="Corbel" w:hAnsi="Corbel"/>
                <w:smallCaps w:val="0"/>
                <w:spacing w:val="2"/>
                <w:sz w:val="21"/>
              </w:rPr>
              <w:t> </w:t>
            </w:r>
            <w:r>
              <w:rPr>
                <w:rFonts w:ascii="Corbel" w:hAnsi="Corbel"/>
                <w:smallCaps w:val="0"/>
                <w:spacing w:val="-4"/>
                <w:w w:val="100"/>
                <w:sz w:val="21"/>
              </w:rPr>
              <w:t>n</w:t>
            </w:r>
            <w:r>
              <w:rPr>
                <w:rFonts w:ascii="Corbel" w:hAnsi="Corbel"/>
                <w:smallCaps w:val="0"/>
                <w:w w:val="100"/>
                <w:sz w:val="21"/>
              </w:rPr>
              <w:t>o</w:t>
            </w:r>
            <w:r>
              <w:rPr>
                <w:rFonts w:ascii="Corbel" w:hAnsi="Corbel"/>
                <w:smallCaps w:val="0"/>
                <w:spacing w:val="-2"/>
                <w:sz w:val="21"/>
              </w:rPr>
              <w:t> </w:t>
            </w:r>
            <w:r>
              <w:rPr>
                <w:rFonts w:ascii="Corbel" w:hAnsi="Corbel"/>
                <w:smallCaps w:val="0"/>
                <w:w w:val="100"/>
                <w:sz w:val="21"/>
              </w:rPr>
              <w:t>c</w:t>
            </w:r>
            <w:r>
              <w:rPr>
                <w:rFonts w:ascii="Corbel" w:hAnsi="Corbel"/>
                <w:smallCaps w:val="0"/>
                <w:spacing w:val="-2"/>
                <w:w w:val="100"/>
                <w:sz w:val="21"/>
              </w:rPr>
              <w:t>u</w:t>
            </w:r>
            <w:r>
              <w:rPr>
                <w:rFonts w:ascii="Corbel" w:hAnsi="Corbel"/>
                <w:smallCaps w:val="0"/>
                <w:w w:val="100"/>
                <w:sz w:val="21"/>
              </w:rPr>
              <w:t>entan</w:t>
            </w:r>
            <w:r>
              <w:rPr>
                <w:rFonts w:ascii="Corbel" w:hAnsi="Corbel"/>
                <w:smallCaps w:val="0"/>
                <w:spacing w:val="-2"/>
                <w:sz w:val="21"/>
              </w:rPr>
              <w:t> </w:t>
            </w:r>
            <w:r>
              <w:rPr>
                <w:rFonts w:ascii="Corbel" w:hAnsi="Corbel"/>
                <w:smallCaps w:val="0"/>
                <w:spacing w:val="-2"/>
                <w:w w:val="100"/>
                <w:sz w:val="21"/>
              </w:rPr>
              <w:t>c</w:t>
            </w:r>
            <w:r>
              <w:rPr>
                <w:rFonts w:ascii="Corbel" w:hAnsi="Corbel"/>
                <w:smallCaps w:val="0"/>
                <w:spacing w:val="-1"/>
                <w:w w:val="100"/>
                <w:sz w:val="21"/>
              </w:rPr>
              <w:t>o</w:t>
            </w:r>
            <w:r>
              <w:rPr>
                <w:rFonts w:ascii="Corbel" w:hAnsi="Corbel"/>
                <w:smallCaps w:val="0"/>
                <w:w w:val="100"/>
                <w:sz w:val="21"/>
              </w:rPr>
              <w:t>n</w:t>
            </w:r>
            <w:r>
              <w:rPr>
                <w:rFonts w:ascii="Corbel" w:hAnsi="Corbel"/>
                <w:smallCaps w:val="0"/>
                <w:sz w:val="21"/>
              </w:rPr>
              <w:t> </w:t>
            </w:r>
            <w:r>
              <w:rPr>
                <w:rFonts w:ascii="Corbel" w:hAnsi="Corbel"/>
                <w:smallCaps w:val="0"/>
                <w:w w:val="100"/>
                <w:sz w:val="21"/>
              </w:rPr>
              <w:t>a</w:t>
            </w:r>
            <w:r>
              <w:rPr>
                <w:rFonts w:ascii="Corbel" w:hAnsi="Corbel"/>
                <w:smallCaps w:val="0"/>
                <w:spacing w:val="-2"/>
                <w:w w:val="100"/>
                <w:sz w:val="21"/>
              </w:rPr>
              <w:t>se</w:t>
            </w:r>
            <w:r>
              <w:rPr>
                <w:rFonts w:ascii="Corbel" w:hAnsi="Corbel"/>
                <w:smallCaps w:val="0"/>
                <w:w w:val="100"/>
                <w:sz w:val="21"/>
              </w:rPr>
              <w:t>s</w:t>
            </w:r>
            <w:r>
              <w:rPr>
                <w:rFonts w:ascii="Corbel" w:hAnsi="Corbel"/>
                <w:smallCaps w:val="0"/>
                <w:spacing w:val="-1"/>
                <w:w w:val="100"/>
                <w:sz w:val="21"/>
              </w:rPr>
              <w:t>or</w:t>
            </w:r>
            <w:r>
              <w:rPr>
                <w:rFonts w:ascii="Corbel" w:hAnsi="Corbel"/>
                <w:smallCaps w:val="0"/>
                <w:spacing w:val="-2"/>
                <w:w w:val="100"/>
                <w:sz w:val="21"/>
              </w:rPr>
              <w:t>í</w:t>
            </w:r>
            <w:r>
              <w:rPr>
                <w:rFonts w:ascii="Corbel" w:hAnsi="Corbel"/>
                <w:smallCaps w:val="0"/>
                <w:w w:val="100"/>
                <w:sz w:val="21"/>
              </w:rPr>
              <w:t>a e</w:t>
            </w:r>
            <w:r>
              <w:rPr>
                <w:rFonts w:ascii="Corbel" w:hAnsi="Corbel"/>
                <w:smallCaps w:val="0"/>
                <w:spacing w:val="-1"/>
                <w:w w:val="100"/>
                <w:sz w:val="21"/>
              </w:rPr>
              <w:t>s</w:t>
            </w:r>
            <w:r>
              <w:rPr>
                <w:rFonts w:ascii="Corbel" w:hAnsi="Corbel"/>
                <w:smallCaps w:val="0"/>
                <w:w w:val="100"/>
                <w:sz w:val="21"/>
              </w:rPr>
              <w:t>p</w:t>
            </w:r>
            <w:r>
              <w:rPr>
                <w:rFonts w:ascii="Corbel" w:hAnsi="Corbel"/>
                <w:smallCaps w:val="0"/>
                <w:spacing w:val="-2"/>
                <w:w w:val="100"/>
                <w:sz w:val="21"/>
              </w:rPr>
              <w:t>e</w:t>
            </w:r>
            <w:r>
              <w:rPr>
                <w:rFonts w:ascii="Corbel" w:hAnsi="Corbel"/>
                <w:smallCaps w:val="0"/>
                <w:w w:val="100"/>
                <w:sz w:val="21"/>
              </w:rPr>
              <w:t>c</w:t>
            </w:r>
            <w:r>
              <w:rPr>
                <w:rFonts w:ascii="Corbel" w:hAnsi="Corbel"/>
                <w:smallCaps w:val="0"/>
                <w:spacing w:val="-2"/>
                <w:w w:val="100"/>
                <w:sz w:val="21"/>
              </w:rPr>
              <w:t>i</w:t>
            </w:r>
            <w:r>
              <w:rPr>
                <w:rFonts w:ascii="Corbel" w:hAnsi="Corbel"/>
                <w:smallCaps w:val="0"/>
                <w:w w:val="100"/>
                <w:sz w:val="21"/>
              </w:rPr>
              <w:t>a</w:t>
            </w:r>
            <w:r>
              <w:rPr>
                <w:rFonts w:ascii="Corbel" w:hAnsi="Corbel"/>
                <w:smallCaps w:val="0"/>
                <w:spacing w:val="-2"/>
                <w:w w:val="100"/>
                <w:sz w:val="21"/>
              </w:rPr>
              <w:t>li</w:t>
            </w:r>
            <w:r>
              <w:rPr>
                <w:rFonts w:ascii="Corbel" w:hAnsi="Corbel"/>
                <w:smallCaps w:val="0"/>
                <w:spacing w:val="-1"/>
                <w:w w:val="100"/>
                <w:sz w:val="21"/>
              </w:rPr>
              <w:t>zad</w:t>
            </w:r>
            <w:r>
              <w:rPr>
                <w:rFonts w:ascii="Corbel" w:hAnsi="Corbel"/>
                <w:smallCaps w:val="0"/>
                <w:w w:val="100"/>
                <w:sz w:val="21"/>
              </w:rPr>
              <w:t>a</w:t>
            </w:r>
            <w:r>
              <w:rPr>
                <w:rFonts w:ascii="Corbel" w:hAnsi="Corbel"/>
                <w:smallCaps w:val="0"/>
                <w:spacing w:val="-1"/>
                <w:sz w:val="21"/>
              </w:rPr>
              <w:t> </w:t>
            </w:r>
            <w:r>
              <w:rPr>
                <w:rFonts w:ascii="Corbel" w:hAnsi="Corbel"/>
                <w:smallCaps w:val="0"/>
                <w:w w:val="100"/>
                <w:sz w:val="21"/>
              </w:rPr>
              <w:t>pa</w:t>
            </w:r>
            <w:r>
              <w:rPr>
                <w:rFonts w:ascii="Corbel" w:hAnsi="Corbel"/>
                <w:smallCaps w:val="0"/>
                <w:spacing w:val="-2"/>
                <w:w w:val="100"/>
                <w:sz w:val="21"/>
              </w:rPr>
              <w:t>r</w:t>
            </w:r>
            <w:r>
              <w:rPr>
                <w:rFonts w:ascii="Corbel" w:hAnsi="Corbel"/>
                <w:smallCaps w:val="0"/>
                <w:w w:val="100"/>
                <w:sz w:val="21"/>
              </w:rPr>
              <w:t>a</w:t>
            </w:r>
            <w:r>
              <w:rPr>
                <w:rFonts w:ascii="Corbel" w:hAnsi="Corbel"/>
                <w:smallCaps w:val="0"/>
                <w:spacing w:val="1"/>
                <w:sz w:val="21"/>
              </w:rPr>
              <w:t> </w:t>
            </w:r>
            <w:r>
              <w:rPr>
                <w:rFonts w:ascii="Corbel" w:hAnsi="Corbel"/>
                <w:smallCaps w:val="0"/>
                <w:spacing w:val="-1"/>
                <w:w w:val="100"/>
                <w:sz w:val="21"/>
              </w:rPr>
              <w:t>l</w:t>
            </w:r>
            <w:r>
              <w:rPr>
                <w:rFonts w:ascii="Corbel" w:hAnsi="Corbel"/>
                <w:smallCaps w:val="0"/>
                <w:w w:val="100"/>
                <w:sz w:val="21"/>
              </w:rPr>
              <w:t>a</w:t>
            </w:r>
            <w:r>
              <w:rPr>
                <w:rFonts w:ascii="Corbel" w:hAnsi="Corbel"/>
                <w:smallCaps w:val="0"/>
                <w:spacing w:val="-1"/>
                <w:sz w:val="21"/>
              </w:rPr>
              <w:t> </w:t>
            </w:r>
            <w:r>
              <w:rPr>
                <w:rFonts w:ascii="Corbel" w:hAnsi="Corbel"/>
                <w:smallCaps w:val="0"/>
                <w:w w:val="100"/>
                <w:sz w:val="21"/>
              </w:rPr>
              <w:t>c</w:t>
            </w:r>
            <w:r>
              <w:rPr>
                <w:rFonts w:ascii="Corbel" w:hAnsi="Corbel"/>
                <w:smallCaps w:val="0"/>
                <w:spacing w:val="-2"/>
                <w:w w:val="100"/>
                <w:sz w:val="21"/>
              </w:rPr>
              <w:t>r</w:t>
            </w:r>
            <w:r>
              <w:rPr>
                <w:rFonts w:ascii="Corbel" w:hAnsi="Corbel"/>
                <w:smallCaps w:val="0"/>
                <w:w w:val="100"/>
                <w:sz w:val="21"/>
              </w:rPr>
              <w:t>e</w:t>
            </w:r>
            <w:r>
              <w:rPr>
                <w:rFonts w:ascii="Corbel" w:hAnsi="Corbel"/>
                <w:smallCaps w:val="0"/>
                <w:spacing w:val="-3"/>
                <w:w w:val="100"/>
                <w:sz w:val="21"/>
              </w:rPr>
              <w:t>a</w:t>
            </w:r>
            <w:r>
              <w:rPr>
                <w:rFonts w:ascii="Corbel" w:hAnsi="Corbel"/>
                <w:smallCaps w:val="0"/>
                <w:w w:val="100"/>
                <w:sz w:val="21"/>
              </w:rPr>
              <w:t>c</w:t>
            </w:r>
            <w:r>
              <w:rPr>
                <w:rFonts w:ascii="Corbel" w:hAnsi="Corbel"/>
                <w:smallCaps w:val="0"/>
                <w:spacing w:val="-2"/>
                <w:w w:val="100"/>
                <w:sz w:val="21"/>
              </w:rPr>
              <w:t>i</w:t>
            </w:r>
            <w:r>
              <w:rPr>
                <w:rFonts w:ascii="Corbel" w:hAnsi="Corbel"/>
                <w:smallCaps w:val="0"/>
                <w:spacing w:val="-3"/>
                <w:w w:val="100"/>
                <w:sz w:val="21"/>
              </w:rPr>
              <w:t>ó</w:t>
            </w:r>
            <w:r>
              <w:rPr>
                <w:rFonts w:ascii="Corbel" w:hAnsi="Corbel"/>
                <w:smallCaps w:val="0"/>
                <w:w w:val="100"/>
                <w:sz w:val="21"/>
              </w:rPr>
              <w:t>n</w:t>
            </w:r>
            <w:r>
              <w:rPr>
                <w:rFonts w:ascii="Corbel" w:hAnsi="Corbel"/>
                <w:smallCaps w:val="0"/>
                <w:sz w:val="21"/>
              </w:rPr>
              <w:t> </w:t>
            </w:r>
            <w:r>
              <w:rPr>
                <w:rFonts w:ascii="Corbel" w:hAnsi="Corbel"/>
                <w:smallCaps w:val="0"/>
                <w:spacing w:val="-1"/>
                <w:w w:val="100"/>
                <w:sz w:val="21"/>
              </w:rPr>
              <w:t>de </w:t>
            </w:r>
            <w:r>
              <w:rPr>
                <w:rFonts w:ascii="Corbel" w:hAnsi="Corbel"/>
                <w:smallCaps w:val="0"/>
                <w:w w:val="100"/>
                <w:sz w:val="21"/>
              </w:rPr>
              <w:t>e</w:t>
            </w:r>
            <w:r>
              <w:rPr>
                <w:rFonts w:ascii="Corbel" w:hAnsi="Corbel"/>
                <w:smallCaps w:val="0"/>
                <w:spacing w:val="-2"/>
                <w:w w:val="100"/>
                <w:sz w:val="21"/>
              </w:rPr>
              <w:t>m</w:t>
            </w:r>
            <w:r>
              <w:rPr>
                <w:rFonts w:ascii="Corbel" w:hAnsi="Corbel"/>
                <w:smallCaps w:val="0"/>
                <w:w w:val="100"/>
                <w:sz w:val="21"/>
              </w:rPr>
              <w:t>p</w:t>
            </w:r>
            <w:r>
              <w:rPr>
                <w:rFonts w:ascii="Corbel" w:hAnsi="Corbel"/>
                <w:smallCaps w:val="0"/>
                <w:spacing w:val="-2"/>
                <w:w w:val="100"/>
                <w:sz w:val="21"/>
              </w:rPr>
              <w:t>r</w:t>
            </w:r>
            <w:r>
              <w:rPr>
                <w:rFonts w:ascii="Corbel" w:hAnsi="Corbel"/>
                <w:smallCaps w:val="0"/>
                <w:w w:val="100"/>
                <w:sz w:val="21"/>
              </w:rPr>
              <w:t>e</w:t>
            </w:r>
            <w:r>
              <w:rPr>
                <w:rFonts w:ascii="Corbel" w:hAnsi="Corbel"/>
                <w:smallCaps w:val="0"/>
                <w:spacing w:val="1"/>
                <w:w w:val="100"/>
                <w:sz w:val="21"/>
              </w:rPr>
              <w:t>s</w:t>
            </w:r>
            <w:r>
              <w:rPr>
                <w:rFonts w:ascii="Corbel" w:hAnsi="Corbel"/>
                <w:smallCaps w:val="0"/>
                <w:w w:val="100"/>
                <w:sz w:val="21"/>
              </w:rPr>
              <w:t>a,</w:t>
            </w:r>
            <w:r>
              <w:rPr>
                <w:rFonts w:ascii="Corbel" w:hAnsi="Corbel"/>
                <w:smallCaps w:val="0"/>
                <w:spacing w:val="-2"/>
                <w:sz w:val="21"/>
              </w:rPr>
              <w:t> </w:t>
            </w:r>
            <w:r>
              <w:rPr>
                <w:rFonts w:ascii="Corbel" w:hAnsi="Corbel"/>
                <w:smallCaps w:val="0"/>
                <w:spacing w:val="-2"/>
                <w:w w:val="100"/>
                <w:sz w:val="21"/>
              </w:rPr>
              <w:t>cu</w:t>
            </w:r>
            <w:r>
              <w:rPr>
                <w:rFonts w:ascii="Corbel" w:hAnsi="Corbel"/>
                <w:smallCaps w:val="0"/>
                <w:w w:val="100"/>
                <w:sz w:val="21"/>
              </w:rPr>
              <w:t>mp</w:t>
            </w:r>
            <w:r>
              <w:rPr>
                <w:rFonts w:ascii="Corbel" w:hAnsi="Corbel"/>
                <w:smallCaps w:val="0"/>
                <w:spacing w:val="-2"/>
                <w:w w:val="100"/>
                <w:sz w:val="21"/>
              </w:rPr>
              <w:t>li</w:t>
            </w:r>
            <w:r>
              <w:rPr>
                <w:rFonts w:ascii="Corbel" w:hAnsi="Corbel"/>
                <w:smallCaps w:val="0"/>
                <w:w w:val="100"/>
                <w:sz w:val="21"/>
              </w:rPr>
              <w:t>r</w:t>
            </w:r>
            <w:r>
              <w:rPr>
                <w:rFonts w:ascii="Corbel" w:hAnsi="Corbel"/>
                <w:smallCaps w:val="0"/>
                <w:sz w:val="21"/>
              </w:rPr>
              <w:t> </w:t>
            </w:r>
            <w:r>
              <w:rPr>
                <w:rFonts w:ascii="Corbel" w:hAnsi="Corbel"/>
                <w:smallCaps w:val="0"/>
                <w:spacing w:val="-2"/>
                <w:w w:val="100"/>
                <w:sz w:val="21"/>
              </w:rPr>
              <w:t>c</w:t>
            </w:r>
            <w:r>
              <w:rPr>
                <w:rFonts w:ascii="Corbel" w:hAnsi="Corbel"/>
                <w:smallCaps w:val="0"/>
                <w:spacing w:val="-1"/>
                <w:w w:val="100"/>
                <w:sz w:val="21"/>
              </w:rPr>
              <w:t>o</w:t>
            </w:r>
            <w:r>
              <w:rPr>
                <w:rFonts w:ascii="Corbel" w:hAnsi="Corbel"/>
                <w:smallCaps w:val="0"/>
                <w:w w:val="100"/>
                <w:sz w:val="21"/>
              </w:rPr>
              <w:t>n</w:t>
            </w:r>
            <w:r>
              <w:rPr>
                <w:rFonts w:ascii="Corbel" w:hAnsi="Corbel"/>
                <w:smallCaps w:val="0"/>
                <w:sz w:val="21"/>
              </w:rPr>
              <w:t> </w:t>
            </w:r>
            <w:r>
              <w:rPr>
                <w:rFonts w:ascii="Corbel" w:hAnsi="Corbel"/>
                <w:smallCaps w:val="0"/>
                <w:spacing w:val="-2"/>
                <w:w w:val="100"/>
                <w:sz w:val="21"/>
              </w:rPr>
              <w:t>l</w:t>
            </w:r>
            <w:r>
              <w:rPr>
                <w:rFonts w:ascii="Corbel" w:hAnsi="Corbel"/>
                <w:smallCaps w:val="0"/>
                <w:spacing w:val="-3"/>
                <w:w w:val="100"/>
                <w:sz w:val="21"/>
              </w:rPr>
              <w:t>a</w:t>
            </w:r>
            <w:r>
              <w:rPr>
                <w:rFonts w:ascii="Corbel" w:hAnsi="Corbel"/>
                <w:smallCaps w:val="0"/>
                <w:w w:val="100"/>
                <w:sz w:val="21"/>
              </w:rPr>
              <w:t>s</w:t>
            </w:r>
            <w:r>
              <w:rPr>
                <w:rFonts w:ascii="Corbel" w:hAnsi="Corbel"/>
                <w:smallCaps w:val="0"/>
                <w:spacing w:val="2"/>
                <w:sz w:val="21"/>
              </w:rPr>
              <w:t> </w:t>
            </w:r>
            <w:r>
              <w:rPr>
                <w:rFonts w:ascii="Corbel" w:hAnsi="Corbel"/>
                <w:smallCaps w:val="0"/>
                <w:spacing w:val="-3"/>
                <w:w w:val="100"/>
                <w:sz w:val="21"/>
              </w:rPr>
              <w:t>o</w:t>
            </w:r>
            <w:r>
              <w:rPr>
                <w:rFonts w:ascii="Corbel" w:hAnsi="Corbel"/>
                <w:smallCaps w:val="0"/>
                <w:w w:val="100"/>
                <w:sz w:val="21"/>
              </w:rPr>
              <w:t>b</w:t>
            </w:r>
            <w:r>
              <w:rPr>
                <w:rFonts w:ascii="Corbel" w:hAnsi="Corbel"/>
                <w:smallCaps w:val="0"/>
                <w:spacing w:val="-2"/>
                <w:w w:val="100"/>
                <w:sz w:val="21"/>
              </w:rPr>
              <w:t>li</w:t>
            </w:r>
            <w:r>
              <w:rPr>
                <w:rFonts w:ascii="Corbel" w:hAnsi="Corbel"/>
                <w:smallCaps w:val="0"/>
                <w:w w:val="100"/>
                <w:sz w:val="21"/>
              </w:rPr>
              <w:t>gac</w:t>
            </w:r>
            <w:r>
              <w:rPr>
                <w:rFonts w:ascii="Corbel" w:hAnsi="Corbel"/>
                <w:smallCaps w:val="0"/>
                <w:spacing w:val="-2"/>
                <w:w w:val="100"/>
                <w:sz w:val="21"/>
              </w:rPr>
              <w:t>i</w:t>
            </w:r>
            <w:r>
              <w:rPr>
                <w:rFonts w:ascii="Corbel" w:hAnsi="Corbel"/>
                <w:smallCaps w:val="0"/>
                <w:spacing w:val="-1"/>
                <w:w w:val="100"/>
                <w:sz w:val="21"/>
              </w:rPr>
              <w:t>on</w:t>
            </w:r>
            <w:r>
              <w:rPr>
                <w:rFonts w:ascii="Corbel" w:hAnsi="Corbel"/>
                <w:smallCaps w:val="0"/>
                <w:spacing w:val="-2"/>
                <w:w w:val="100"/>
                <w:sz w:val="21"/>
              </w:rPr>
              <w:t>e</w:t>
            </w:r>
            <w:r>
              <w:rPr>
                <w:rFonts w:ascii="Corbel" w:hAnsi="Corbel"/>
                <w:smallCaps w:val="0"/>
                <w:w w:val="100"/>
                <w:sz w:val="21"/>
              </w:rPr>
              <w:t>s pat</w:t>
            </w:r>
            <w:r>
              <w:rPr>
                <w:rFonts w:ascii="Corbel" w:hAnsi="Corbel"/>
                <w:smallCaps w:val="0"/>
                <w:spacing w:val="-2"/>
                <w:w w:val="100"/>
                <w:sz w:val="21"/>
              </w:rPr>
              <w:t>r</w:t>
            </w:r>
            <w:r>
              <w:rPr>
                <w:rFonts w:ascii="Corbel" w:hAnsi="Corbel"/>
                <w:smallCaps w:val="0"/>
                <w:spacing w:val="-1"/>
                <w:w w:val="100"/>
                <w:sz w:val="21"/>
              </w:rPr>
              <w:t>on</w:t>
            </w:r>
            <w:r>
              <w:rPr>
                <w:rFonts w:ascii="Corbel" w:hAnsi="Corbel"/>
                <w:smallCaps w:val="0"/>
                <w:w w:val="100"/>
                <w:sz w:val="21"/>
              </w:rPr>
              <w:t>a</w:t>
            </w:r>
            <w:r>
              <w:rPr>
                <w:rFonts w:ascii="Corbel" w:hAnsi="Corbel"/>
                <w:smallCaps w:val="0"/>
                <w:spacing w:val="-4"/>
                <w:w w:val="100"/>
                <w:sz w:val="21"/>
              </w:rPr>
              <w:t>l</w:t>
            </w:r>
            <w:r>
              <w:rPr>
                <w:rFonts w:ascii="Corbel" w:hAnsi="Corbel"/>
                <w:smallCaps w:val="0"/>
                <w:w w:val="100"/>
                <w:sz w:val="21"/>
              </w:rPr>
              <w:t>es</w:t>
            </w:r>
            <w:r>
              <w:rPr>
                <w:rFonts w:ascii="Corbel" w:hAnsi="Corbel"/>
                <w:smallCaps w:val="0"/>
                <w:sz w:val="21"/>
              </w:rPr>
              <w:t> </w:t>
            </w:r>
            <w:r>
              <w:rPr>
                <w:rFonts w:ascii="Corbel" w:hAnsi="Corbel"/>
                <w:smallCaps w:val="0"/>
                <w:w w:val="100"/>
                <w:sz w:val="21"/>
              </w:rPr>
              <w:t>o</w:t>
            </w:r>
            <w:r>
              <w:rPr>
                <w:rFonts w:ascii="Corbel" w:hAnsi="Corbel"/>
                <w:smallCaps w:val="0"/>
                <w:spacing w:val="-2"/>
                <w:sz w:val="21"/>
              </w:rPr>
              <w:t> </w:t>
            </w:r>
            <w:r>
              <w:rPr>
                <w:rFonts w:ascii="Corbel" w:hAnsi="Corbel"/>
                <w:smallCaps w:val="0"/>
                <w:spacing w:val="-1"/>
                <w:w w:val="100"/>
                <w:sz w:val="21"/>
              </w:rPr>
              <w:t>h</w:t>
            </w:r>
            <w:r>
              <w:rPr>
                <w:rFonts w:ascii="Corbel" w:hAnsi="Corbel"/>
                <w:smallCaps w:val="0"/>
                <w:w w:val="100"/>
                <w:sz w:val="21"/>
              </w:rPr>
              <w:t>e</w:t>
            </w:r>
            <w:r>
              <w:rPr>
                <w:rFonts w:ascii="Corbel" w:hAnsi="Corbel"/>
                <w:smallCaps w:val="0"/>
                <w:spacing w:val="-2"/>
                <w:w w:val="100"/>
                <w:sz w:val="21"/>
              </w:rPr>
              <w:t>rr</w:t>
            </w:r>
            <w:r>
              <w:rPr>
                <w:rFonts w:ascii="Corbel" w:hAnsi="Corbel"/>
                <w:smallCaps w:val="0"/>
                <w:w w:val="100"/>
                <w:sz w:val="21"/>
              </w:rPr>
              <w:t>am</w:t>
            </w:r>
            <w:r>
              <w:rPr>
                <w:rFonts w:ascii="Corbel" w:hAnsi="Corbel"/>
                <w:smallCaps w:val="0"/>
                <w:spacing w:val="-2"/>
                <w:w w:val="100"/>
                <w:sz w:val="21"/>
              </w:rPr>
              <w:t>i</w:t>
            </w:r>
            <w:r>
              <w:rPr>
                <w:rFonts w:ascii="Corbel" w:hAnsi="Corbel"/>
                <w:smallCaps w:val="0"/>
                <w:w w:val="100"/>
                <w:sz w:val="21"/>
              </w:rPr>
              <w:t>e</w:t>
            </w:r>
            <w:r>
              <w:rPr>
                <w:rFonts w:ascii="Corbel" w:hAnsi="Corbel"/>
                <w:smallCaps w:val="0"/>
                <w:spacing w:val="-3"/>
                <w:w w:val="100"/>
                <w:sz w:val="21"/>
              </w:rPr>
              <w:t>n</w:t>
            </w:r>
            <w:r>
              <w:rPr>
                <w:rFonts w:ascii="Corbel" w:hAnsi="Corbel"/>
                <w:smallCaps w:val="0"/>
                <w:w w:val="100"/>
                <w:sz w:val="21"/>
              </w:rPr>
              <w:t>t</w:t>
            </w:r>
            <w:r>
              <w:rPr>
                <w:rFonts w:ascii="Corbel" w:hAnsi="Corbel"/>
                <w:smallCaps w:val="0"/>
                <w:spacing w:val="-3"/>
                <w:w w:val="100"/>
                <w:sz w:val="21"/>
              </w:rPr>
              <w:t>a</w:t>
            </w:r>
            <w:r>
              <w:rPr>
                <w:rFonts w:ascii="Corbel" w:hAnsi="Corbel"/>
                <w:smallCaps w:val="0"/>
                <w:w w:val="100"/>
                <w:sz w:val="21"/>
              </w:rPr>
              <w:t>s</w:t>
            </w:r>
            <w:r>
              <w:rPr>
                <w:rFonts w:ascii="Corbel" w:hAnsi="Corbel"/>
                <w:smallCaps w:val="0"/>
                <w:sz w:val="21"/>
              </w:rPr>
              <w:t> </w:t>
            </w:r>
            <w:r>
              <w:rPr>
                <w:rFonts w:ascii="Corbel" w:hAnsi="Corbel"/>
                <w:smallCaps w:val="0"/>
                <w:spacing w:val="-2"/>
                <w:w w:val="100"/>
                <w:sz w:val="21"/>
              </w:rPr>
              <w:t>p</w:t>
            </w:r>
            <w:r>
              <w:rPr>
                <w:rFonts w:ascii="Corbel" w:hAnsi="Corbel"/>
                <w:smallCaps w:val="0"/>
                <w:w w:val="100"/>
                <w:sz w:val="21"/>
              </w:rPr>
              <w:t>a</w:t>
            </w:r>
            <w:r>
              <w:rPr>
                <w:rFonts w:ascii="Corbel" w:hAnsi="Corbel"/>
                <w:smallCaps w:val="0"/>
                <w:spacing w:val="-2"/>
                <w:w w:val="100"/>
                <w:sz w:val="21"/>
              </w:rPr>
              <w:t>r</w:t>
            </w:r>
            <w:r>
              <w:rPr>
                <w:rFonts w:ascii="Corbel" w:hAnsi="Corbel"/>
                <w:smallCaps w:val="0"/>
                <w:w w:val="100"/>
                <w:sz w:val="21"/>
              </w:rPr>
              <w:t>a</w:t>
            </w:r>
            <w:r>
              <w:rPr>
                <w:rFonts w:ascii="Corbel" w:hAnsi="Corbel"/>
                <w:smallCaps w:val="0"/>
                <w:sz w:val="21"/>
              </w:rPr>
              <w:t> </w:t>
            </w:r>
            <w:r>
              <w:rPr>
                <w:rFonts w:ascii="Corbel" w:hAnsi="Corbel"/>
                <w:smallCaps w:val="0"/>
                <w:spacing w:val="-1"/>
                <w:w w:val="100"/>
                <w:sz w:val="21"/>
              </w:rPr>
              <w:t>h</w:t>
            </w:r>
            <w:r>
              <w:rPr>
                <w:rFonts w:ascii="Corbel" w:hAnsi="Corbel"/>
                <w:smallCaps w:val="0"/>
                <w:spacing w:val="-3"/>
                <w:w w:val="100"/>
                <w:sz w:val="21"/>
              </w:rPr>
              <w:t>a</w:t>
            </w:r>
            <w:r>
              <w:rPr>
                <w:rFonts w:ascii="Corbel" w:hAnsi="Corbel"/>
                <w:smallCaps w:val="0"/>
                <w:w w:val="100"/>
                <w:sz w:val="21"/>
              </w:rPr>
              <w:t>cer c</w:t>
            </w:r>
            <w:r>
              <w:rPr>
                <w:rFonts w:ascii="Corbel" w:hAnsi="Corbel"/>
                <w:smallCaps w:val="0"/>
                <w:spacing w:val="-2"/>
                <w:w w:val="100"/>
                <w:sz w:val="21"/>
              </w:rPr>
              <w:t>r</w:t>
            </w:r>
            <w:r>
              <w:rPr>
                <w:rFonts w:ascii="Corbel" w:hAnsi="Corbel"/>
                <w:smallCaps w:val="0"/>
                <w:w w:val="100"/>
                <w:sz w:val="21"/>
              </w:rPr>
              <w:t>e</w:t>
            </w:r>
            <w:r>
              <w:rPr>
                <w:rFonts w:ascii="Corbel" w:hAnsi="Corbel"/>
                <w:smallCaps w:val="0"/>
                <w:spacing w:val="-1"/>
                <w:w w:val="100"/>
                <w:sz w:val="21"/>
              </w:rPr>
              <w:t>c</w:t>
            </w:r>
            <w:r>
              <w:rPr>
                <w:rFonts w:ascii="Corbel" w:hAnsi="Corbel"/>
                <w:smallCaps w:val="0"/>
                <w:w w:val="100"/>
                <w:sz w:val="21"/>
              </w:rPr>
              <w:t>er</w:t>
            </w:r>
            <w:r>
              <w:rPr>
                <w:rFonts w:ascii="Corbel" w:hAnsi="Corbel"/>
                <w:smallCaps w:val="0"/>
                <w:spacing w:val="-3"/>
                <w:sz w:val="21"/>
              </w:rPr>
              <w:t> </w:t>
            </w:r>
            <w:r>
              <w:rPr>
                <w:rFonts w:ascii="Corbel" w:hAnsi="Corbel"/>
                <w:smallCaps w:val="0"/>
                <w:w w:val="100"/>
                <w:sz w:val="21"/>
              </w:rPr>
              <w:t>s</w:t>
            </w:r>
            <w:r>
              <w:rPr>
                <w:rFonts w:ascii="Corbel" w:hAnsi="Corbel"/>
                <w:smallCaps w:val="0"/>
                <w:spacing w:val="-2"/>
                <w:w w:val="100"/>
                <w:sz w:val="21"/>
              </w:rPr>
              <w:t>u</w:t>
            </w:r>
            <w:r>
              <w:rPr>
                <w:rFonts w:ascii="Corbel" w:hAnsi="Corbel"/>
                <w:smallCaps w:val="0"/>
                <w:w w:val="100"/>
                <w:sz w:val="21"/>
              </w:rPr>
              <w:t>s</w:t>
            </w:r>
            <w:r>
              <w:rPr>
                <w:rFonts w:ascii="Corbel" w:hAnsi="Corbel"/>
                <w:smallCaps w:val="0"/>
                <w:spacing w:val="2"/>
                <w:sz w:val="21"/>
              </w:rPr>
              <w:t> </w:t>
            </w:r>
            <w:r>
              <w:rPr>
                <w:rFonts w:ascii="Corbel" w:hAnsi="Corbel"/>
                <w:smallCaps w:val="0"/>
                <w:spacing w:val="-4"/>
                <w:w w:val="100"/>
                <w:sz w:val="21"/>
              </w:rPr>
              <w:t>n</w:t>
            </w:r>
            <w:r>
              <w:rPr>
                <w:rFonts w:ascii="Corbel" w:hAnsi="Corbel"/>
                <w:smallCaps w:val="0"/>
                <w:w w:val="100"/>
                <w:sz w:val="21"/>
              </w:rPr>
              <w:t>e</w:t>
            </w:r>
            <w:r>
              <w:rPr>
                <w:rFonts w:ascii="Corbel" w:hAnsi="Corbel"/>
                <w:smallCaps w:val="0"/>
                <w:spacing w:val="-2"/>
                <w:w w:val="100"/>
                <w:sz w:val="21"/>
              </w:rPr>
              <w:t>g</w:t>
            </w:r>
            <w:r>
              <w:rPr>
                <w:rFonts w:ascii="Corbel" w:hAnsi="Corbel"/>
                <w:smallCaps w:val="0"/>
                <w:spacing w:val="-1"/>
                <w:w w:val="100"/>
                <w:sz w:val="21"/>
              </w:rPr>
              <w:t>o</w:t>
            </w:r>
            <w:r>
              <w:rPr>
                <w:rFonts w:ascii="Corbel" w:hAnsi="Corbel"/>
                <w:smallCaps w:val="0"/>
                <w:spacing w:val="1"/>
                <w:w w:val="100"/>
                <w:sz w:val="21"/>
              </w:rPr>
              <w:t>c</w:t>
            </w:r>
            <w:r>
              <w:rPr>
                <w:rFonts w:ascii="Corbel" w:hAnsi="Corbel"/>
                <w:smallCaps w:val="0"/>
                <w:spacing w:val="-2"/>
                <w:w w:val="100"/>
                <w:sz w:val="21"/>
              </w:rPr>
              <w:t>i</w:t>
            </w:r>
            <w:r>
              <w:rPr>
                <w:rFonts w:ascii="Corbel" w:hAnsi="Corbel"/>
                <w:smallCaps w:val="0"/>
                <w:spacing w:val="-3"/>
                <w:w w:val="100"/>
                <w:sz w:val="21"/>
              </w:rPr>
              <w:t>o</w:t>
            </w:r>
            <w:r>
              <w:rPr>
                <w:rFonts w:ascii="Corbel" w:hAnsi="Corbel"/>
                <w:smallCaps w:val="0"/>
                <w:w w:val="100"/>
                <w:sz w:val="21"/>
              </w:rPr>
              <w:t>s.</w:t>
            </w:r>
          </w:p>
          <w:p>
            <w:pPr>
              <w:pStyle w:val="TableParagraph"/>
              <w:rPr>
                <w:rFonts w:ascii="Tw Cen MT Condensed Extra Bold"/>
                <w:sz w:val="20"/>
              </w:rPr>
            </w:pPr>
          </w:p>
          <w:p>
            <w:pPr>
              <w:pStyle w:val="TableParagraph"/>
              <w:spacing w:before="6"/>
              <w:rPr>
                <w:rFonts w:ascii="Tw Cen MT Condensed Extra Bold"/>
                <w:sz w:val="25"/>
              </w:rPr>
            </w:pPr>
          </w:p>
          <w:p>
            <w:pPr>
              <w:pStyle w:val="TableParagraph"/>
              <w:ind w:left="798" w:right="211"/>
              <w:rPr>
                <w:rFonts w:ascii="Corbel" w:hAnsi="Corbel"/>
                <w:sz w:val="21"/>
              </w:rPr>
            </w:pPr>
            <w:r>
              <w:rPr>
                <w:rFonts w:ascii="Corbel" w:hAnsi="Corbel"/>
                <w:sz w:val="21"/>
              </w:rPr>
              <w:t>La población del Municipio no tiene acceso a créditos, más que los que recibe a través de dos cajas populares.</w:t>
            </w:r>
          </w:p>
        </w:tc>
        <w:tc>
          <w:tcPr>
            <w:tcW w:w="4256" w:type="dxa"/>
            <w:tcBorders>
              <w:top w:val="single" w:sz="24" w:space="0" w:color="FFFFFF"/>
              <w:bottom w:val="nil"/>
            </w:tcBorders>
            <w:shd w:val="clear" w:color="auto" w:fill="30849B"/>
          </w:tcPr>
          <w:p>
            <w:pPr>
              <w:pStyle w:val="TableParagraph"/>
              <w:rPr>
                <w:rFonts w:ascii="Times New Roman"/>
                <w:sz w:val="22"/>
              </w:rPr>
            </w:pPr>
          </w:p>
        </w:tc>
      </w:tr>
    </w:tbl>
    <w:p>
      <w:pPr>
        <w:spacing w:after="0"/>
        <w:rPr>
          <w:rFonts w:ascii="Times New Roman"/>
          <w:sz w:val="22"/>
        </w:rPr>
        <w:sectPr>
          <w:footerReference w:type="default" r:id="rId64"/>
          <w:pgSz w:w="12240" w:h="15840"/>
          <w:pgMar w:footer="1142" w:header="178" w:top="1120" w:bottom="1340" w:left="460" w:right="220"/>
          <w:pgNumType w:start="140"/>
        </w:sectPr>
      </w:pPr>
    </w:p>
    <w:p>
      <w:pPr>
        <w:pStyle w:val="BodyText"/>
        <w:rPr>
          <w:rFonts w:ascii="Times New Roman"/>
          <w:sz w:val="20"/>
        </w:rPr>
      </w:pPr>
    </w:p>
    <w:p>
      <w:pPr>
        <w:pStyle w:val="BodyText"/>
        <w:spacing w:before="6"/>
        <w:rPr>
          <w:rFonts w:ascii="Times New Roman"/>
          <w:sz w:val="25"/>
        </w:rPr>
      </w:pPr>
    </w:p>
    <w:tbl>
      <w:tblPr>
        <w:tblW w:w="0" w:type="auto"/>
        <w:jc w:val="left"/>
        <w:tblInd w:w="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340"/>
        <w:gridCol w:w="4256"/>
      </w:tblGrid>
      <w:tr>
        <w:trPr>
          <w:trHeight w:val="7230" w:hRule="atLeast"/>
        </w:trPr>
        <w:tc>
          <w:tcPr>
            <w:tcW w:w="4340" w:type="dxa"/>
            <w:tcBorders>
              <w:top w:val="nil"/>
              <w:bottom w:val="single" w:sz="6" w:space="0" w:color="000000"/>
            </w:tcBorders>
            <w:shd w:val="clear" w:color="auto" w:fill="DAEDF3"/>
          </w:tcPr>
          <w:p>
            <w:pPr>
              <w:pStyle w:val="TableParagraph"/>
              <w:rPr>
                <w:rFonts w:ascii="Times New Roman"/>
                <w:sz w:val="20"/>
              </w:rPr>
            </w:pPr>
          </w:p>
          <w:p>
            <w:pPr>
              <w:pStyle w:val="TableParagraph"/>
              <w:rPr>
                <w:rFonts w:ascii="Times New Roman"/>
                <w:sz w:val="17"/>
              </w:rPr>
            </w:pPr>
          </w:p>
          <w:p>
            <w:pPr>
              <w:pStyle w:val="TableParagraph"/>
              <w:numPr>
                <w:ilvl w:val="0"/>
                <w:numId w:val="65"/>
              </w:numPr>
              <w:tabs>
                <w:tab w:pos="799" w:val="left" w:leader="none"/>
              </w:tabs>
              <w:spacing w:line="276" w:lineRule="auto" w:before="1" w:after="0"/>
              <w:ind w:left="798" w:right="96" w:hanging="360"/>
              <w:jc w:val="left"/>
              <w:rPr>
                <w:rFonts w:ascii="Corbel" w:hAnsi="Corbel"/>
                <w:sz w:val="21"/>
              </w:rPr>
            </w:pPr>
            <w:r>
              <w:rPr>
                <w:rFonts w:ascii="Corbel" w:hAnsi="Corbel"/>
                <w:smallCaps w:val="0"/>
                <w:sz w:val="21"/>
              </w:rPr>
              <w:t>El sector de comercio y servicios es el que provee principalmente de empleo a los habitantes y mueve la actividad económica del municipio. Sin embargo los habitantes no cuentan con asesoría especializada para la creación de empresa, cumplir con las obligaciones patronales o herramientas para hacer crecer sus</w:t>
            </w:r>
            <w:r>
              <w:rPr>
                <w:rFonts w:ascii="Corbel" w:hAnsi="Corbel"/>
                <w:smallCaps w:val="0"/>
                <w:spacing w:val="-2"/>
                <w:sz w:val="21"/>
              </w:rPr>
              <w:t> </w:t>
            </w:r>
            <w:r>
              <w:rPr>
                <w:rFonts w:ascii="Corbel" w:hAnsi="Corbel"/>
                <w:smallCaps w:val="0"/>
                <w:sz w:val="21"/>
              </w:rPr>
              <w:t>negocios.</w:t>
            </w:r>
          </w:p>
          <w:p>
            <w:pPr>
              <w:pStyle w:val="TableParagraph"/>
              <w:rPr>
                <w:rFonts w:ascii="Times New Roman"/>
                <w:sz w:val="20"/>
              </w:rPr>
            </w:pPr>
          </w:p>
          <w:p>
            <w:pPr>
              <w:pStyle w:val="TableParagraph"/>
              <w:spacing w:before="10"/>
              <w:rPr>
                <w:rFonts w:ascii="Times New Roman"/>
                <w:sz w:val="22"/>
              </w:rPr>
            </w:pPr>
          </w:p>
          <w:p>
            <w:pPr>
              <w:pStyle w:val="TableParagraph"/>
              <w:numPr>
                <w:ilvl w:val="0"/>
                <w:numId w:val="65"/>
              </w:numPr>
              <w:tabs>
                <w:tab w:pos="798" w:val="left" w:leader="none"/>
                <w:tab w:pos="799" w:val="left" w:leader="none"/>
              </w:tabs>
              <w:spacing w:line="276" w:lineRule="auto" w:before="1" w:after="0"/>
              <w:ind w:left="798" w:right="226" w:hanging="360"/>
              <w:jc w:val="left"/>
              <w:rPr>
                <w:rFonts w:ascii="Corbel" w:hAnsi="Corbel"/>
                <w:sz w:val="21"/>
              </w:rPr>
            </w:pPr>
            <w:r>
              <w:rPr>
                <w:rFonts w:ascii="Corbel" w:hAnsi="Corbel"/>
                <w:sz w:val="21"/>
              </w:rPr>
              <w:t>La población del Municipio no tiene acceso a créditos, más que los que recibe a través de dos cajas populares, una en el municipio de Etzatlán y otra en el municipio de</w:t>
            </w:r>
            <w:r>
              <w:rPr>
                <w:rFonts w:ascii="Corbel" w:hAnsi="Corbel"/>
                <w:spacing w:val="-7"/>
                <w:sz w:val="21"/>
              </w:rPr>
              <w:t> </w:t>
            </w:r>
            <w:r>
              <w:rPr>
                <w:rFonts w:ascii="Corbel" w:hAnsi="Corbel"/>
                <w:sz w:val="21"/>
              </w:rPr>
              <w:t>Magdalena.</w:t>
            </w:r>
          </w:p>
        </w:tc>
        <w:tc>
          <w:tcPr>
            <w:tcW w:w="4256" w:type="dxa"/>
            <w:tcBorders>
              <w:top w:val="nil"/>
              <w:bottom w:val="single" w:sz="2" w:space="0" w:color="CED6E7"/>
            </w:tcBorders>
            <w:shd w:val="clear" w:color="auto" w:fill="DAEDF3"/>
          </w:tcPr>
          <w:p>
            <w:pPr>
              <w:pStyle w:val="TableParagraph"/>
              <w:rPr>
                <w:rFonts w:ascii="Times New Roman"/>
                <w:sz w:val="20"/>
              </w:rPr>
            </w:pPr>
          </w:p>
          <w:p>
            <w:pPr>
              <w:pStyle w:val="TableParagraph"/>
              <w:numPr>
                <w:ilvl w:val="0"/>
                <w:numId w:val="66"/>
              </w:numPr>
              <w:tabs>
                <w:tab w:pos="832" w:val="left" w:leader="none"/>
                <w:tab w:pos="833" w:val="left" w:leader="none"/>
              </w:tabs>
              <w:spacing w:line="240" w:lineRule="auto" w:before="157" w:after="0"/>
              <w:ind w:left="832" w:right="420" w:hanging="394"/>
              <w:jc w:val="left"/>
              <w:rPr>
                <w:rFonts w:ascii="Corbel" w:hAnsi="Corbel"/>
                <w:sz w:val="21"/>
              </w:rPr>
            </w:pPr>
            <w:r>
              <w:rPr>
                <w:rFonts w:ascii="Corbel" w:hAnsi="Corbel"/>
                <w:sz w:val="21"/>
              </w:rPr>
              <w:t>Impulsar el sector servicios para su formalización, crecimiento y consolidación</w:t>
            </w:r>
          </w:p>
        </w:tc>
      </w:tr>
    </w:tbl>
    <w:p>
      <w:pPr>
        <w:pStyle w:val="BodyText"/>
        <w:spacing w:before="8"/>
        <w:rPr>
          <w:rFonts w:ascii="Times New Roman"/>
          <w:sz w:val="7"/>
        </w:rPr>
      </w:pPr>
    </w:p>
    <w:tbl>
      <w:tblPr>
        <w:tblW w:w="0" w:type="auto"/>
        <w:jc w:val="left"/>
        <w:tblInd w:w="8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474"/>
        <w:gridCol w:w="4122"/>
      </w:tblGrid>
      <w:tr>
        <w:trPr>
          <w:trHeight w:val="5239" w:hRule="atLeast"/>
        </w:trPr>
        <w:tc>
          <w:tcPr>
            <w:tcW w:w="4474" w:type="dxa"/>
            <w:tcBorders>
              <w:top w:val="nil"/>
              <w:bottom w:val="single" w:sz="4" w:space="0" w:color="000000"/>
            </w:tcBorders>
            <w:shd w:val="clear" w:color="auto" w:fill="DAEDF3"/>
          </w:tcPr>
          <w:p>
            <w:pPr>
              <w:pStyle w:val="TableParagraph"/>
              <w:rPr>
                <w:rFonts w:ascii="Times New Roman"/>
                <w:sz w:val="20"/>
              </w:rPr>
            </w:pPr>
          </w:p>
          <w:p>
            <w:pPr>
              <w:pStyle w:val="TableParagraph"/>
              <w:rPr>
                <w:rFonts w:ascii="Times New Roman"/>
                <w:sz w:val="17"/>
              </w:rPr>
            </w:pPr>
          </w:p>
          <w:p>
            <w:pPr>
              <w:pStyle w:val="TableParagraph"/>
              <w:numPr>
                <w:ilvl w:val="0"/>
                <w:numId w:val="67"/>
              </w:numPr>
              <w:tabs>
                <w:tab w:pos="799" w:val="left" w:leader="none"/>
              </w:tabs>
              <w:spacing w:line="276" w:lineRule="auto" w:before="1" w:after="0"/>
              <w:ind w:left="798" w:right="118" w:hanging="360"/>
              <w:jc w:val="left"/>
              <w:rPr>
                <w:rFonts w:ascii="Corbel" w:hAnsi="Corbel"/>
                <w:sz w:val="21"/>
              </w:rPr>
            </w:pPr>
            <w:r>
              <w:rPr>
                <w:rFonts w:ascii="Corbel" w:hAnsi="Corbel"/>
                <w:sz w:val="21"/>
              </w:rPr>
              <w:t>El valor de la producción agrícola es irregular, pese a que es una actividad muy importante en el municipio, no genera los mejores rendimientos para la población que ahí se ocupa. El municipio debe impulsar en la población cultivos </w:t>
            </w:r>
            <w:r>
              <w:rPr>
                <w:rFonts w:ascii="Corbel" w:hAnsi="Corbel"/>
                <w:spacing w:val="-3"/>
                <w:sz w:val="21"/>
              </w:rPr>
              <w:t>de </w:t>
            </w:r>
            <w:r>
              <w:rPr>
                <w:rFonts w:ascii="Corbel" w:hAnsi="Corbel"/>
                <w:sz w:val="21"/>
              </w:rPr>
              <w:t>alto rendimiento y de alto valor en el mercado, analizando y definiendo sus máximas potencialidades y propiciando cultivos más adecuados y</w:t>
            </w:r>
            <w:r>
              <w:rPr>
                <w:rFonts w:ascii="Corbel" w:hAnsi="Corbel"/>
                <w:spacing w:val="-3"/>
                <w:sz w:val="21"/>
              </w:rPr>
              <w:t> </w:t>
            </w:r>
            <w:r>
              <w:rPr>
                <w:rFonts w:ascii="Corbel" w:hAnsi="Corbel"/>
                <w:sz w:val="21"/>
              </w:rPr>
              <w:t>aptos.</w:t>
            </w:r>
          </w:p>
          <w:p>
            <w:pPr>
              <w:pStyle w:val="TableParagraph"/>
              <w:spacing w:before="10"/>
              <w:rPr>
                <w:rFonts w:ascii="Times New Roman"/>
                <w:sz w:val="26"/>
              </w:rPr>
            </w:pPr>
          </w:p>
          <w:p>
            <w:pPr>
              <w:pStyle w:val="TableParagraph"/>
              <w:numPr>
                <w:ilvl w:val="0"/>
                <w:numId w:val="67"/>
              </w:numPr>
              <w:tabs>
                <w:tab w:pos="798" w:val="left" w:leader="none"/>
                <w:tab w:pos="799" w:val="left" w:leader="none"/>
              </w:tabs>
              <w:spacing w:line="276" w:lineRule="auto" w:before="0" w:after="0"/>
              <w:ind w:left="798" w:right="178" w:hanging="360"/>
              <w:jc w:val="left"/>
              <w:rPr>
                <w:rFonts w:ascii="Corbel" w:hAnsi="Corbel"/>
                <w:sz w:val="21"/>
              </w:rPr>
            </w:pPr>
            <w:r>
              <w:rPr>
                <w:rFonts w:ascii="Corbel" w:hAnsi="Corbel"/>
                <w:sz w:val="21"/>
              </w:rPr>
              <w:t>El cultivo de agave crece de manera importante en el municipio y con ello los riesgos de erosión en las tierras cerriles destinadas a dicho cultivo, puesto que pierden la protección natural que</w:t>
            </w:r>
            <w:r>
              <w:rPr>
                <w:rFonts w:ascii="Corbel" w:hAnsi="Corbel"/>
                <w:spacing w:val="-7"/>
                <w:sz w:val="21"/>
              </w:rPr>
              <w:t> </w:t>
            </w:r>
            <w:r>
              <w:rPr>
                <w:rFonts w:ascii="Corbel" w:hAnsi="Corbel"/>
                <w:sz w:val="21"/>
              </w:rPr>
              <w:t>los</w:t>
            </w:r>
          </w:p>
        </w:tc>
        <w:tc>
          <w:tcPr>
            <w:tcW w:w="4122" w:type="dxa"/>
            <w:tcBorders>
              <w:top w:val="nil"/>
              <w:bottom w:val="nil"/>
            </w:tcBorders>
            <w:shd w:val="clear" w:color="auto" w:fill="DAEDF3"/>
          </w:tcPr>
          <w:p>
            <w:pPr>
              <w:pStyle w:val="TableParagraph"/>
              <w:rPr>
                <w:rFonts w:ascii="Times New Roman"/>
                <w:sz w:val="20"/>
              </w:rPr>
            </w:pPr>
          </w:p>
          <w:p>
            <w:pPr>
              <w:pStyle w:val="TableParagraph"/>
              <w:numPr>
                <w:ilvl w:val="0"/>
                <w:numId w:val="68"/>
              </w:numPr>
              <w:tabs>
                <w:tab w:pos="835" w:val="left" w:leader="none"/>
                <w:tab w:pos="836" w:val="left" w:leader="none"/>
              </w:tabs>
              <w:spacing w:line="240" w:lineRule="auto" w:before="157" w:after="0"/>
              <w:ind w:left="835" w:right="117" w:hanging="394"/>
              <w:jc w:val="left"/>
              <w:rPr>
                <w:rFonts w:ascii="Corbel" w:hAnsi="Corbel"/>
                <w:sz w:val="21"/>
              </w:rPr>
            </w:pPr>
            <w:r>
              <w:rPr>
                <w:rFonts w:ascii="Corbel" w:hAnsi="Corbel"/>
                <w:color w:val="252525"/>
                <w:sz w:val="21"/>
              </w:rPr>
              <w:t>Fortalecer las actividades agrícolas y pecuarias del municipio, para generar valor agregado a la producción y mayor rentabilidad para la población que se dedica a estas</w:t>
            </w:r>
            <w:r>
              <w:rPr>
                <w:rFonts w:ascii="Corbel" w:hAnsi="Corbel"/>
                <w:color w:val="252525"/>
                <w:spacing w:val="-2"/>
                <w:sz w:val="21"/>
              </w:rPr>
              <w:t> </w:t>
            </w:r>
            <w:r>
              <w:rPr>
                <w:rFonts w:ascii="Corbel" w:hAnsi="Corbel"/>
                <w:color w:val="252525"/>
                <w:sz w:val="21"/>
              </w:rPr>
              <w:t>actividades.</w:t>
            </w:r>
          </w:p>
        </w:tc>
      </w:tr>
    </w:tbl>
    <w:p>
      <w:pPr>
        <w:spacing w:after="0" w:line="240" w:lineRule="auto"/>
        <w:jc w:val="left"/>
        <w:rPr>
          <w:rFonts w:ascii="Corbel" w:hAnsi="Corbel"/>
          <w:sz w:val="21"/>
        </w:rPr>
        <w:sectPr>
          <w:pgSz w:w="12240" w:h="15840"/>
          <w:pgMar w:header="178" w:footer="1142" w:top="1120" w:bottom="1340" w:left="460" w:right="220"/>
        </w:sectPr>
      </w:pPr>
    </w:p>
    <w:p>
      <w:pPr>
        <w:pStyle w:val="BodyText"/>
        <w:rPr>
          <w:rFonts w:ascii="Times New Roman"/>
          <w:sz w:val="20"/>
        </w:rPr>
      </w:pPr>
      <w:r>
        <w:rPr/>
        <w:pict>
          <v:group style="position:absolute;margin-left:63.023998pt;margin-top:83.059998pt;width:436.8pt;height:633.35pt;mso-position-horizontal-relative:page;mso-position-vertical-relative:page;z-index:-262266880" coordorigin="1260,1661" coordsize="8736,12667">
            <v:shape style="position:absolute;left:1282;top:10050;width:8695;height:4266" coordorigin="1282,10050" coordsize="8695,4266" path="m5720,10050l1282,10050,1282,14316,5720,14316,5720,10050m9976,10129l9907,10129,5809,10129,5739,10129,5739,14316,9976,14316,9976,10129e" filled="true" fillcolor="#daedf3" stroked="false">
              <v:path arrowok="t"/>
              <v:fill type="solid"/>
            </v:shape>
            <v:shape style="position:absolute;left:1272;top:10009;width:8704;height:4309" coordorigin="1272,10009" coordsize="8704,4309" path="m5720,10050l1280,10050,1280,10129,5720,10129,5720,10050m5730,14239l1272,14239,1272,14318,5730,14318,5730,14239m9976,10009l5739,10009,5739,10129,9976,10129,9976,10009e" filled="true" fillcolor="#daedf3" stroked="false">
              <v:path arrowok="t"/>
              <v:fill type="solid"/>
            </v:shape>
            <v:line style="position:absolute" from="1270,10130" to="1270,14318" stroked="true" strokeweight=".96pt" strokecolor="#ffffff">
              <v:stroke dashstyle="solid"/>
            </v:line>
            <v:line style="position:absolute" from="1260,14323" to="5720,14323" stroked="true" strokeweight=".47998pt" strokecolor="#000000">
              <v:stroke dashstyle="solid"/>
            </v:line>
            <v:rect style="position:absolute;left:5729;top:14238;width:4257;height:80" filled="true" fillcolor="#daedf3" stroked="false">
              <v:fill type="solid"/>
            </v:rect>
            <v:line style="position:absolute" from="5730,10130" to="5730,14318" stroked="true" strokeweight=".96002pt" strokecolor="#ffffff">
              <v:stroke dashstyle="solid"/>
            </v:line>
            <v:line style="position:absolute" from="9986,10130" to="9986,14318" stroked="true" strokeweight=".95999pt" strokecolor="#ffffff">
              <v:stroke dashstyle="solid"/>
            </v:line>
            <v:shape style="position:absolute;left:1291;top:1702;width:8577;height:8226" coordorigin="1292,1702" coordsize="8577,8226" path="m5746,1702l1292,1702,1292,9928,5746,9928,5746,1702m9868,1781l5768,1781,5768,9928,9868,9928,9868,1781e" filled="true" fillcolor="#daedf3" stroked="false">
              <v:path arrowok="t"/>
              <v:fill type="solid"/>
            </v:shape>
            <v:shape style="position:absolute;left:1282;top:1661;width:8587;height:8269" coordorigin="1282,1661" coordsize="8587,8269" path="m5746,1702l1292,1702,1292,1781,5746,1781,5746,1702m5756,9851l1282,9851,1282,9930,5756,9930,5756,9851m9868,1661l5766,1661,5766,1781,9868,1781,9868,1661e" filled="true" fillcolor="#daedf3" stroked="false">
              <v:path arrowok="t"/>
              <v:fill type="solid"/>
            </v:shape>
            <v:line style="position:absolute" from="1282,1781" to="1282,9930" stroked="true" strokeweight=".96pt" strokecolor="#ffffff">
              <v:stroke dashstyle="solid"/>
            </v:line>
            <v:line style="position:absolute" from="1272,9935" to="5746,9935" stroked="true" strokeweight=".48001pt" strokecolor="#000000">
              <v:stroke dashstyle="solid"/>
            </v:line>
            <v:rect style="position:absolute;left:5758;top:9851;width:4120;height:80" filled="true" fillcolor="#daedf3" stroked="false">
              <v:fill type="solid"/>
            </v:rect>
            <v:line style="position:absolute" from="5756,1781" to="5756,9930" stroked="true" strokeweight=".95999pt" strokecolor="#ffffff">
              <v:stroke dashstyle="solid"/>
            </v:line>
            <v:line style="position:absolute" from="9878,1781" to="9878,9930" stroked="true" strokeweight=".95999pt" strokecolor="#ffffff">
              <v:stroke dashstyle="solid"/>
            </v:line>
            <w10:wrap type="none"/>
          </v:group>
        </w:pict>
      </w:r>
    </w:p>
    <w:p>
      <w:pPr>
        <w:pStyle w:val="BodyText"/>
        <w:rPr>
          <w:rFonts w:ascii="Times New Roman"/>
          <w:sz w:val="20"/>
        </w:rPr>
      </w:pPr>
    </w:p>
    <w:p>
      <w:pPr>
        <w:pStyle w:val="BodyText"/>
        <w:spacing w:before="4"/>
        <w:rPr>
          <w:rFonts w:ascii="Times New Roman"/>
          <w:sz w:val="19"/>
        </w:rPr>
      </w:pPr>
    </w:p>
    <w:p>
      <w:pPr>
        <w:pStyle w:val="BodyText"/>
        <w:ind w:left="1621"/>
        <w:rPr>
          <w:rFonts w:ascii="Times New Roman"/>
          <w:sz w:val="20"/>
        </w:rPr>
      </w:pPr>
      <w:r>
        <w:rPr>
          <w:rFonts w:ascii="Times New Roman"/>
          <w:sz w:val="20"/>
        </w:rPr>
        <w:pict>
          <v:shape style="width:179.85pt;height:54.85pt;mso-position-horizontal-relative:char;mso-position-vertical-relative:line" type="#_x0000_t202" filled="false" stroked="false">
            <w10:anchorlock/>
            <v:textbox inset="0,0,0,0">
              <w:txbxContent>
                <w:p>
                  <w:pPr>
                    <w:spacing w:line="213" w:lineRule="exact" w:before="0"/>
                    <w:ind w:left="0" w:right="0" w:firstLine="0"/>
                    <w:jc w:val="both"/>
                    <w:rPr>
                      <w:rFonts w:ascii="Corbel" w:hAnsi="Corbel"/>
                      <w:sz w:val="21"/>
                    </w:rPr>
                  </w:pPr>
                  <w:r>
                    <w:rPr>
                      <w:rFonts w:ascii="Corbel" w:hAnsi="Corbel"/>
                      <w:sz w:val="21"/>
                    </w:rPr>
                    <w:t>pastos le brindaban contra la erosión,</w:t>
                  </w:r>
                </w:p>
                <w:p>
                  <w:pPr>
                    <w:spacing w:line="290" w:lineRule="atLeast" w:before="5"/>
                    <w:ind w:left="0" w:right="18" w:firstLine="0"/>
                    <w:jc w:val="both"/>
                    <w:rPr>
                      <w:rFonts w:ascii="Corbel"/>
                      <w:sz w:val="21"/>
                    </w:rPr>
                  </w:pPr>
                  <w:r>
                    <w:rPr>
                      <w:rFonts w:ascii="Corbel"/>
                      <w:sz w:val="21"/>
                    </w:rPr>
                    <w:t>debiendo extremar cuidados en aquellos casos en que se cultiven en terrenos que presenten pendientes muy pronunciadas.</w:t>
                  </w:r>
                </w:p>
              </w:txbxContent>
            </v:textbox>
          </v:shape>
        </w:pict>
      </w:r>
      <w:r>
        <w:rPr>
          <w:rFonts w:ascii="Times New Roman"/>
          <w:sz w:val="20"/>
        </w:rPr>
      </w:r>
    </w:p>
    <w:p>
      <w:pPr>
        <w:pStyle w:val="BodyText"/>
        <w:rPr>
          <w:rFonts w:ascii="Times New Roman"/>
          <w:sz w:val="20"/>
        </w:rPr>
      </w:pPr>
    </w:p>
    <w:p>
      <w:pPr>
        <w:pStyle w:val="BodyText"/>
        <w:spacing w:before="5"/>
        <w:rPr>
          <w:rFonts w:ascii="Times New Roman"/>
          <w:sz w:val="29"/>
        </w:rPr>
      </w:pPr>
      <w:r>
        <w:rPr/>
        <w:pict>
          <v:shape style="position:absolute;margin-left:86.064003pt;margin-top:18.130976pt;width:197.25pt;height:186.15pt;mso-position-horizontal-relative:page;mso-position-vertical-relative:paragraph;z-index:-251552768;mso-wrap-distance-left:0;mso-wrap-distance-right:0" type="#_x0000_t202" filled="false" stroked="false">
            <v:textbox inset="0,0,0,0">
              <w:txbxContent>
                <w:p>
                  <w:pPr>
                    <w:numPr>
                      <w:ilvl w:val="0"/>
                      <w:numId w:val="69"/>
                    </w:numPr>
                    <w:tabs>
                      <w:tab w:pos="360" w:val="left" w:leader="none"/>
                    </w:tabs>
                    <w:spacing w:line="213" w:lineRule="exact" w:before="0"/>
                    <w:ind w:left="359" w:right="0" w:hanging="360"/>
                    <w:jc w:val="left"/>
                    <w:rPr>
                      <w:rFonts w:ascii="Corbel"/>
                      <w:sz w:val="21"/>
                    </w:rPr>
                  </w:pPr>
                  <w:r>
                    <w:rPr>
                      <w:rFonts w:ascii="Corbel"/>
                      <w:sz w:val="21"/>
                    </w:rPr>
                    <w:t>La infraestructura para el riego de</w:t>
                  </w:r>
                  <w:r>
                    <w:rPr>
                      <w:rFonts w:ascii="Corbel"/>
                      <w:spacing w:val="-9"/>
                      <w:sz w:val="21"/>
                    </w:rPr>
                    <w:t> </w:t>
                  </w:r>
                  <w:r>
                    <w:rPr>
                      <w:rFonts w:ascii="Corbel"/>
                      <w:sz w:val="21"/>
                    </w:rPr>
                    <w:t>las</w:t>
                  </w:r>
                </w:p>
                <w:p>
                  <w:pPr>
                    <w:spacing w:line="276" w:lineRule="auto" w:before="39"/>
                    <w:ind w:left="359" w:right="3" w:firstLine="0"/>
                    <w:jc w:val="left"/>
                    <w:rPr>
                      <w:rFonts w:ascii="Corbel" w:hAnsi="Corbel"/>
                      <w:sz w:val="21"/>
                    </w:rPr>
                  </w:pPr>
                  <w:r>
                    <w:rPr>
                      <w:rFonts w:ascii="Corbel" w:hAnsi="Corbel"/>
                      <w:sz w:val="21"/>
                    </w:rPr>
                    <w:t>superficies agrícolas en el Municipio de Magdalena es sumamente limitada, los espacios dedicados al almacenamiento del agua de lluvia son reducidos, y cada día se han venido perdiendo o azolvando. Lo que ha limitado la variedad de cultivos que, históricamente se producían en el municipio.</w:t>
                  </w:r>
                </w:p>
                <w:p>
                  <w:pPr>
                    <w:pStyle w:val="BodyText"/>
                    <w:spacing w:before="4"/>
                    <w:rPr>
                      <w:rFonts w:ascii="Times New Roman"/>
                      <w:sz w:val="20"/>
                    </w:rPr>
                  </w:pPr>
                </w:p>
                <w:p>
                  <w:pPr>
                    <w:numPr>
                      <w:ilvl w:val="0"/>
                      <w:numId w:val="69"/>
                    </w:numPr>
                    <w:tabs>
                      <w:tab w:pos="360" w:val="left" w:leader="none"/>
                    </w:tabs>
                    <w:spacing w:line="290" w:lineRule="atLeast" w:before="0"/>
                    <w:ind w:left="359" w:right="744" w:hanging="360"/>
                    <w:jc w:val="both"/>
                    <w:rPr>
                      <w:rFonts w:ascii="Corbel" w:hAnsi="Corbel"/>
                      <w:sz w:val="21"/>
                    </w:rPr>
                  </w:pPr>
                  <w:r>
                    <w:rPr>
                      <w:rFonts w:ascii="Corbel" w:hAnsi="Corbel"/>
                      <w:sz w:val="21"/>
                    </w:rPr>
                    <w:t>Actividad Porcicola con prácticas inadecuadas en el manejo de sus desechos líquidos y</w:t>
                  </w:r>
                  <w:r>
                    <w:rPr>
                      <w:rFonts w:ascii="Corbel" w:hAnsi="Corbel"/>
                      <w:spacing w:val="-4"/>
                      <w:sz w:val="21"/>
                    </w:rPr>
                    <w:t> </w:t>
                  </w:r>
                  <w:r>
                    <w:rPr>
                      <w:rFonts w:ascii="Corbel" w:hAnsi="Corbel"/>
                      <w:sz w:val="21"/>
                    </w:rPr>
                    <w:t>sólidos</w:t>
                  </w:r>
                </w:p>
              </w:txbxContent>
            </v:textbox>
            <w10:wrap type="topAndBottom"/>
          </v:shape>
        </w:pict>
      </w:r>
    </w:p>
    <w:p>
      <w:pPr>
        <w:pStyle w:val="BodyText"/>
        <w:rPr>
          <w:rFonts w:ascii="Times New Roman"/>
          <w:sz w:val="20"/>
        </w:rPr>
      </w:pPr>
    </w:p>
    <w:p>
      <w:pPr>
        <w:pStyle w:val="BodyText"/>
        <w:spacing w:before="1"/>
        <w:rPr>
          <w:rFonts w:ascii="Times New Roman"/>
          <w:sz w:val="28"/>
        </w:rPr>
      </w:pPr>
      <w:r>
        <w:rPr/>
        <w:pict>
          <v:shape style="position:absolute;margin-left:86.064003pt;margin-top:17.390976pt;width:198.75pt;height:99.05pt;mso-position-horizontal-relative:page;mso-position-vertical-relative:paragraph;z-index:-251551744;mso-wrap-distance-left:0;mso-wrap-distance-right:0" type="#_x0000_t202" filled="false" stroked="false">
            <v:textbox inset="0,0,0,0">
              <w:txbxContent>
                <w:p>
                  <w:pPr>
                    <w:spacing w:line="213" w:lineRule="exact" w:before="0"/>
                    <w:ind w:left="0" w:right="0" w:firstLine="0"/>
                    <w:jc w:val="left"/>
                    <w:rPr>
                      <w:rFonts w:ascii="Corbel"/>
                      <w:sz w:val="21"/>
                    </w:rPr>
                  </w:pPr>
                  <w:r>
                    <w:rPr>
                      <w:rFonts w:ascii="Corbel"/>
                      <w:sz w:val="21"/>
                    </w:rPr>
                    <w:t>8. Pese a que el entorno de Magdalena es</w:t>
                  </w:r>
                </w:p>
                <w:p>
                  <w:pPr>
                    <w:spacing w:line="276" w:lineRule="auto" w:before="36"/>
                    <w:ind w:left="359" w:right="18" w:firstLine="0"/>
                    <w:jc w:val="left"/>
                    <w:rPr>
                      <w:rFonts w:ascii="Corbel" w:hAnsi="Corbel"/>
                      <w:sz w:val="21"/>
                    </w:rPr>
                  </w:pPr>
                  <w:r>
                    <w:rPr>
                      <w:rFonts w:ascii="Corbel" w:hAnsi="Corbel"/>
                      <w:sz w:val="21"/>
                    </w:rPr>
                    <w:t>apto para la producción de chapulín, Codorniz, güilota, pato canadiense y otras especies que proliferan en los campos húmedos de Magdalena; esta actividad no se ha promovido y</w:t>
                  </w:r>
                  <w:r>
                    <w:rPr>
                      <w:rFonts w:ascii="Corbel" w:hAnsi="Corbel"/>
                      <w:spacing w:val="-14"/>
                      <w:sz w:val="21"/>
                    </w:rPr>
                    <w:t> </w:t>
                  </w:r>
                  <w:r>
                    <w:rPr>
                      <w:rFonts w:ascii="Corbel" w:hAnsi="Corbel"/>
                      <w:sz w:val="21"/>
                    </w:rPr>
                    <w:t>explotado</w:t>
                  </w:r>
                </w:p>
                <w:p>
                  <w:pPr>
                    <w:spacing w:line="254" w:lineRule="exact" w:before="3"/>
                    <w:ind w:left="359" w:right="0" w:firstLine="0"/>
                    <w:jc w:val="left"/>
                    <w:rPr>
                      <w:rFonts w:ascii="Corbel"/>
                      <w:sz w:val="21"/>
                    </w:rPr>
                  </w:pPr>
                  <w:r>
                    <w:rPr>
                      <w:rFonts w:ascii="Corbel"/>
                      <w:sz w:val="21"/>
                    </w:rPr>
                    <w:t>de la mejor manera.</w:t>
                  </w:r>
                </w:p>
              </w:txbxContent>
            </v:textbox>
            <w10:wrap type="topAndBottom"/>
          </v:shape>
        </w:pict>
      </w:r>
      <w:r>
        <w:rPr/>
        <w:pict>
          <v:shape style="position:absolute;margin-left:63.984001pt;margin-top:126.543945pt;width:222.05pt;height:215.45pt;mso-position-horizontal-relative:page;mso-position-vertical-relative:paragraph;z-index:-251550720;mso-wrap-distance-left:0;mso-wrap-distance-right:0" type="#_x0000_t202" filled="true" fillcolor="#daedf3" stroked="false">
            <v:textbox inset="0,0,0,0">
              <w:txbxContent>
                <w:p>
                  <w:pPr>
                    <w:pStyle w:val="BodyText"/>
                    <w:spacing w:before="3"/>
                    <w:rPr>
                      <w:rFonts w:ascii="Times New Roman"/>
                      <w:sz w:val="36"/>
                    </w:rPr>
                  </w:pPr>
                </w:p>
                <w:p>
                  <w:pPr>
                    <w:numPr>
                      <w:ilvl w:val="0"/>
                      <w:numId w:val="70"/>
                    </w:numPr>
                    <w:tabs>
                      <w:tab w:pos="792" w:val="left" w:leader="none"/>
                    </w:tabs>
                    <w:spacing w:line="276" w:lineRule="auto" w:before="0"/>
                    <w:ind w:left="791" w:right="76" w:hanging="360"/>
                    <w:jc w:val="left"/>
                    <w:rPr>
                      <w:sz w:val="21"/>
                    </w:rPr>
                  </w:pPr>
                  <w:r>
                    <w:rPr>
                      <w:sz w:val="21"/>
                    </w:rPr>
                    <w:t>No existen los suficientes apoyos para la tecnificación, innovación y organización en la producción artesanal del ópalo y la obsidiana. Gran potencial en el</w:t>
                  </w:r>
                  <w:r>
                    <w:rPr>
                      <w:spacing w:val="-5"/>
                      <w:sz w:val="21"/>
                    </w:rPr>
                    <w:t> </w:t>
                  </w:r>
                  <w:r>
                    <w:rPr>
                      <w:sz w:val="21"/>
                    </w:rPr>
                    <w:t>municipio.</w:t>
                  </w:r>
                </w:p>
                <w:p>
                  <w:pPr>
                    <w:pStyle w:val="BodyText"/>
                    <w:spacing w:before="7"/>
                    <w:rPr>
                      <w:rFonts w:ascii="Times New Roman"/>
                    </w:rPr>
                  </w:pPr>
                </w:p>
                <w:p>
                  <w:pPr>
                    <w:numPr>
                      <w:ilvl w:val="0"/>
                      <w:numId w:val="70"/>
                    </w:numPr>
                    <w:tabs>
                      <w:tab w:pos="792" w:val="left" w:leader="none"/>
                    </w:tabs>
                    <w:spacing w:line="276" w:lineRule="auto" w:before="0"/>
                    <w:ind w:left="791" w:right="131" w:hanging="360"/>
                    <w:jc w:val="left"/>
                    <w:rPr>
                      <w:sz w:val="21"/>
                    </w:rPr>
                  </w:pPr>
                  <w:r>
                    <w:rPr>
                      <w:sz w:val="21"/>
                    </w:rPr>
                    <w:t>Actividades extractivas limitadas que no han desarrollo el potencial para el desarrollo económico de los pobladores de Magdalena. Tales como explotación de piedras y minerales que tiene </w:t>
                  </w:r>
                  <w:r>
                    <w:rPr>
                      <w:spacing w:val="-3"/>
                      <w:sz w:val="21"/>
                    </w:rPr>
                    <w:t>el </w:t>
                  </w:r>
                  <w:r>
                    <w:rPr>
                      <w:sz w:val="21"/>
                    </w:rPr>
                    <w:t>suelo del municipio de</w:t>
                  </w:r>
                </w:p>
              </w:txbxContent>
            </v:textbox>
            <v:fill type="solid"/>
            <w10:wrap type="topAndBottom"/>
          </v:shape>
        </w:pict>
      </w:r>
    </w:p>
    <w:p>
      <w:pPr>
        <w:pStyle w:val="BodyText"/>
        <w:spacing w:before="2"/>
        <w:rPr>
          <w:rFonts w:ascii="Times New Roman"/>
          <w:sz w:val="14"/>
        </w:rPr>
      </w:pPr>
    </w:p>
    <w:p>
      <w:pPr>
        <w:spacing w:after="0"/>
        <w:rPr>
          <w:rFonts w:ascii="Times New Roman"/>
          <w:sz w:val="14"/>
        </w:rPr>
        <w:sectPr>
          <w:pgSz w:w="12240" w:h="15840"/>
          <w:pgMar w:header="178" w:footer="1142" w:top="1120" w:bottom="1340" w:left="460" w:right="220"/>
        </w:sectPr>
      </w:pPr>
    </w:p>
    <w:p>
      <w:pPr>
        <w:pStyle w:val="BodyText"/>
        <w:rPr>
          <w:rFonts w:ascii="Times New Roman"/>
          <w:sz w:val="20"/>
        </w:rPr>
      </w:pPr>
    </w:p>
    <w:p>
      <w:pPr>
        <w:pStyle w:val="BodyText"/>
        <w:spacing w:before="4"/>
        <w:rPr>
          <w:rFonts w:ascii="Times New Roman"/>
          <w:sz w:val="27"/>
        </w:rPr>
      </w:pPr>
    </w:p>
    <w:p>
      <w:pPr>
        <w:spacing w:line="276" w:lineRule="auto" w:before="101"/>
        <w:ind w:left="1611" w:right="6357" w:firstLine="0"/>
        <w:jc w:val="left"/>
        <w:rPr>
          <w:sz w:val="21"/>
        </w:rPr>
      </w:pPr>
      <w:r>
        <w:rPr/>
        <w:pict>
          <v:group style="position:absolute;margin-left:63.023998pt;margin-top:-1.068467pt;width:436.8pt;height:439.05pt;mso-position-horizontal-relative:page;mso-position-vertical-relative:paragraph;z-index:-262265856" coordorigin="1260,-21" coordsize="8736,8781">
            <v:shape style="position:absolute;left:1282;top:19;width:8695;height:8730" coordorigin="1282,19" coordsize="8695,8730" path="m5720,19l1282,19,1282,8749,5720,8749,5720,19m9976,99l5739,99,5739,8749,9976,8749,9976,99e" filled="true" fillcolor="#daedf3" stroked="false">
              <v:path arrowok="t"/>
              <v:fill type="solid"/>
            </v:shape>
            <v:shape style="position:absolute;left:1272;top:-22;width:8704;height:8771" coordorigin="1272,-21" coordsize="8704,8771" path="m5720,19l1280,19,1280,99,5720,99,5720,19m5730,8670l1272,8670,1272,8749,5730,8749,5730,8670m9976,-21l5739,-21,5739,99,9976,99,9976,-21e" filled="true" fillcolor="#daedf3" stroked="false">
              <v:path arrowok="t"/>
              <v:fill type="solid"/>
            </v:shape>
            <v:line style="position:absolute" from="1270,99" to="1270,8749" stroked="true" strokeweight=".96pt" strokecolor="#ffffff">
              <v:stroke dashstyle="solid"/>
            </v:line>
            <v:line style="position:absolute" from="1260,8754" to="5720,8754" stroked="true" strokeweight=".48004pt" strokecolor="#000000">
              <v:stroke dashstyle="solid"/>
            </v:line>
            <v:rect style="position:absolute;left:5729;top:8670;width:4257;height:80" filled="true" fillcolor="#daedf3" stroked="false">
              <v:fill type="solid"/>
            </v:rect>
            <v:line style="position:absolute" from="5730,99" to="5730,8749" stroked="true" strokeweight=".96002pt" strokecolor="#ffffff">
              <v:stroke dashstyle="solid"/>
            </v:line>
            <v:line style="position:absolute" from="9986,99" to="9986,8749" stroked="true" strokeweight=".95999pt" strokecolor="#ffffff">
              <v:stroke dashstyle="solid"/>
            </v:line>
            <w10:wrap type="none"/>
          </v:group>
        </w:pict>
      </w:r>
      <w:r>
        <w:rPr>
          <w:sz w:val="21"/>
        </w:rPr>
        <w:t>Magdalena: Obsidiana, Caolín, Ópalo, Tierras coloradas, Lajas de cantera, Arenas, Piedra de castilla, entre otras.</w:t>
      </w:r>
    </w:p>
    <w:p>
      <w:pPr>
        <w:pStyle w:val="BodyText"/>
        <w:rPr>
          <w:sz w:val="29"/>
        </w:rPr>
      </w:pPr>
    </w:p>
    <w:p>
      <w:pPr>
        <w:pStyle w:val="ListParagraph"/>
        <w:numPr>
          <w:ilvl w:val="0"/>
          <w:numId w:val="71"/>
        </w:numPr>
        <w:tabs>
          <w:tab w:pos="1612" w:val="left" w:leader="none"/>
        </w:tabs>
        <w:spacing w:line="276" w:lineRule="auto" w:before="102" w:after="0"/>
        <w:ind w:left="1611" w:right="6464" w:hanging="360"/>
        <w:jc w:val="left"/>
        <w:rPr>
          <w:sz w:val="21"/>
        </w:rPr>
      </w:pPr>
      <w:r>
        <w:rPr>
          <w:sz w:val="21"/>
        </w:rPr>
        <w:t>Toda la zona del municipio de Magdalena tiene antiguas haciendas que han sido abandonadas o no cuentan con el mantenimiento necesario, pero que pueden resultar de gran atractivo turístico para los visitantes nacionales y</w:t>
      </w:r>
      <w:r>
        <w:rPr>
          <w:spacing w:val="-18"/>
          <w:sz w:val="21"/>
        </w:rPr>
        <w:t> </w:t>
      </w:r>
      <w:r>
        <w:rPr>
          <w:sz w:val="21"/>
        </w:rPr>
        <w:t>extranjeros.</w:t>
      </w:r>
    </w:p>
    <w:p>
      <w:pPr>
        <w:pStyle w:val="BodyText"/>
        <w:rPr>
          <w:sz w:val="20"/>
        </w:rPr>
      </w:pPr>
    </w:p>
    <w:p>
      <w:pPr>
        <w:pStyle w:val="BodyText"/>
        <w:spacing w:before="7"/>
        <w:rPr>
          <w:sz w:val="20"/>
        </w:rPr>
      </w:pPr>
    </w:p>
    <w:p>
      <w:pPr>
        <w:pStyle w:val="ListParagraph"/>
        <w:numPr>
          <w:ilvl w:val="0"/>
          <w:numId w:val="71"/>
        </w:numPr>
        <w:tabs>
          <w:tab w:pos="1612" w:val="left" w:leader="none"/>
        </w:tabs>
        <w:spacing w:line="240" w:lineRule="auto" w:before="0" w:after="0"/>
        <w:ind w:left="1611" w:right="6393" w:hanging="360"/>
        <w:jc w:val="left"/>
        <w:rPr>
          <w:sz w:val="21"/>
        </w:rPr>
      </w:pPr>
      <w:r>
        <w:rPr>
          <w:sz w:val="21"/>
        </w:rPr>
        <w:t>La zona arqueológica </w:t>
      </w:r>
      <w:r>
        <w:rPr>
          <w:spacing w:val="-4"/>
          <w:sz w:val="21"/>
        </w:rPr>
        <w:t>de </w:t>
      </w:r>
      <w:r>
        <w:rPr>
          <w:sz w:val="21"/>
        </w:rPr>
        <w:t>Huitzizilapa, con gran potencial turístico, no ha tenido la inversión y recuperación necesarias para convertirse en una zona de atracción</w:t>
      </w:r>
      <w:r>
        <w:rPr>
          <w:spacing w:val="-1"/>
          <w:sz w:val="21"/>
        </w:rPr>
        <w:t> </w:t>
      </w:r>
      <w:r>
        <w:rPr>
          <w:sz w:val="21"/>
        </w:rPr>
        <w:t>turística.</w:t>
      </w:r>
    </w:p>
    <w:p>
      <w:pPr>
        <w:pStyle w:val="BodyText"/>
        <w:rPr>
          <w:sz w:val="29"/>
        </w:rPr>
      </w:pPr>
    </w:p>
    <w:p>
      <w:pPr>
        <w:pStyle w:val="ListParagraph"/>
        <w:numPr>
          <w:ilvl w:val="0"/>
          <w:numId w:val="71"/>
        </w:numPr>
        <w:tabs>
          <w:tab w:pos="1612" w:val="left" w:leader="none"/>
        </w:tabs>
        <w:spacing w:line="240" w:lineRule="auto" w:before="101" w:after="0"/>
        <w:ind w:left="1611" w:right="6511" w:hanging="360"/>
        <w:jc w:val="left"/>
        <w:rPr>
          <w:sz w:val="21"/>
        </w:rPr>
      </w:pPr>
      <w:r>
        <w:rPr>
          <w:sz w:val="21"/>
        </w:rPr>
        <w:t>El municipio de Magdalena requiere desarrollar servicios y productos turísticos como parte del corredor del paisaje agavero. Esto permitiría aprovechar </w:t>
      </w:r>
      <w:r>
        <w:rPr>
          <w:spacing w:val="3"/>
          <w:sz w:val="21"/>
        </w:rPr>
        <w:t>la </w:t>
      </w:r>
      <w:r>
        <w:rPr>
          <w:sz w:val="21"/>
        </w:rPr>
        <w:t>cercanía con el municipio de Tequila y generar atractivos para quienes visitan dicho</w:t>
      </w:r>
      <w:r>
        <w:rPr>
          <w:spacing w:val="-10"/>
          <w:sz w:val="21"/>
        </w:rPr>
        <w:t> </w:t>
      </w:r>
      <w:r>
        <w:rPr>
          <w:sz w:val="21"/>
        </w:rPr>
        <w:t>municipio.</w:t>
      </w:r>
    </w:p>
    <w:p>
      <w:pPr>
        <w:pStyle w:val="BodyText"/>
        <w:rPr>
          <w:sz w:val="20"/>
        </w:rPr>
      </w:pPr>
    </w:p>
    <w:p>
      <w:pPr>
        <w:pStyle w:val="BodyText"/>
        <w:spacing w:before="2"/>
        <w:rPr>
          <w:sz w:val="27"/>
        </w:rPr>
      </w:pPr>
    </w:p>
    <w:tbl>
      <w:tblPr>
        <w:tblW w:w="0" w:type="auto"/>
        <w:jc w:val="left"/>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45"/>
        <w:gridCol w:w="4743"/>
      </w:tblGrid>
      <w:tr>
        <w:trPr>
          <w:trHeight w:val="813" w:hRule="atLeast"/>
        </w:trPr>
        <w:tc>
          <w:tcPr>
            <w:tcW w:w="4745" w:type="dxa"/>
            <w:tcBorders>
              <w:bottom w:val="single" w:sz="4" w:space="0" w:color="FFFFFF"/>
            </w:tcBorders>
            <w:shd w:val="clear" w:color="auto" w:fill="30849B"/>
          </w:tcPr>
          <w:p>
            <w:pPr>
              <w:pStyle w:val="TableParagraph"/>
              <w:spacing w:line="585" w:lineRule="exact"/>
              <w:ind w:left="1288"/>
              <w:rPr>
                <w:rFonts w:ascii="Corbel"/>
                <w:sz w:val="48"/>
              </w:rPr>
            </w:pPr>
            <w:r>
              <w:rPr>
                <w:rFonts w:ascii="Corbel"/>
                <w:color w:val="FFFFFF"/>
                <w:sz w:val="48"/>
              </w:rPr>
              <w:t>Programas</w:t>
            </w:r>
          </w:p>
        </w:tc>
        <w:tc>
          <w:tcPr>
            <w:tcW w:w="4743" w:type="dxa"/>
            <w:tcBorders>
              <w:bottom w:val="single" w:sz="4" w:space="0" w:color="FFFFFF"/>
            </w:tcBorders>
            <w:shd w:val="clear" w:color="auto" w:fill="30849B"/>
          </w:tcPr>
          <w:p>
            <w:pPr>
              <w:pStyle w:val="TableParagraph"/>
              <w:spacing w:line="585" w:lineRule="exact"/>
              <w:ind w:left="1378"/>
              <w:rPr>
                <w:rFonts w:ascii="Corbel"/>
                <w:sz w:val="48"/>
              </w:rPr>
            </w:pPr>
            <w:r>
              <w:rPr>
                <w:rFonts w:ascii="Corbel"/>
                <w:color w:val="FFFFFF"/>
                <w:sz w:val="48"/>
              </w:rPr>
              <w:t>Proyectos</w:t>
            </w:r>
          </w:p>
        </w:tc>
      </w:tr>
      <w:tr>
        <w:trPr>
          <w:trHeight w:val="2582" w:hRule="atLeast"/>
        </w:trPr>
        <w:tc>
          <w:tcPr>
            <w:tcW w:w="4745" w:type="dxa"/>
            <w:tcBorders>
              <w:top w:val="single" w:sz="4" w:space="0" w:color="FFFFFF"/>
              <w:left w:val="nil"/>
              <w:bottom w:val="nil"/>
              <w:right w:val="nil"/>
            </w:tcBorders>
            <w:shd w:val="clear" w:color="auto" w:fill="B6DDE8"/>
          </w:tcPr>
          <w:p>
            <w:pPr>
              <w:pStyle w:val="TableParagraph"/>
              <w:spacing w:before="3"/>
              <w:rPr>
                <w:sz w:val="20"/>
              </w:rPr>
            </w:pPr>
          </w:p>
          <w:p>
            <w:pPr>
              <w:pStyle w:val="TableParagraph"/>
              <w:tabs>
                <w:tab w:pos="832" w:val="left" w:leader="none"/>
              </w:tabs>
              <w:spacing w:line="276" w:lineRule="auto" w:before="1"/>
              <w:ind w:left="832" w:right="382" w:hanging="360"/>
              <w:rPr>
                <w:rFonts w:ascii="Corbel" w:hAnsi="Corbel"/>
                <w:sz w:val="20"/>
              </w:rPr>
            </w:pPr>
            <w:r>
              <w:rPr>
                <w:rFonts w:ascii="Tw Cen MT Condensed Extra Bold" w:hAnsi="Tw Cen MT Condensed Extra Bold"/>
                <w:b/>
                <w:sz w:val="20"/>
              </w:rPr>
              <w:t>1.</w:t>
              <w:tab/>
            </w:r>
            <w:r>
              <w:rPr>
                <w:rFonts w:ascii="Corbel" w:hAnsi="Corbel"/>
                <w:sz w:val="20"/>
              </w:rPr>
              <w:t>Asesoramiento y capacitación a las PYMES del</w:t>
            </w:r>
            <w:r>
              <w:rPr>
                <w:rFonts w:ascii="Corbel" w:hAnsi="Corbel"/>
                <w:spacing w:val="-1"/>
                <w:sz w:val="20"/>
              </w:rPr>
              <w:t> </w:t>
            </w:r>
            <w:r>
              <w:rPr>
                <w:rFonts w:ascii="Corbel" w:hAnsi="Corbel"/>
                <w:sz w:val="20"/>
              </w:rPr>
              <w:t>municipio</w:t>
            </w:r>
          </w:p>
        </w:tc>
        <w:tc>
          <w:tcPr>
            <w:tcW w:w="4743" w:type="dxa"/>
            <w:tcBorders>
              <w:top w:val="single" w:sz="4" w:space="0" w:color="FFFFFF"/>
              <w:left w:val="nil"/>
              <w:bottom w:val="single" w:sz="4" w:space="0" w:color="FFFFFF"/>
              <w:right w:val="nil"/>
            </w:tcBorders>
            <w:shd w:val="clear" w:color="auto" w:fill="B6DDE8"/>
          </w:tcPr>
          <w:p>
            <w:pPr>
              <w:pStyle w:val="TableParagraph"/>
              <w:rPr>
                <w:sz w:val="21"/>
              </w:rPr>
            </w:pPr>
          </w:p>
          <w:p>
            <w:pPr>
              <w:pStyle w:val="TableParagraph"/>
              <w:numPr>
                <w:ilvl w:val="0"/>
                <w:numId w:val="72"/>
              </w:numPr>
              <w:tabs>
                <w:tab w:pos="867" w:val="left" w:leader="none"/>
                <w:tab w:pos="868" w:val="left" w:leader="none"/>
              </w:tabs>
              <w:spacing w:line="240" w:lineRule="auto" w:before="0" w:after="0"/>
              <w:ind w:left="867" w:right="359" w:hanging="394"/>
              <w:jc w:val="left"/>
              <w:rPr>
                <w:sz w:val="20"/>
              </w:rPr>
            </w:pPr>
            <w:r>
              <w:rPr>
                <w:sz w:val="20"/>
              </w:rPr>
              <w:t>Crear alianza con una institución de educación superior, para que, mediante convenio, se lleve a los comerciantes del municipio de Magdalena un programa de encubación de empresas, asesoría contable y</w:t>
            </w:r>
            <w:r>
              <w:rPr>
                <w:spacing w:val="-3"/>
                <w:sz w:val="20"/>
              </w:rPr>
              <w:t> </w:t>
            </w:r>
            <w:r>
              <w:rPr>
                <w:sz w:val="20"/>
              </w:rPr>
              <w:t>modernización.</w:t>
            </w:r>
          </w:p>
          <w:p>
            <w:pPr>
              <w:pStyle w:val="TableParagraph"/>
              <w:spacing w:before="5"/>
              <w:rPr>
                <w:sz w:val="22"/>
              </w:rPr>
            </w:pPr>
          </w:p>
          <w:p>
            <w:pPr>
              <w:pStyle w:val="TableParagraph"/>
              <w:numPr>
                <w:ilvl w:val="0"/>
                <w:numId w:val="72"/>
              </w:numPr>
              <w:tabs>
                <w:tab w:pos="867" w:val="left" w:leader="none"/>
                <w:tab w:pos="868" w:val="left" w:leader="none"/>
              </w:tabs>
              <w:spacing w:line="264" w:lineRule="exact" w:before="0" w:after="0"/>
              <w:ind w:left="867" w:right="0" w:hanging="395"/>
              <w:jc w:val="left"/>
              <w:rPr>
                <w:sz w:val="20"/>
              </w:rPr>
            </w:pPr>
            <w:r>
              <w:rPr>
                <w:sz w:val="20"/>
              </w:rPr>
              <w:t>Buscar un módulo especial de</w:t>
            </w:r>
            <w:r>
              <w:rPr>
                <w:spacing w:val="-7"/>
                <w:sz w:val="20"/>
              </w:rPr>
              <w:t> </w:t>
            </w:r>
            <w:r>
              <w:rPr>
                <w:sz w:val="20"/>
              </w:rPr>
              <w:t>Fojal</w:t>
            </w:r>
          </w:p>
        </w:tc>
      </w:tr>
    </w:tbl>
    <w:p>
      <w:pPr>
        <w:spacing w:after="0" w:line="264" w:lineRule="exact"/>
        <w:jc w:val="left"/>
        <w:rPr>
          <w:sz w:val="20"/>
        </w:rPr>
        <w:sectPr>
          <w:pgSz w:w="12240" w:h="15840"/>
          <w:pgMar w:header="178" w:footer="1142" w:top="1120" w:bottom="1360" w:left="460" w:right="220"/>
        </w:sectPr>
      </w:pPr>
    </w:p>
    <w:p>
      <w:pPr>
        <w:pStyle w:val="BodyText"/>
        <w:rPr>
          <w:rFonts w:ascii="Times New Roman"/>
          <w:sz w:val="20"/>
        </w:rPr>
      </w:pPr>
    </w:p>
    <w:p>
      <w:pPr>
        <w:pStyle w:val="BodyText"/>
        <w:spacing w:before="7" w:after="1"/>
        <w:rPr>
          <w:rFonts w:ascii="Times New Roman"/>
          <w:sz w:val="24"/>
        </w:rPr>
      </w:pPr>
    </w:p>
    <w:tbl>
      <w:tblPr>
        <w:tblW w:w="0" w:type="auto"/>
        <w:jc w:val="left"/>
        <w:tblInd w:w="80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4740"/>
        <w:gridCol w:w="4738"/>
      </w:tblGrid>
      <w:tr>
        <w:trPr>
          <w:trHeight w:val="1610" w:hRule="atLeast"/>
        </w:trPr>
        <w:tc>
          <w:tcPr>
            <w:tcW w:w="4740" w:type="dxa"/>
            <w:tcBorders>
              <w:top w:val="nil"/>
              <w:left w:val="nil"/>
            </w:tcBorders>
            <w:shd w:val="clear" w:color="auto" w:fill="B6DDE8"/>
          </w:tcPr>
          <w:p>
            <w:pPr>
              <w:pStyle w:val="TableParagraph"/>
              <w:rPr>
                <w:rFonts w:ascii="Times New Roman"/>
                <w:sz w:val="18"/>
              </w:rPr>
            </w:pPr>
          </w:p>
        </w:tc>
        <w:tc>
          <w:tcPr>
            <w:tcW w:w="4738" w:type="dxa"/>
            <w:tcBorders>
              <w:top w:val="nil"/>
              <w:right w:val="nil"/>
            </w:tcBorders>
            <w:shd w:val="clear" w:color="auto" w:fill="B6DDE8"/>
          </w:tcPr>
          <w:p>
            <w:pPr>
              <w:pStyle w:val="TableParagraph"/>
              <w:spacing w:before="3"/>
              <w:ind w:left="857" w:right="365"/>
              <w:rPr>
                <w:sz w:val="20"/>
              </w:rPr>
            </w:pPr>
            <w:r>
              <w:rPr>
                <w:sz w:val="20"/>
              </w:rPr>
              <w:t>que se intale de manera itinerante para acerccar mecanismos de crédito y financiamento para los emprendedores y comerciantes del municipio.</w:t>
            </w:r>
          </w:p>
        </w:tc>
      </w:tr>
      <w:tr>
        <w:trPr>
          <w:trHeight w:val="10568" w:hRule="atLeast"/>
        </w:trPr>
        <w:tc>
          <w:tcPr>
            <w:tcW w:w="4740" w:type="dxa"/>
            <w:tcBorders>
              <w:left w:val="nil"/>
            </w:tcBorders>
            <w:shd w:val="clear" w:color="auto" w:fill="B6DDE8"/>
          </w:tcPr>
          <w:p>
            <w:pPr>
              <w:pStyle w:val="TableParagraph"/>
              <w:spacing w:before="9"/>
              <w:rPr>
                <w:rFonts w:ascii="Times New Roman"/>
                <w:sz w:val="24"/>
              </w:rPr>
            </w:pPr>
          </w:p>
          <w:p>
            <w:pPr>
              <w:pStyle w:val="TableParagraph"/>
              <w:spacing w:before="1"/>
              <w:ind w:left="823" w:right="107" w:hanging="360"/>
              <w:rPr>
                <w:sz w:val="20"/>
              </w:rPr>
            </w:pPr>
            <w:r>
              <w:rPr>
                <w:b/>
                <w:sz w:val="20"/>
              </w:rPr>
              <w:t>2. </w:t>
            </w:r>
            <w:r>
              <w:rPr>
                <w:sz w:val="20"/>
              </w:rPr>
              <w:t>Acompañamiento técnico y apoyo para el sector</w:t>
            </w:r>
            <w:r>
              <w:rPr>
                <w:spacing w:val="-2"/>
                <w:sz w:val="20"/>
              </w:rPr>
              <w:t> </w:t>
            </w:r>
            <w:r>
              <w:rPr>
                <w:sz w:val="20"/>
              </w:rPr>
              <w:t>agropecuario</w:t>
            </w:r>
          </w:p>
        </w:tc>
        <w:tc>
          <w:tcPr>
            <w:tcW w:w="4738" w:type="dxa"/>
            <w:tcBorders>
              <w:right w:val="nil"/>
            </w:tcBorders>
            <w:shd w:val="clear" w:color="auto" w:fill="B6DDE8"/>
          </w:tcPr>
          <w:p>
            <w:pPr>
              <w:pStyle w:val="TableParagraph"/>
              <w:spacing w:before="9"/>
              <w:rPr>
                <w:rFonts w:ascii="Times New Roman"/>
                <w:sz w:val="21"/>
              </w:rPr>
            </w:pPr>
          </w:p>
          <w:p>
            <w:pPr>
              <w:pStyle w:val="TableParagraph"/>
              <w:numPr>
                <w:ilvl w:val="0"/>
                <w:numId w:val="73"/>
              </w:numPr>
              <w:tabs>
                <w:tab w:pos="857" w:val="left" w:leader="none"/>
                <w:tab w:pos="858" w:val="left" w:leader="none"/>
              </w:tabs>
              <w:spacing w:line="237" w:lineRule="auto" w:before="0" w:after="0"/>
              <w:ind w:left="857" w:right="219" w:hanging="394"/>
              <w:jc w:val="left"/>
              <w:rPr>
                <w:rFonts w:ascii="Symbol" w:hAnsi="Symbol"/>
                <w:color w:val="252525"/>
                <w:sz w:val="24"/>
              </w:rPr>
            </w:pPr>
            <w:r>
              <w:rPr>
                <w:color w:val="252525"/>
                <w:sz w:val="20"/>
              </w:rPr>
              <w:t>Gestionar ante la secretaría de desarrollo rural, la contratación de</w:t>
            </w:r>
            <w:r>
              <w:rPr>
                <w:color w:val="252525"/>
                <w:spacing w:val="-20"/>
                <w:sz w:val="20"/>
              </w:rPr>
              <w:t> </w:t>
            </w:r>
            <w:r>
              <w:rPr>
                <w:color w:val="252525"/>
                <w:sz w:val="20"/>
              </w:rPr>
              <w:t>un extensionista que pueda acompañar a las cooperativas y productores del municipio.</w:t>
            </w:r>
          </w:p>
          <w:p>
            <w:pPr>
              <w:pStyle w:val="TableParagraph"/>
              <w:spacing w:before="10"/>
              <w:rPr>
                <w:rFonts w:ascii="Times New Roman"/>
                <w:sz w:val="24"/>
              </w:rPr>
            </w:pPr>
          </w:p>
          <w:p>
            <w:pPr>
              <w:pStyle w:val="TableParagraph"/>
              <w:numPr>
                <w:ilvl w:val="0"/>
                <w:numId w:val="73"/>
              </w:numPr>
              <w:tabs>
                <w:tab w:pos="857" w:val="left" w:leader="none"/>
                <w:tab w:pos="858" w:val="left" w:leader="none"/>
              </w:tabs>
              <w:spacing w:line="237" w:lineRule="auto" w:before="0" w:after="0"/>
              <w:ind w:left="857" w:right="402" w:hanging="394"/>
              <w:jc w:val="left"/>
              <w:rPr>
                <w:rFonts w:ascii="Symbol" w:hAnsi="Symbol"/>
                <w:color w:val="252525"/>
                <w:sz w:val="24"/>
              </w:rPr>
            </w:pPr>
            <w:r>
              <w:rPr>
                <w:color w:val="252525"/>
                <w:sz w:val="20"/>
              </w:rPr>
              <w:t>Buscar un módulo de las dependencias federales y estatales que apoyan a los productores agropecuarios para canalizar los apoyos al</w:t>
            </w:r>
            <w:r>
              <w:rPr>
                <w:color w:val="252525"/>
                <w:spacing w:val="-2"/>
                <w:sz w:val="20"/>
              </w:rPr>
              <w:t> </w:t>
            </w:r>
            <w:r>
              <w:rPr>
                <w:color w:val="252525"/>
                <w:sz w:val="20"/>
              </w:rPr>
              <w:t>campo.</w:t>
            </w:r>
          </w:p>
          <w:p>
            <w:pPr>
              <w:pStyle w:val="TableParagraph"/>
              <w:spacing w:before="10"/>
              <w:rPr>
                <w:rFonts w:ascii="Times New Roman"/>
                <w:sz w:val="24"/>
              </w:rPr>
            </w:pPr>
          </w:p>
          <w:p>
            <w:pPr>
              <w:pStyle w:val="TableParagraph"/>
              <w:numPr>
                <w:ilvl w:val="0"/>
                <w:numId w:val="73"/>
              </w:numPr>
              <w:tabs>
                <w:tab w:pos="857" w:val="left" w:leader="none"/>
                <w:tab w:pos="858" w:val="left" w:leader="none"/>
              </w:tabs>
              <w:spacing w:line="237" w:lineRule="auto" w:before="0" w:after="0"/>
              <w:ind w:left="857" w:right="155" w:hanging="394"/>
              <w:jc w:val="left"/>
              <w:rPr>
                <w:rFonts w:ascii="Symbol" w:hAnsi="Symbol"/>
                <w:color w:val="252525"/>
                <w:sz w:val="24"/>
              </w:rPr>
            </w:pPr>
            <w:r>
              <w:rPr>
                <w:color w:val="252525"/>
                <w:sz w:val="20"/>
              </w:rPr>
              <w:t>Organizar a los productores de</w:t>
            </w:r>
            <w:r>
              <w:rPr>
                <w:color w:val="252525"/>
                <w:spacing w:val="-20"/>
                <w:sz w:val="20"/>
              </w:rPr>
              <w:t> </w:t>
            </w:r>
            <w:r>
              <w:rPr>
                <w:color w:val="252525"/>
                <w:sz w:val="20"/>
              </w:rPr>
              <w:t>Agave para realizar conjuntamente una revisión de los riesgos de erosión y tomar medidas de manera colectiva para la protección de los</w:t>
            </w:r>
            <w:r>
              <w:rPr>
                <w:color w:val="252525"/>
                <w:spacing w:val="-6"/>
                <w:sz w:val="20"/>
              </w:rPr>
              <w:t> </w:t>
            </w:r>
            <w:r>
              <w:rPr>
                <w:color w:val="252525"/>
                <w:sz w:val="20"/>
              </w:rPr>
              <w:t>suelos.</w:t>
            </w:r>
          </w:p>
          <w:p>
            <w:pPr>
              <w:pStyle w:val="TableParagraph"/>
              <w:spacing w:before="9"/>
              <w:rPr>
                <w:rFonts w:ascii="Times New Roman"/>
                <w:sz w:val="24"/>
              </w:rPr>
            </w:pPr>
          </w:p>
          <w:p>
            <w:pPr>
              <w:pStyle w:val="TableParagraph"/>
              <w:numPr>
                <w:ilvl w:val="0"/>
                <w:numId w:val="73"/>
              </w:numPr>
              <w:tabs>
                <w:tab w:pos="823" w:val="left" w:leader="none"/>
                <w:tab w:pos="824" w:val="left" w:leader="none"/>
              </w:tabs>
              <w:spacing w:line="240" w:lineRule="auto" w:before="0" w:after="0"/>
              <w:ind w:left="823" w:right="107" w:hanging="361"/>
              <w:jc w:val="left"/>
              <w:rPr>
                <w:rFonts w:ascii="Symbol" w:hAnsi="Symbol"/>
                <w:color w:val="252525"/>
                <w:sz w:val="20"/>
              </w:rPr>
            </w:pPr>
            <w:r>
              <w:rPr>
                <w:color w:val="252525"/>
                <w:sz w:val="20"/>
              </w:rPr>
              <w:t>Gestionar ante CONAGUA un programa para el financiamiento de sistemas de riego, almacenamiento de agua para uso agrícola; perforación de pozos profundos con su respectivo equipamiento y electrificación, que permitiría regar los cultivos y aumentar la</w:t>
            </w:r>
            <w:r>
              <w:rPr>
                <w:color w:val="252525"/>
                <w:spacing w:val="-1"/>
                <w:sz w:val="20"/>
              </w:rPr>
              <w:t> </w:t>
            </w:r>
            <w:r>
              <w:rPr>
                <w:color w:val="252525"/>
                <w:sz w:val="20"/>
              </w:rPr>
              <w:t>producción</w:t>
            </w:r>
          </w:p>
          <w:p>
            <w:pPr>
              <w:pStyle w:val="TableParagraph"/>
              <w:spacing w:before="3"/>
              <w:rPr>
                <w:rFonts w:ascii="Times New Roman"/>
                <w:sz w:val="21"/>
              </w:rPr>
            </w:pPr>
          </w:p>
          <w:p>
            <w:pPr>
              <w:pStyle w:val="TableParagraph"/>
              <w:numPr>
                <w:ilvl w:val="0"/>
                <w:numId w:val="73"/>
              </w:numPr>
              <w:tabs>
                <w:tab w:pos="823" w:val="left" w:leader="none"/>
                <w:tab w:pos="824" w:val="left" w:leader="none"/>
              </w:tabs>
              <w:spacing w:line="240" w:lineRule="auto" w:before="0" w:after="0"/>
              <w:ind w:left="823" w:right="255" w:hanging="361"/>
              <w:jc w:val="left"/>
              <w:rPr>
                <w:rFonts w:ascii="Symbol" w:hAnsi="Symbol"/>
                <w:color w:val="252525"/>
                <w:sz w:val="20"/>
              </w:rPr>
            </w:pPr>
            <w:r>
              <w:rPr>
                <w:color w:val="252525"/>
                <w:sz w:val="20"/>
              </w:rPr>
              <w:t>Gestión de apoyos para tecnificar las granjas porcinas del municipio y asesoría para tratar sus aguas residuales.</w:t>
            </w:r>
          </w:p>
          <w:p>
            <w:pPr>
              <w:pStyle w:val="TableParagraph"/>
              <w:spacing w:before="8"/>
              <w:rPr>
                <w:rFonts w:ascii="Times New Roman"/>
                <w:sz w:val="24"/>
              </w:rPr>
            </w:pPr>
          </w:p>
          <w:p>
            <w:pPr>
              <w:pStyle w:val="TableParagraph"/>
              <w:numPr>
                <w:ilvl w:val="0"/>
                <w:numId w:val="73"/>
              </w:numPr>
              <w:tabs>
                <w:tab w:pos="824" w:val="left" w:leader="none"/>
              </w:tabs>
              <w:spacing w:line="360" w:lineRule="auto" w:before="0" w:after="0"/>
              <w:ind w:left="823" w:right="97" w:hanging="361"/>
              <w:jc w:val="both"/>
              <w:rPr>
                <w:rFonts w:ascii="Symbol" w:hAnsi="Symbol"/>
                <w:sz w:val="20"/>
              </w:rPr>
            </w:pPr>
            <w:r>
              <w:rPr>
                <w:color w:val="252525"/>
                <w:sz w:val="20"/>
              </w:rPr>
              <w:t>Busqueda de alianzas con empresarios y/o con las oficinas de representación de paises asiáticos en Jalisco para que se incentive la producción  de especies exóticas para la</w:t>
            </w:r>
            <w:r>
              <w:rPr>
                <w:color w:val="252525"/>
                <w:spacing w:val="32"/>
                <w:sz w:val="20"/>
              </w:rPr>
              <w:t> </w:t>
            </w:r>
            <w:r>
              <w:rPr>
                <w:color w:val="252525"/>
                <w:sz w:val="20"/>
              </w:rPr>
              <w:t>exportación</w:t>
            </w:r>
          </w:p>
          <w:p>
            <w:pPr>
              <w:pStyle w:val="TableParagraph"/>
              <w:ind w:left="823"/>
              <w:jc w:val="both"/>
              <w:rPr>
                <w:sz w:val="20"/>
              </w:rPr>
            </w:pPr>
            <w:r>
              <w:rPr>
                <w:color w:val="252525"/>
                <w:sz w:val="20"/>
              </w:rPr>
              <w:t>a mercados internacionales.</w:t>
            </w:r>
          </w:p>
        </w:tc>
      </w:tr>
      <w:tr>
        <w:trPr>
          <w:trHeight w:val="438" w:hRule="atLeast"/>
        </w:trPr>
        <w:tc>
          <w:tcPr>
            <w:tcW w:w="4740" w:type="dxa"/>
            <w:tcBorders>
              <w:left w:val="nil"/>
              <w:bottom w:val="single" w:sz="48" w:space="0" w:color="FFFFFF"/>
            </w:tcBorders>
            <w:shd w:val="clear" w:color="auto" w:fill="B6DDE8"/>
          </w:tcPr>
          <w:p>
            <w:pPr>
              <w:pStyle w:val="TableParagraph"/>
              <w:rPr>
                <w:rFonts w:ascii="Times New Roman"/>
                <w:sz w:val="18"/>
              </w:rPr>
            </w:pPr>
          </w:p>
        </w:tc>
        <w:tc>
          <w:tcPr>
            <w:tcW w:w="4738" w:type="dxa"/>
            <w:tcBorders>
              <w:bottom w:val="single" w:sz="48" w:space="0" w:color="FFFFFF"/>
              <w:right w:val="nil"/>
            </w:tcBorders>
            <w:shd w:val="clear" w:color="auto" w:fill="B6DDE8"/>
          </w:tcPr>
          <w:p>
            <w:pPr>
              <w:pStyle w:val="TableParagraph"/>
              <w:rPr>
                <w:rFonts w:ascii="Times New Roman"/>
                <w:sz w:val="18"/>
              </w:rPr>
            </w:pPr>
          </w:p>
        </w:tc>
      </w:tr>
    </w:tbl>
    <w:p>
      <w:pPr>
        <w:spacing w:after="0"/>
        <w:rPr>
          <w:rFonts w:ascii="Times New Roman"/>
          <w:sz w:val="18"/>
        </w:rPr>
        <w:sectPr>
          <w:pgSz w:w="12240" w:h="15840"/>
          <w:pgMar w:header="178" w:footer="1142" w:top="1120" w:bottom="1420" w:left="460" w:right="220"/>
        </w:sectPr>
      </w:pPr>
    </w:p>
    <w:p>
      <w:pPr>
        <w:pStyle w:val="BodyText"/>
        <w:rPr>
          <w:rFonts w:ascii="Times New Roman"/>
          <w:sz w:val="20"/>
        </w:rPr>
      </w:pPr>
      <w:r>
        <w:rPr/>
        <w:pict>
          <v:rect style="position:absolute;margin-left:62.903999pt;margin-top:82.589996pt;width:236.78pt;height:189.98pt;mso-position-horizontal-relative:page;mso-position-vertical-relative:page;z-index:-262264832" filled="true" fillcolor="#b6dde8" stroked="false">
            <v:fill type="solid"/>
            <w10:wrap type="none"/>
          </v:rect>
        </w:pict>
      </w:r>
      <w:r>
        <w:rPr/>
        <w:pict>
          <v:rect style="position:absolute;margin-left:68.064003pt;margin-top:82.580002pt;width:226.46pt;height:20.64pt;mso-position-horizontal-relative:page;mso-position-vertical-relative:page;z-index:-262263808" filled="true" fillcolor="#b6dde8" stroked="false">
            <v:fill type="solid"/>
            <w10:wrap type="none"/>
          </v:rect>
        </w:pict>
      </w:r>
      <w:r>
        <w:rPr/>
        <w:pict>
          <v:shape style="position:absolute;margin-left:300.170013pt;margin-top:82.579964pt;width:236.7pt;height:190pt;mso-position-horizontal-relative:page;mso-position-vertical-relative:page;z-index:-262262784" coordorigin="6003,1652" coordsize="4734,3800" path="m10737,1652l10634,1652,10634,1652,6107,1652,6107,1652,6003,1652,6003,5451,6107,5451,10634,5451,10737,5451,10737,1652e" filled="true" fillcolor="#b6dde8" stroked="false">
            <v:path arrowok="t"/>
            <v:fill type="solid"/>
            <w10:wrap type="none"/>
          </v:shape>
        </w:pict>
      </w:r>
    </w:p>
    <w:p>
      <w:pPr>
        <w:pStyle w:val="BodyText"/>
        <w:spacing w:before="7" w:after="1"/>
        <w:rPr>
          <w:rFonts w:ascii="Times New Roman"/>
          <w:sz w:val="24"/>
        </w:rPr>
      </w:pPr>
    </w:p>
    <w:tbl>
      <w:tblPr>
        <w:tblW w:w="0" w:type="auto"/>
        <w:jc w:val="left"/>
        <w:tblInd w:w="94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top w:w="0" w:type="dxa"/>
          <w:left w:w="0" w:type="dxa"/>
          <w:bottom w:w="0" w:type="dxa"/>
          <w:right w:w="0" w:type="dxa"/>
        </w:tblCellMar>
        <w:tblLook w:val="01E0"/>
      </w:tblPr>
      <w:tblGrid>
        <w:gridCol w:w="4340"/>
        <w:gridCol w:w="269"/>
        <w:gridCol w:w="4773"/>
      </w:tblGrid>
      <w:tr>
        <w:trPr>
          <w:trHeight w:val="3799" w:hRule="atLeast"/>
        </w:trPr>
        <w:tc>
          <w:tcPr>
            <w:tcW w:w="4609" w:type="dxa"/>
            <w:gridSpan w:val="2"/>
            <w:tcBorders>
              <w:top w:val="nil"/>
              <w:left w:val="nil"/>
              <w:right w:val="single" w:sz="4" w:space="0" w:color="FFFFFF"/>
            </w:tcBorders>
            <w:shd w:val="clear" w:color="auto" w:fill="B6DDE8"/>
          </w:tcPr>
          <w:p>
            <w:pPr>
              <w:pStyle w:val="TableParagraph"/>
              <w:spacing w:line="292" w:lineRule="exact"/>
              <w:ind w:left="340"/>
              <w:rPr>
                <w:rFonts w:ascii="Corbel"/>
                <w:sz w:val="21"/>
              </w:rPr>
            </w:pPr>
            <w:r>
              <w:rPr>
                <w:rFonts w:ascii="Calibri"/>
                <w:b/>
                <w:sz w:val="24"/>
              </w:rPr>
              <w:t>3. </w:t>
            </w:r>
            <w:r>
              <w:rPr>
                <w:rFonts w:ascii="Corbel"/>
                <w:sz w:val="21"/>
              </w:rPr>
              <w:t>Apoyo a artesanos</w:t>
            </w:r>
          </w:p>
        </w:tc>
        <w:tc>
          <w:tcPr>
            <w:tcW w:w="4773" w:type="dxa"/>
            <w:tcBorders>
              <w:top w:val="nil"/>
              <w:left w:val="single" w:sz="4" w:space="0" w:color="FFFFFF"/>
              <w:right w:val="nil"/>
            </w:tcBorders>
            <w:shd w:val="clear" w:color="auto" w:fill="B6DDE8"/>
          </w:tcPr>
          <w:p>
            <w:pPr>
              <w:pStyle w:val="TableParagraph"/>
              <w:tabs>
                <w:tab w:pos="1818" w:val="left" w:leader="none"/>
                <w:tab w:pos="3636" w:val="left" w:leader="none"/>
              </w:tabs>
              <w:spacing w:line="276" w:lineRule="auto" w:before="2"/>
              <w:ind w:left="832" w:right="120"/>
              <w:jc w:val="both"/>
              <w:rPr>
                <w:sz w:val="22"/>
              </w:rPr>
            </w:pPr>
            <w:r>
              <w:rPr>
                <w:color w:val="252525"/>
                <w:sz w:val="22"/>
              </w:rPr>
              <w:t>Convenio con el CUTONALÁ para que através de la carrera en Diseño de Artesanías se asesore y se</w:t>
              <w:tab/>
              <w:t>acerquen</w:t>
              <w:tab/>
            </w:r>
            <w:r>
              <w:rPr>
                <w:color w:val="252525"/>
                <w:spacing w:val="-1"/>
                <w:sz w:val="22"/>
              </w:rPr>
              <w:t>prácticas </w:t>
            </w:r>
            <w:r>
              <w:rPr>
                <w:color w:val="252525"/>
                <w:sz w:val="22"/>
              </w:rPr>
              <w:t>profesionales a trabajar con el sector de artesanos de ópalo y obsidiana para que puedan elaborar planes de negocios atractivos y generen nuevos diseños e innoven en la comercialización.</w:t>
            </w:r>
          </w:p>
        </w:tc>
      </w:tr>
      <w:tr>
        <w:trPr>
          <w:trHeight w:val="7161" w:hRule="atLeast"/>
        </w:trPr>
        <w:tc>
          <w:tcPr>
            <w:tcW w:w="4340" w:type="dxa"/>
            <w:tcBorders>
              <w:left w:val="single" w:sz="8" w:space="0" w:color="FFFFFF"/>
              <w:bottom w:val="nil"/>
              <w:right w:val="single" w:sz="8" w:space="0" w:color="FFFFFF"/>
            </w:tcBorders>
            <w:shd w:val="clear" w:color="auto" w:fill="DAEDF3"/>
          </w:tcPr>
          <w:p>
            <w:pPr>
              <w:pStyle w:val="TableParagraph"/>
              <w:spacing w:line="273" w:lineRule="auto" w:before="78"/>
              <w:ind w:left="798" w:right="211" w:hanging="360"/>
              <w:rPr>
                <w:rFonts w:ascii="Corbel"/>
                <w:sz w:val="22"/>
              </w:rPr>
            </w:pPr>
            <w:r>
              <w:rPr>
                <w:rFonts w:ascii="Corbel"/>
                <w:sz w:val="22"/>
              </w:rPr>
              <w:t>4. Apuesta por el tursimo como fuente de ingresos</w:t>
            </w:r>
          </w:p>
        </w:tc>
        <w:tc>
          <w:tcPr>
            <w:tcW w:w="5042" w:type="dxa"/>
            <w:gridSpan w:val="2"/>
            <w:tcBorders>
              <w:left w:val="single" w:sz="8" w:space="0" w:color="FFFFFF"/>
              <w:bottom w:val="nil"/>
              <w:right w:val="single" w:sz="8" w:space="0" w:color="FFFFFF"/>
            </w:tcBorders>
            <w:shd w:val="clear" w:color="auto" w:fill="DAEDF3"/>
          </w:tcPr>
          <w:p>
            <w:pPr>
              <w:pStyle w:val="TableParagraph"/>
              <w:spacing w:before="7"/>
              <w:rPr>
                <w:rFonts w:ascii="Times New Roman"/>
                <w:sz w:val="32"/>
              </w:rPr>
            </w:pPr>
          </w:p>
          <w:p>
            <w:pPr>
              <w:pStyle w:val="TableParagraph"/>
              <w:numPr>
                <w:ilvl w:val="0"/>
                <w:numId w:val="74"/>
              </w:numPr>
              <w:tabs>
                <w:tab w:pos="815" w:val="left" w:leader="none"/>
                <w:tab w:pos="816" w:val="left" w:leader="none"/>
              </w:tabs>
              <w:spacing w:line="240" w:lineRule="auto" w:before="1" w:after="0"/>
              <w:ind w:left="815" w:right="270" w:hanging="377"/>
              <w:jc w:val="left"/>
              <w:rPr>
                <w:rFonts w:ascii="Symbol" w:hAnsi="Symbol"/>
                <w:color w:val="252525"/>
                <w:sz w:val="22"/>
              </w:rPr>
            </w:pPr>
            <w:r>
              <w:rPr>
                <w:color w:val="252525"/>
                <w:sz w:val="21"/>
              </w:rPr>
              <w:t>Promover a Magdalena ante el programa de haciendas y casonas de la secretaría de turismo del gobierno federal</w:t>
            </w:r>
          </w:p>
          <w:p>
            <w:pPr>
              <w:pStyle w:val="TableParagraph"/>
              <w:numPr>
                <w:ilvl w:val="0"/>
                <w:numId w:val="74"/>
              </w:numPr>
              <w:tabs>
                <w:tab w:pos="832" w:val="left" w:leader="none"/>
                <w:tab w:pos="833" w:val="left" w:leader="none"/>
              </w:tabs>
              <w:spacing w:line="240" w:lineRule="auto" w:before="224" w:after="0"/>
              <w:ind w:left="832" w:right="86" w:hanging="394"/>
              <w:jc w:val="left"/>
              <w:rPr>
                <w:rFonts w:ascii="Symbol" w:hAnsi="Symbol"/>
                <w:color w:val="252525"/>
                <w:sz w:val="24"/>
              </w:rPr>
            </w:pPr>
            <w:r>
              <w:rPr>
                <w:color w:val="252525"/>
                <w:sz w:val="22"/>
              </w:rPr>
              <w:t>Presentar ante la secretaría de cultura del Gobierno del estado de Jalisco un proyecto para la recuperación de la zona arqueológica de Huitzizilapa, que capacite a los pobladores e invierta en su</w:t>
            </w:r>
            <w:r>
              <w:rPr>
                <w:color w:val="252525"/>
                <w:spacing w:val="-5"/>
                <w:sz w:val="22"/>
              </w:rPr>
              <w:t> </w:t>
            </w:r>
            <w:r>
              <w:rPr>
                <w:color w:val="252525"/>
                <w:sz w:val="22"/>
              </w:rPr>
              <w:t>promoción.</w:t>
            </w:r>
          </w:p>
          <w:p>
            <w:pPr>
              <w:pStyle w:val="TableParagraph"/>
              <w:spacing w:before="1"/>
              <w:rPr>
                <w:rFonts w:ascii="Times New Roman"/>
                <w:sz w:val="23"/>
              </w:rPr>
            </w:pPr>
          </w:p>
          <w:p>
            <w:pPr>
              <w:pStyle w:val="TableParagraph"/>
              <w:numPr>
                <w:ilvl w:val="0"/>
                <w:numId w:val="74"/>
              </w:numPr>
              <w:tabs>
                <w:tab w:pos="832" w:val="left" w:leader="none"/>
                <w:tab w:pos="833" w:val="left" w:leader="none"/>
              </w:tabs>
              <w:spacing w:line="240" w:lineRule="auto" w:before="0" w:after="0"/>
              <w:ind w:left="832" w:right="60" w:hanging="394"/>
              <w:jc w:val="left"/>
              <w:rPr>
                <w:rFonts w:ascii="Symbol" w:hAnsi="Symbol"/>
                <w:color w:val="252525"/>
                <w:sz w:val="24"/>
              </w:rPr>
            </w:pPr>
            <w:r>
              <w:rPr>
                <w:color w:val="252525"/>
                <w:sz w:val="22"/>
              </w:rPr>
              <w:t>Establecer una mesa de trabajo con el gobierno del estado de Jalisco para vincular a Magdalena de manera importante en el proyecto del paisaje agavero. Que genere inversión y apoyo para la promoción de servicios turísticos en torno a esta región</w:t>
            </w:r>
            <w:r>
              <w:rPr>
                <w:color w:val="252525"/>
                <w:spacing w:val="-3"/>
                <w:sz w:val="22"/>
              </w:rPr>
              <w:t> </w:t>
            </w:r>
            <w:r>
              <w:rPr>
                <w:color w:val="252525"/>
                <w:sz w:val="22"/>
              </w:rPr>
              <w:t>agavera.</w:t>
            </w:r>
          </w:p>
        </w:tc>
      </w:tr>
    </w:tbl>
    <w:p>
      <w:pPr>
        <w:spacing w:after="0" w:line="240" w:lineRule="auto"/>
        <w:jc w:val="left"/>
        <w:rPr>
          <w:rFonts w:ascii="Symbol" w:hAnsi="Symbol"/>
          <w:sz w:val="24"/>
        </w:rPr>
        <w:sectPr>
          <w:pgSz w:w="12240" w:h="15840"/>
          <w:pgMar w:header="178" w:footer="1142" w:top="1120" w:bottom="1340" w:left="460" w:right="220"/>
        </w:sectPr>
      </w:pPr>
    </w:p>
    <w:p>
      <w:pPr>
        <w:pStyle w:val="BodyText"/>
        <w:rPr>
          <w:rFonts w:ascii="Times New Roman"/>
          <w:sz w:val="20"/>
        </w:rPr>
      </w:pPr>
    </w:p>
    <w:p>
      <w:pPr>
        <w:pStyle w:val="BodyText"/>
        <w:spacing w:before="6"/>
        <w:rPr>
          <w:rFonts w:ascii="Times New Roman"/>
          <w:sz w:val="25"/>
        </w:rPr>
      </w:pPr>
    </w:p>
    <w:tbl>
      <w:tblPr>
        <w:tblW w:w="0" w:type="auto"/>
        <w:jc w:val="left"/>
        <w:tblInd w:w="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0"/>
        <w:gridCol w:w="5041"/>
      </w:tblGrid>
      <w:tr>
        <w:trPr>
          <w:trHeight w:val="3540" w:hRule="atLeast"/>
        </w:trPr>
        <w:tc>
          <w:tcPr>
            <w:tcW w:w="4340" w:type="dxa"/>
            <w:tcBorders>
              <w:left w:val="single" w:sz="8" w:space="0" w:color="FFFFFF"/>
              <w:right w:val="single" w:sz="8" w:space="0" w:color="FFFFFF"/>
            </w:tcBorders>
            <w:shd w:val="clear" w:color="auto" w:fill="DAEDF3"/>
          </w:tcPr>
          <w:p>
            <w:pPr>
              <w:pStyle w:val="TableParagraph"/>
              <w:rPr>
                <w:rFonts w:ascii="Times New Roman"/>
                <w:sz w:val="22"/>
              </w:rPr>
            </w:pPr>
          </w:p>
          <w:p>
            <w:pPr>
              <w:pStyle w:val="TableParagraph"/>
              <w:spacing w:line="276" w:lineRule="auto" w:before="142"/>
              <w:ind w:left="798" w:hanging="360"/>
              <w:rPr>
                <w:rFonts w:ascii="Corbel" w:hAnsi="Corbel"/>
                <w:sz w:val="22"/>
              </w:rPr>
            </w:pPr>
            <w:r>
              <w:rPr>
                <w:rFonts w:ascii="Corbel" w:hAnsi="Corbel"/>
                <w:sz w:val="22"/>
              </w:rPr>
              <w:t>5. Transporte público eficiente para la productividad</w:t>
            </w:r>
          </w:p>
        </w:tc>
        <w:tc>
          <w:tcPr>
            <w:tcW w:w="5041" w:type="dxa"/>
            <w:tcBorders>
              <w:left w:val="single" w:sz="8" w:space="0" w:color="FFFFFF"/>
              <w:right w:val="single" w:sz="8" w:space="0" w:color="FFFFFF"/>
            </w:tcBorders>
            <w:shd w:val="clear" w:color="auto" w:fill="DAEDF3"/>
          </w:tcPr>
          <w:p>
            <w:pPr>
              <w:pStyle w:val="TableParagraph"/>
              <w:spacing w:before="2"/>
              <w:rPr>
                <w:rFonts w:ascii="Times New Roman"/>
                <w:sz w:val="31"/>
              </w:rPr>
            </w:pPr>
          </w:p>
          <w:p>
            <w:pPr>
              <w:pStyle w:val="TableParagraph"/>
              <w:numPr>
                <w:ilvl w:val="0"/>
                <w:numId w:val="75"/>
              </w:numPr>
              <w:tabs>
                <w:tab w:pos="849" w:val="left" w:leader="none"/>
                <w:tab w:pos="850" w:val="left" w:leader="none"/>
              </w:tabs>
              <w:spacing w:line="240" w:lineRule="auto" w:before="0" w:after="0"/>
              <w:ind w:left="849" w:right="106" w:hanging="411"/>
              <w:jc w:val="left"/>
              <w:rPr>
                <w:sz w:val="21"/>
              </w:rPr>
            </w:pPr>
            <w:r>
              <w:rPr>
                <w:color w:val="252525"/>
                <w:sz w:val="21"/>
              </w:rPr>
              <w:t>Trabajar en el diseño de un sistema de transporte integrado, que visualice </w:t>
            </w:r>
            <w:r>
              <w:rPr>
                <w:color w:val="252525"/>
                <w:spacing w:val="-3"/>
                <w:sz w:val="21"/>
              </w:rPr>
              <w:t>el </w:t>
            </w:r>
            <w:r>
              <w:rPr>
                <w:color w:val="252525"/>
                <w:sz w:val="21"/>
              </w:rPr>
              <w:t>crecimiento de la demanda y plantee a los trasnportistas nuevas rutas y mayor formalidad y modernización del servicio.</w:t>
            </w:r>
          </w:p>
          <w:p>
            <w:pPr>
              <w:pStyle w:val="TableParagraph"/>
              <w:numPr>
                <w:ilvl w:val="0"/>
                <w:numId w:val="75"/>
              </w:numPr>
              <w:tabs>
                <w:tab w:pos="832" w:val="left" w:leader="none"/>
                <w:tab w:pos="833" w:val="left" w:leader="none"/>
              </w:tabs>
              <w:spacing w:line="235" w:lineRule="auto" w:before="226" w:after="0"/>
              <w:ind w:left="832" w:right="956" w:hanging="394"/>
              <w:jc w:val="left"/>
              <w:rPr>
                <w:sz w:val="22"/>
              </w:rPr>
            </w:pPr>
            <w:r>
              <w:rPr>
                <w:color w:val="252525"/>
                <w:sz w:val="22"/>
              </w:rPr>
              <w:t>Instalar paradores públicos </w:t>
            </w:r>
            <w:r>
              <w:rPr>
                <w:color w:val="252525"/>
                <w:spacing w:val="-3"/>
                <w:sz w:val="22"/>
              </w:rPr>
              <w:t>de </w:t>
            </w:r>
            <w:r>
              <w:rPr>
                <w:color w:val="252525"/>
                <w:sz w:val="22"/>
              </w:rPr>
              <w:t>autobuses.</w:t>
            </w:r>
          </w:p>
        </w:tc>
      </w:tr>
    </w:tbl>
    <w:p>
      <w:pPr>
        <w:pStyle w:val="BodyText"/>
        <w:rPr>
          <w:rFonts w:ascii="Times New Roman"/>
          <w:sz w:val="20"/>
        </w:rPr>
      </w:pPr>
    </w:p>
    <w:p>
      <w:pPr>
        <w:pStyle w:val="BodyText"/>
        <w:rPr>
          <w:rFonts w:ascii="Times New Roman"/>
          <w:sz w:val="20"/>
        </w:rPr>
      </w:pPr>
    </w:p>
    <w:p>
      <w:pPr>
        <w:pStyle w:val="Heading1"/>
        <w:spacing w:before="277"/>
      </w:pPr>
      <w:bookmarkStart w:name="_bookmark17" w:id="26"/>
      <w:bookmarkEnd w:id="26"/>
      <w:r>
        <w:rPr/>
      </w:r>
      <w:r>
        <w:rPr>
          <w:color w:val="3D3D3D"/>
        </w:rPr>
        <w:t>6. INDICADORES</w:t>
      </w:r>
    </w:p>
    <w:p>
      <w:pPr>
        <w:pStyle w:val="BodyText"/>
        <w:rPr>
          <w:sz w:val="20"/>
        </w:rPr>
      </w:pPr>
    </w:p>
    <w:p>
      <w:pPr>
        <w:pStyle w:val="BodyText"/>
        <w:rPr>
          <w:sz w:val="20"/>
        </w:rPr>
      </w:pPr>
    </w:p>
    <w:p>
      <w:pPr>
        <w:pStyle w:val="BodyText"/>
        <w:spacing w:before="6"/>
        <w:rPr>
          <w:sz w:val="15"/>
        </w:rPr>
      </w:pPr>
    </w:p>
    <w:p>
      <w:pPr>
        <w:pStyle w:val="Heading2"/>
        <w:tabs>
          <w:tab w:pos="10428" w:val="left" w:leader="none"/>
        </w:tabs>
        <w:spacing w:before="50"/>
        <w:ind w:left="872"/>
      </w:pPr>
      <w:r>
        <w:rPr>
          <w:color w:val="3D3D3D"/>
          <w:spacing w:val="-21"/>
          <w:shd w:fill="C2D59B" w:color="auto" w:val="clear"/>
        </w:rPr>
        <w:t> </w:t>
      </w:r>
      <w:r>
        <w:rPr>
          <w:color w:val="3D3D3D"/>
          <w:shd w:fill="C2D59B" w:color="auto" w:val="clear"/>
        </w:rPr>
        <w:t>DESARROLLO SOSTENIBLE DEL</w:t>
      </w:r>
      <w:r>
        <w:rPr>
          <w:color w:val="3D3D3D"/>
          <w:spacing w:val="-18"/>
          <w:shd w:fill="C2D59B" w:color="auto" w:val="clear"/>
        </w:rPr>
        <w:t> </w:t>
      </w:r>
      <w:r>
        <w:rPr>
          <w:color w:val="3D3D3D"/>
          <w:shd w:fill="C2D59B" w:color="auto" w:val="clear"/>
        </w:rPr>
        <w:t>TERRITORIO:</w:t>
        <w:tab/>
      </w:r>
    </w:p>
    <w:p>
      <w:pPr>
        <w:pStyle w:val="BodyText"/>
        <w:rPr>
          <w:rFonts w:ascii="Corbel"/>
          <w:b/>
          <w:sz w:val="20"/>
        </w:rPr>
      </w:pPr>
    </w:p>
    <w:p>
      <w:pPr>
        <w:pStyle w:val="BodyText"/>
        <w:spacing w:before="7"/>
        <w:rPr>
          <w:rFonts w:ascii="Corbel"/>
          <w:b/>
          <w:sz w:val="27"/>
        </w:rPr>
      </w:pPr>
    </w:p>
    <w:tbl>
      <w:tblPr>
        <w:tblW w:w="0" w:type="auto"/>
        <w:jc w:val="left"/>
        <w:tblInd w:w="79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847"/>
        <w:gridCol w:w="566"/>
        <w:gridCol w:w="482"/>
        <w:gridCol w:w="576"/>
        <w:gridCol w:w="704"/>
        <w:gridCol w:w="545"/>
        <w:gridCol w:w="3169"/>
        <w:gridCol w:w="2600"/>
      </w:tblGrid>
      <w:tr>
        <w:trPr>
          <w:trHeight w:val="1178" w:hRule="atLeast"/>
        </w:trPr>
        <w:tc>
          <w:tcPr>
            <w:tcW w:w="847" w:type="dxa"/>
          </w:tcPr>
          <w:p>
            <w:pPr>
              <w:pStyle w:val="TableParagraph"/>
              <w:spacing w:before="2"/>
              <w:ind w:left="107" w:right="83"/>
              <w:rPr>
                <w:sz w:val="10"/>
              </w:rPr>
            </w:pPr>
            <w:r>
              <w:rPr>
                <w:sz w:val="10"/>
              </w:rPr>
              <w:t>NOMBRE DEL INDICADOR</w:t>
            </w:r>
          </w:p>
        </w:tc>
        <w:tc>
          <w:tcPr>
            <w:tcW w:w="566" w:type="dxa"/>
          </w:tcPr>
          <w:p>
            <w:pPr>
              <w:pStyle w:val="TableParagraph"/>
              <w:spacing w:before="2"/>
              <w:ind w:left="107" w:right="112"/>
              <w:rPr>
                <w:sz w:val="10"/>
              </w:rPr>
            </w:pPr>
            <w:r>
              <w:rPr>
                <w:sz w:val="10"/>
              </w:rPr>
              <w:t>UNIDA D DE MEDID A</w:t>
            </w:r>
          </w:p>
        </w:tc>
        <w:tc>
          <w:tcPr>
            <w:tcW w:w="482" w:type="dxa"/>
          </w:tcPr>
          <w:p>
            <w:pPr>
              <w:pStyle w:val="TableParagraph"/>
              <w:spacing w:before="2"/>
              <w:ind w:left="108" w:right="110"/>
              <w:rPr>
                <w:sz w:val="10"/>
              </w:rPr>
            </w:pPr>
            <w:r>
              <w:rPr>
                <w:sz w:val="10"/>
              </w:rPr>
              <w:t>VAL OR VIGE NTE</w:t>
            </w:r>
          </w:p>
        </w:tc>
        <w:tc>
          <w:tcPr>
            <w:tcW w:w="576" w:type="dxa"/>
          </w:tcPr>
          <w:p>
            <w:pPr>
              <w:pStyle w:val="TableParagraph"/>
              <w:spacing w:before="2"/>
              <w:ind w:left="108" w:right="82"/>
              <w:rPr>
                <w:sz w:val="10"/>
              </w:rPr>
            </w:pPr>
            <w:r>
              <w:rPr>
                <w:sz w:val="10"/>
              </w:rPr>
              <w:t>ULTIMO AÑO DISPO NIBLE</w:t>
            </w:r>
          </w:p>
        </w:tc>
        <w:tc>
          <w:tcPr>
            <w:tcW w:w="704" w:type="dxa"/>
          </w:tcPr>
          <w:p>
            <w:pPr>
              <w:pStyle w:val="TableParagraph"/>
              <w:spacing w:before="2"/>
              <w:ind w:left="108" w:right="82"/>
              <w:rPr>
                <w:sz w:val="10"/>
              </w:rPr>
            </w:pPr>
            <w:r>
              <w:rPr>
                <w:sz w:val="10"/>
              </w:rPr>
              <w:t>PERIODICI DAD</w:t>
            </w:r>
          </w:p>
        </w:tc>
        <w:tc>
          <w:tcPr>
            <w:tcW w:w="545" w:type="dxa"/>
          </w:tcPr>
          <w:p>
            <w:pPr>
              <w:pStyle w:val="TableParagraph"/>
              <w:spacing w:before="2"/>
              <w:ind w:left="108" w:right="111"/>
              <w:rPr>
                <w:sz w:val="10"/>
              </w:rPr>
            </w:pPr>
            <w:r>
              <w:rPr>
                <w:sz w:val="10"/>
              </w:rPr>
              <w:t>TIPO DE INDIC ADOR</w:t>
            </w:r>
          </w:p>
        </w:tc>
        <w:tc>
          <w:tcPr>
            <w:tcW w:w="3169" w:type="dxa"/>
          </w:tcPr>
          <w:p>
            <w:pPr>
              <w:pStyle w:val="TableParagraph"/>
              <w:spacing w:before="2"/>
              <w:ind w:left="108"/>
              <w:rPr>
                <w:sz w:val="10"/>
              </w:rPr>
            </w:pPr>
            <w:r>
              <w:rPr>
                <w:sz w:val="10"/>
              </w:rPr>
              <w:t>FORMULA</w:t>
            </w:r>
          </w:p>
        </w:tc>
        <w:tc>
          <w:tcPr>
            <w:tcW w:w="2600" w:type="dxa"/>
          </w:tcPr>
          <w:p>
            <w:pPr>
              <w:pStyle w:val="TableParagraph"/>
              <w:spacing w:before="2"/>
              <w:ind w:left="110"/>
              <w:rPr>
                <w:sz w:val="10"/>
              </w:rPr>
            </w:pPr>
            <w:r>
              <w:rPr>
                <w:sz w:val="10"/>
              </w:rPr>
              <w:t>FUENTE</w:t>
            </w:r>
          </w:p>
        </w:tc>
      </w:tr>
      <w:tr>
        <w:trPr>
          <w:trHeight w:val="1072" w:hRule="atLeast"/>
        </w:trPr>
        <w:tc>
          <w:tcPr>
            <w:tcW w:w="847" w:type="dxa"/>
            <w:shd w:val="clear" w:color="auto" w:fill="F1F1F1"/>
          </w:tcPr>
          <w:p>
            <w:pPr>
              <w:pStyle w:val="TableParagraph"/>
              <w:spacing w:before="2"/>
              <w:ind w:left="107" w:right="99"/>
              <w:rPr>
                <w:sz w:val="11"/>
              </w:rPr>
            </w:pPr>
            <w:r>
              <w:rPr>
                <w:sz w:val="11"/>
              </w:rPr>
              <w:t>Plantas de tratamient o de aguas residuales en operación</w:t>
            </w:r>
          </w:p>
        </w:tc>
        <w:tc>
          <w:tcPr>
            <w:tcW w:w="566" w:type="dxa"/>
            <w:shd w:val="clear" w:color="auto" w:fill="F1F1F1"/>
          </w:tcPr>
          <w:p>
            <w:pPr>
              <w:pStyle w:val="TableParagraph"/>
              <w:spacing w:before="2"/>
              <w:ind w:left="107" w:right="87"/>
              <w:rPr>
                <w:sz w:val="11"/>
              </w:rPr>
            </w:pPr>
            <w:r>
              <w:rPr>
                <w:sz w:val="11"/>
              </w:rPr>
              <w:t>Planta s de trata mient o</w:t>
            </w:r>
          </w:p>
        </w:tc>
        <w:tc>
          <w:tcPr>
            <w:tcW w:w="482" w:type="dxa"/>
            <w:shd w:val="clear" w:color="auto" w:fill="F1F1F1"/>
          </w:tcPr>
          <w:p>
            <w:pPr>
              <w:pStyle w:val="TableParagraph"/>
              <w:spacing w:before="2"/>
              <w:ind w:right="94"/>
              <w:jc w:val="right"/>
              <w:rPr>
                <w:sz w:val="11"/>
              </w:rPr>
            </w:pPr>
            <w:r>
              <w:rPr>
                <w:w w:val="100"/>
                <w:sz w:val="11"/>
              </w:rPr>
              <w:t>1</w:t>
            </w:r>
          </w:p>
        </w:tc>
        <w:tc>
          <w:tcPr>
            <w:tcW w:w="576" w:type="dxa"/>
            <w:shd w:val="clear" w:color="auto" w:fill="F1F1F1"/>
          </w:tcPr>
          <w:p>
            <w:pPr>
              <w:pStyle w:val="TableParagraph"/>
              <w:spacing w:before="2"/>
              <w:ind w:right="94"/>
              <w:jc w:val="right"/>
              <w:rPr>
                <w:sz w:val="11"/>
              </w:rPr>
            </w:pPr>
            <w:r>
              <w:rPr>
                <w:sz w:val="11"/>
              </w:rPr>
              <w:t>2019</w:t>
            </w:r>
          </w:p>
        </w:tc>
        <w:tc>
          <w:tcPr>
            <w:tcW w:w="704" w:type="dxa"/>
            <w:shd w:val="clear" w:color="auto" w:fill="F1F1F1"/>
          </w:tcPr>
          <w:p>
            <w:pPr>
              <w:pStyle w:val="TableParagraph"/>
              <w:spacing w:before="2"/>
              <w:ind w:left="108"/>
              <w:rPr>
                <w:sz w:val="11"/>
              </w:rPr>
            </w:pPr>
            <w:r>
              <w:rPr>
                <w:sz w:val="11"/>
              </w:rPr>
              <w:t>Mensual</w:t>
            </w:r>
          </w:p>
        </w:tc>
        <w:tc>
          <w:tcPr>
            <w:tcW w:w="545" w:type="dxa"/>
            <w:shd w:val="clear" w:color="auto" w:fill="F1F1F1"/>
          </w:tcPr>
          <w:p>
            <w:pPr>
              <w:pStyle w:val="TableParagraph"/>
              <w:spacing w:before="2"/>
              <w:ind w:left="108" w:right="99"/>
              <w:rPr>
                <w:sz w:val="11"/>
              </w:rPr>
            </w:pPr>
            <w:r>
              <w:rPr>
                <w:sz w:val="11"/>
              </w:rPr>
              <w:t>Result ado</w:t>
            </w:r>
          </w:p>
        </w:tc>
        <w:tc>
          <w:tcPr>
            <w:tcW w:w="3169" w:type="dxa"/>
            <w:shd w:val="clear" w:color="auto" w:fill="F1F1F1"/>
          </w:tcPr>
          <w:p>
            <w:pPr>
              <w:pStyle w:val="TableParagraph"/>
              <w:spacing w:before="2"/>
              <w:ind w:left="108"/>
              <w:rPr>
                <w:sz w:val="11"/>
              </w:rPr>
            </w:pPr>
            <w:r>
              <w:rPr>
                <w:sz w:val="11"/>
              </w:rPr>
              <w:t>PTAROyN=∑_(j=1)^125Xj+∑_(j=1)^125Yj+∑_(j=1)^125Z j</w:t>
            </w:r>
          </w:p>
        </w:tc>
        <w:tc>
          <w:tcPr>
            <w:tcW w:w="2600" w:type="dxa"/>
            <w:shd w:val="clear" w:color="auto" w:fill="F1F1F1"/>
          </w:tcPr>
          <w:p>
            <w:pPr>
              <w:pStyle w:val="TableParagraph"/>
              <w:spacing w:before="2"/>
              <w:ind w:left="110" w:right="305"/>
              <w:rPr>
                <w:sz w:val="11"/>
              </w:rPr>
            </w:pPr>
            <w:r>
              <w:rPr>
                <w:sz w:val="11"/>
              </w:rPr>
              <w:t>Secretaría de Gestión Integral del Agua, Gobierno de Jalisco, 2019.</w:t>
            </w:r>
          </w:p>
        </w:tc>
      </w:tr>
      <w:tr>
        <w:trPr>
          <w:trHeight w:val="1074" w:hRule="atLeast"/>
        </w:trPr>
        <w:tc>
          <w:tcPr>
            <w:tcW w:w="847" w:type="dxa"/>
          </w:tcPr>
          <w:p>
            <w:pPr>
              <w:pStyle w:val="TableParagraph"/>
              <w:spacing w:before="4"/>
              <w:ind w:left="107" w:right="123"/>
              <w:rPr>
                <w:sz w:val="11"/>
              </w:rPr>
            </w:pPr>
            <w:r>
              <w:rPr>
                <w:sz w:val="11"/>
              </w:rPr>
              <w:t>Porcentaje de aguas residuales tratadas</w:t>
            </w:r>
          </w:p>
        </w:tc>
        <w:tc>
          <w:tcPr>
            <w:tcW w:w="566" w:type="dxa"/>
          </w:tcPr>
          <w:p>
            <w:pPr>
              <w:pStyle w:val="TableParagraph"/>
              <w:spacing w:before="4"/>
              <w:ind w:left="107" w:right="116"/>
              <w:rPr>
                <w:sz w:val="11"/>
              </w:rPr>
            </w:pPr>
            <w:r>
              <w:rPr>
                <w:sz w:val="11"/>
              </w:rPr>
              <w:t>Porce ntaje</w:t>
            </w:r>
          </w:p>
        </w:tc>
        <w:tc>
          <w:tcPr>
            <w:tcW w:w="482" w:type="dxa"/>
          </w:tcPr>
          <w:p>
            <w:pPr>
              <w:pStyle w:val="TableParagraph"/>
              <w:spacing w:line="135" w:lineRule="exact" w:before="4"/>
              <w:ind w:right="94"/>
              <w:jc w:val="right"/>
              <w:rPr>
                <w:sz w:val="11"/>
              </w:rPr>
            </w:pPr>
            <w:r>
              <w:rPr>
                <w:sz w:val="11"/>
              </w:rPr>
              <w:t>74.2</w:t>
            </w:r>
          </w:p>
          <w:p>
            <w:pPr>
              <w:pStyle w:val="TableParagraph"/>
              <w:spacing w:line="135" w:lineRule="exact"/>
              <w:ind w:right="94"/>
              <w:jc w:val="right"/>
              <w:rPr>
                <w:sz w:val="11"/>
              </w:rPr>
            </w:pPr>
            <w:r>
              <w:rPr>
                <w:w w:val="100"/>
                <w:sz w:val="11"/>
              </w:rPr>
              <w:t>7</w:t>
            </w:r>
          </w:p>
        </w:tc>
        <w:tc>
          <w:tcPr>
            <w:tcW w:w="576" w:type="dxa"/>
          </w:tcPr>
          <w:p>
            <w:pPr>
              <w:pStyle w:val="TableParagraph"/>
              <w:spacing w:before="4"/>
              <w:ind w:right="94"/>
              <w:jc w:val="right"/>
              <w:rPr>
                <w:sz w:val="11"/>
              </w:rPr>
            </w:pPr>
            <w:r>
              <w:rPr>
                <w:sz w:val="11"/>
              </w:rPr>
              <w:t>2019</w:t>
            </w:r>
          </w:p>
        </w:tc>
        <w:tc>
          <w:tcPr>
            <w:tcW w:w="704" w:type="dxa"/>
          </w:tcPr>
          <w:p>
            <w:pPr>
              <w:pStyle w:val="TableParagraph"/>
              <w:spacing w:before="4"/>
              <w:ind w:left="108"/>
              <w:rPr>
                <w:sz w:val="11"/>
              </w:rPr>
            </w:pPr>
            <w:r>
              <w:rPr>
                <w:sz w:val="11"/>
              </w:rPr>
              <w:t>Mensual</w:t>
            </w:r>
          </w:p>
        </w:tc>
        <w:tc>
          <w:tcPr>
            <w:tcW w:w="545" w:type="dxa"/>
          </w:tcPr>
          <w:p>
            <w:pPr>
              <w:pStyle w:val="TableParagraph"/>
              <w:spacing w:before="4"/>
              <w:ind w:left="108" w:right="90"/>
              <w:rPr>
                <w:sz w:val="11"/>
              </w:rPr>
            </w:pPr>
            <w:r>
              <w:rPr>
                <w:sz w:val="11"/>
              </w:rPr>
              <w:t>Impa cto Direct o</w:t>
            </w:r>
          </w:p>
        </w:tc>
        <w:tc>
          <w:tcPr>
            <w:tcW w:w="3169" w:type="dxa"/>
          </w:tcPr>
          <w:p>
            <w:pPr>
              <w:pStyle w:val="TableParagraph"/>
              <w:spacing w:before="1"/>
              <w:rPr>
                <w:rFonts w:ascii="Corbel"/>
                <w:b/>
                <w:sz w:val="12"/>
              </w:rPr>
            </w:pPr>
          </w:p>
          <w:p>
            <w:pPr>
              <w:pStyle w:val="TableParagraph"/>
              <w:spacing w:before="1"/>
              <w:ind w:left="108"/>
              <w:rPr>
                <w:sz w:val="11"/>
              </w:rPr>
            </w:pPr>
            <w:r>
              <w:rPr>
                <w:sz w:val="11"/>
              </w:rPr>
              <w:t>%ART=∑_j1^125ART/AR</w:t>
            </w:r>
          </w:p>
        </w:tc>
        <w:tc>
          <w:tcPr>
            <w:tcW w:w="2600" w:type="dxa"/>
          </w:tcPr>
          <w:p>
            <w:pPr>
              <w:pStyle w:val="TableParagraph"/>
              <w:spacing w:before="1"/>
              <w:rPr>
                <w:rFonts w:ascii="Corbel"/>
                <w:b/>
                <w:sz w:val="12"/>
              </w:rPr>
            </w:pPr>
          </w:p>
          <w:p>
            <w:pPr>
              <w:pStyle w:val="TableParagraph"/>
              <w:spacing w:line="494" w:lineRule="auto" w:before="1"/>
              <w:ind w:left="110" w:right="305"/>
              <w:rPr>
                <w:sz w:val="11"/>
              </w:rPr>
            </w:pPr>
            <w:r>
              <w:rPr>
                <w:sz w:val="11"/>
              </w:rPr>
              <w:t>Secretaría de Gestión Integral del Agua, Gobierno de Jalisco, 2019.</w:t>
            </w:r>
          </w:p>
        </w:tc>
      </w:tr>
      <w:tr>
        <w:trPr>
          <w:trHeight w:val="1073" w:hRule="atLeast"/>
        </w:trPr>
        <w:tc>
          <w:tcPr>
            <w:tcW w:w="847" w:type="dxa"/>
            <w:shd w:val="clear" w:color="auto" w:fill="F1F1F1"/>
          </w:tcPr>
          <w:p>
            <w:pPr>
              <w:pStyle w:val="TableParagraph"/>
              <w:spacing w:before="2"/>
              <w:ind w:left="107" w:right="115"/>
              <w:rPr>
                <w:sz w:val="11"/>
              </w:rPr>
            </w:pPr>
            <w:r>
              <w:rPr>
                <w:sz w:val="11"/>
              </w:rPr>
              <w:t>Porcentaje de cobertura del servicio de agua potable</w:t>
            </w:r>
          </w:p>
        </w:tc>
        <w:tc>
          <w:tcPr>
            <w:tcW w:w="566" w:type="dxa"/>
            <w:shd w:val="clear" w:color="auto" w:fill="F1F1F1"/>
          </w:tcPr>
          <w:p>
            <w:pPr>
              <w:pStyle w:val="TableParagraph"/>
              <w:spacing w:before="2"/>
              <w:ind w:left="107" w:right="116"/>
              <w:rPr>
                <w:sz w:val="11"/>
              </w:rPr>
            </w:pPr>
            <w:r>
              <w:rPr>
                <w:sz w:val="11"/>
              </w:rPr>
              <w:t>Porce ntaje</w:t>
            </w:r>
          </w:p>
        </w:tc>
        <w:tc>
          <w:tcPr>
            <w:tcW w:w="482" w:type="dxa"/>
            <w:shd w:val="clear" w:color="auto" w:fill="F1F1F1"/>
          </w:tcPr>
          <w:p>
            <w:pPr>
              <w:pStyle w:val="TableParagraph"/>
              <w:spacing w:line="135" w:lineRule="exact" w:before="2"/>
              <w:ind w:right="94"/>
              <w:jc w:val="right"/>
              <w:rPr>
                <w:sz w:val="11"/>
              </w:rPr>
            </w:pPr>
            <w:r>
              <w:rPr>
                <w:sz w:val="11"/>
              </w:rPr>
              <w:t>98.4</w:t>
            </w:r>
          </w:p>
          <w:p>
            <w:pPr>
              <w:pStyle w:val="TableParagraph"/>
              <w:spacing w:line="135" w:lineRule="exact"/>
              <w:ind w:right="94"/>
              <w:jc w:val="right"/>
              <w:rPr>
                <w:sz w:val="11"/>
              </w:rPr>
            </w:pPr>
            <w:r>
              <w:rPr>
                <w:w w:val="100"/>
                <w:sz w:val="11"/>
              </w:rPr>
              <w:t>1</w:t>
            </w:r>
          </w:p>
        </w:tc>
        <w:tc>
          <w:tcPr>
            <w:tcW w:w="576" w:type="dxa"/>
            <w:shd w:val="clear" w:color="auto" w:fill="F1F1F1"/>
          </w:tcPr>
          <w:p>
            <w:pPr>
              <w:pStyle w:val="TableParagraph"/>
              <w:spacing w:before="2"/>
              <w:ind w:right="94"/>
              <w:jc w:val="right"/>
              <w:rPr>
                <w:sz w:val="11"/>
              </w:rPr>
            </w:pPr>
            <w:r>
              <w:rPr>
                <w:sz w:val="11"/>
              </w:rPr>
              <w:t>2018</w:t>
            </w:r>
          </w:p>
        </w:tc>
        <w:tc>
          <w:tcPr>
            <w:tcW w:w="704" w:type="dxa"/>
            <w:shd w:val="clear" w:color="auto" w:fill="F1F1F1"/>
          </w:tcPr>
          <w:p>
            <w:pPr>
              <w:pStyle w:val="TableParagraph"/>
              <w:spacing w:before="2"/>
              <w:ind w:left="108"/>
              <w:rPr>
                <w:sz w:val="11"/>
              </w:rPr>
            </w:pPr>
            <w:r>
              <w:rPr>
                <w:sz w:val="11"/>
              </w:rPr>
              <w:t>Anual</w:t>
            </w:r>
          </w:p>
        </w:tc>
        <w:tc>
          <w:tcPr>
            <w:tcW w:w="545" w:type="dxa"/>
            <w:shd w:val="clear" w:color="auto" w:fill="F1F1F1"/>
          </w:tcPr>
          <w:p>
            <w:pPr>
              <w:pStyle w:val="TableParagraph"/>
              <w:spacing w:before="2"/>
              <w:ind w:left="108" w:right="90"/>
              <w:rPr>
                <w:sz w:val="11"/>
              </w:rPr>
            </w:pPr>
            <w:r>
              <w:rPr>
                <w:sz w:val="11"/>
              </w:rPr>
              <w:t>Impa cto Direct o</w:t>
            </w:r>
          </w:p>
        </w:tc>
        <w:tc>
          <w:tcPr>
            <w:tcW w:w="3169" w:type="dxa"/>
            <w:shd w:val="clear" w:color="auto" w:fill="F1F1F1"/>
          </w:tcPr>
          <w:p>
            <w:pPr>
              <w:pStyle w:val="TableParagraph"/>
              <w:spacing w:before="2"/>
              <w:ind w:left="108"/>
              <w:rPr>
                <w:sz w:val="11"/>
              </w:rPr>
            </w:pPr>
            <w:r>
              <w:rPr>
                <w:sz w:val="11"/>
              </w:rPr>
              <w:t>CSA = [(PSDCR/PT)*100]</w:t>
            </w:r>
          </w:p>
        </w:tc>
        <w:tc>
          <w:tcPr>
            <w:tcW w:w="2600" w:type="dxa"/>
            <w:shd w:val="clear" w:color="auto" w:fill="F1F1F1"/>
          </w:tcPr>
          <w:p>
            <w:pPr>
              <w:pStyle w:val="TableParagraph"/>
              <w:spacing w:before="11"/>
              <w:rPr>
                <w:rFonts w:ascii="Corbel"/>
                <w:b/>
                <w:sz w:val="11"/>
              </w:rPr>
            </w:pPr>
          </w:p>
          <w:p>
            <w:pPr>
              <w:pStyle w:val="TableParagraph"/>
              <w:spacing w:line="494" w:lineRule="auto"/>
              <w:ind w:left="110" w:right="305"/>
              <w:rPr>
                <w:sz w:val="11"/>
              </w:rPr>
            </w:pPr>
            <w:r>
              <w:rPr>
                <w:sz w:val="11"/>
              </w:rPr>
              <w:t>Secretaría de Gestión Integral del Agua, Gobierno de Jalisco, 2018.</w:t>
            </w:r>
          </w:p>
        </w:tc>
      </w:tr>
      <w:tr>
        <w:trPr>
          <w:trHeight w:val="1072" w:hRule="atLeast"/>
        </w:trPr>
        <w:tc>
          <w:tcPr>
            <w:tcW w:w="847" w:type="dxa"/>
          </w:tcPr>
          <w:p>
            <w:pPr>
              <w:pStyle w:val="TableParagraph"/>
              <w:spacing w:before="2"/>
              <w:ind w:left="107" w:right="187"/>
              <w:rPr>
                <w:sz w:val="11"/>
              </w:rPr>
            </w:pPr>
            <w:r>
              <w:rPr>
                <w:sz w:val="11"/>
              </w:rPr>
              <w:t>Superficie afectada por incendios forestales</w:t>
            </w:r>
          </w:p>
        </w:tc>
        <w:tc>
          <w:tcPr>
            <w:tcW w:w="566" w:type="dxa"/>
          </w:tcPr>
          <w:p>
            <w:pPr>
              <w:pStyle w:val="TableParagraph"/>
              <w:spacing w:before="2"/>
              <w:ind w:left="107" w:right="98"/>
              <w:rPr>
                <w:sz w:val="11"/>
              </w:rPr>
            </w:pPr>
            <w:r>
              <w:rPr>
                <w:sz w:val="11"/>
              </w:rPr>
              <w:t>Hectá reas</w:t>
            </w:r>
          </w:p>
        </w:tc>
        <w:tc>
          <w:tcPr>
            <w:tcW w:w="482" w:type="dxa"/>
          </w:tcPr>
          <w:p>
            <w:pPr>
              <w:pStyle w:val="TableParagraph"/>
              <w:spacing w:line="135" w:lineRule="exact" w:before="2"/>
              <w:ind w:right="94"/>
              <w:jc w:val="right"/>
              <w:rPr>
                <w:sz w:val="11"/>
              </w:rPr>
            </w:pPr>
            <w:r>
              <w:rPr>
                <w:sz w:val="11"/>
              </w:rPr>
              <w:t>28.1</w:t>
            </w:r>
          </w:p>
          <w:p>
            <w:pPr>
              <w:pStyle w:val="TableParagraph"/>
              <w:spacing w:line="135" w:lineRule="exact"/>
              <w:ind w:right="94"/>
              <w:jc w:val="right"/>
              <w:rPr>
                <w:sz w:val="11"/>
              </w:rPr>
            </w:pPr>
            <w:r>
              <w:rPr>
                <w:w w:val="100"/>
                <w:sz w:val="11"/>
              </w:rPr>
              <w:t>4</w:t>
            </w:r>
          </w:p>
        </w:tc>
        <w:tc>
          <w:tcPr>
            <w:tcW w:w="576" w:type="dxa"/>
          </w:tcPr>
          <w:p>
            <w:pPr>
              <w:pStyle w:val="TableParagraph"/>
              <w:spacing w:before="2"/>
              <w:ind w:right="94"/>
              <w:jc w:val="right"/>
              <w:rPr>
                <w:sz w:val="11"/>
              </w:rPr>
            </w:pPr>
            <w:r>
              <w:rPr>
                <w:sz w:val="11"/>
              </w:rPr>
              <w:t>2018</w:t>
            </w:r>
          </w:p>
        </w:tc>
        <w:tc>
          <w:tcPr>
            <w:tcW w:w="704" w:type="dxa"/>
          </w:tcPr>
          <w:p>
            <w:pPr>
              <w:pStyle w:val="TableParagraph"/>
              <w:spacing w:before="2"/>
              <w:ind w:left="108"/>
              <w:rPr>
                <w:sz w:val="11"/>
              </w:rPr>
            </w:pPr>
            <w:r>
              <w:rPr>
                <w:sz w:val="11"/>
              </w:rPr>
              <w:t>Mensual</w:t>
            </w:r>
          </w:p>
        </w:tc>
        <w:tc>
          <w:tcPr>
            <w:tcW w:w="545" w:type="dxa"/>
          </w:tcPr>
          <w:p>
            <w:pPr>
              <w:pStyle w:val="TableParagraph"/>
              <w:spacing w:before="2"/>
              <w:ind w:left="108" w:right="90"/>
              <w:rPr>
                <w:sz w:val="11"/>
              </w:rPr>
            </w:pPr>
            <w:r>
              <w:rPr>
                <w:sz w:val="11"/>
              </w:rPr>
              <w:t>Impa cto Direct o</w:t>
            </w:r>
          </w:p>
        </w:tc>
        <w:tc>
          <w:tcPr>
            <w:tcW w:w="3169" w:type="dxa"/>
          </w:tcPr>
          <w:p>
            <w:pPr>
              <w:pStyle w:val="TableParagraph"/>
              <w:spacing w:before="2"/>
              <w:ind w:left="108"/>
              <w:rPr>
                <w:sz w:val="11"/>
              </w:rPr>
            </w:pPr>
            <w:r>
              <w:rPr>
                <w:sz w:val="11"/>
              </w:rPr>
              <w:t>SAI= ∑_(i=1)^125 SAIi</w:t>
            </w:r>
          </w:p>
        </w:tc>
        <w:tc>
          <w:tcPr>
            <w:tcW w:w="2600" w:type="dxa"/>
          </w:tcPr>
          <w:p>
            <w:pPr>
              <w:pStyle w:val="TableParagraph"/>
              <w:spacing w:before="11"/>
              <w:rPr>
                <w:rFonts w:ascii="Corbel"/>
                <w:b/>
                <w:sz w:val="11"/>
              </w:rPr>
            </w:pPr>
          </w:p>
          <w:p>
            <w:pPr>
              <w:pStyle w:val="TableParagraph"/>
              <w:spacing w:line="499" w:lineRule="auto"/>
              <w:ind w:left="110" w:right="92"/>
              <w:rPr>
                <w:sz w:val="11"/>
              </w:rPr>
            </w:pPr>
            <w:r>
              <w:rPr>
                <w:sz w:val="11"/>
              </w:rPr>
              <w:t>Secretaría de Medio Ambiente y Desarrollo Territorial y Comisión Nacional Forestal. 2019.</w:t>
            </w:r>
          </w:p>
        </w:tc>
      </w:tr>
    </w:tbl>
    <w:p>
      <w:pPr>
        <w:spacing w:after="0" w:line="499" w:lineRule="auto"/>
        <w:rPr>
          <w:sz w:val="11"/>
        </w:rPr>
        <w:sectPr>
          <w:pgSz w:w="12240" w:h="15840"/>
          <w:pgMar w:header="178" w:footer="1142" w:top="1120" w:bottom="1340" w:left="460" w:right="220"/>
        </w:sectPr>
      </w:pPr>
    </w:p>
    <w:p>
      <w:pPr>
        <w:pStyle w:val="BodyText"/>
        <w:rPr>
          <w:rFonts w:ascii="Corbel"/>
          <w:b/>
          <w:sz w:val="20"/>
        </w:rPr>
      </w:pPr>
    </w:p>
    <w:p>
      <w:pPr>
        <w:pStyle w:val="BodyText"/>
        <w:spacing w:before="3"/>
        <w:rPr>
          <w:rFonts w:ascii="Corbel"/>
          <w:b/>
          <w:sz w:val="21"/>
        </w:rPr>
      </w:pPr>
    </w:p>
    <w:tbl>
      <w:tblPr>
        <w:tblW w:w="0" w:type="auto"/>
        <w:jc w:val="left"/>
        <w:tblInd w:w="79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847"/>
        <w:gridCol w:w="566"/>
        <w:gridCol w:w="482"/>
        <w:gridCol w:w="576"/>
        <w:gridCol w:w="704"/>
        <w:gridCol w:w="545"/>
        <w:gridCol w:w="3169"/>
        <w:gridCol w:w="2600"/>
      </w:tblGrid>
      <w:tr>
        <w:trPr>
          <w:trHeight w:val="1072" w:hRule="atLeast"/>
        </w:trPr>
        <w:tc>
          <w:tcPr>
            <w:tcW w:w="847" w:type="dxa"/>
            <w:shd w:val="clear" w:color="auto" w:fill="F1F1F1"/>
          </w:tcPr>
          <w:p>
            <w:pPr>
              <w:pStyle w:val="TableParagraph"/>
              <w:spacing w:before="2"/>
              <w:ind w:left="107" w:right="129"/>
              <w:rPr>
                <w:sz w:val="11"/>
              </w:rPr>
            </w:pPr>
            <w:r>
              <w:rPr>
                <w:sz w:val="11"/>
              </w:rPr>
              <w:t>Vehículos verificados con aprobació n de control de emisione</w:t>
            </w:r>
          </w:p>
        </w:tc>
        <w:tc>
          <w:tcPr>
            <w:tcW w:w="566" w:type="dxa"/>
            <w:shd w:val="clear" w:color="auto" w:fill="F1F1F1"/>
          </w:tcPr>
          <w:p>
            <w:pPr>
              <w:pStyle w:val="TableParagraph"/>
              <w:spacing w:before="2"/>
              <w:ind w:left="107" w:right="113"/>
              <w:jc w:val="both"/>
              <w:rPr>
                <w:sz w:val="11"/>
              </w:rPr>
            </w:pPr>
            <w:r>
              <w:rPr>
                <w:sz w:val="11"/>
              </w:rPr>
              <w:t>Verific acion es</w:t>
            </w:r>
          </w:p>
        </w:tc>
        <w:tc>
          <w:tcPr>
            <w:tcW w:w="482" w:type="dxa"/>
            <w:shd w:val="clear" w:color="auto" w:fill="F1F1F1"/>
          </w:tcPr>
          <w:p>
            <w:pPr>
              <w:pStyle w:val="TableParagraph"/>
              <w:spacing w:before="2"/>
              <w:ind w:left="192"/>
              <w:rPr>
                <w:sz w:val="11"/>
              </w:rPr>
            </w:pPr>
            <w:r>
              <w:rPr>
                <w:sz w:val="11"/>
              </w:rPr>
              <w:t>572</w:t>
            </w:r>
          </w:p>
        </w:tc>
        <w:tc>
          <w:tcPr>
            <w:tcW w:w="576" w:type="dxa"/>
            <w:shd w:val="clear" w:color="auto" w:fill="F1F1F1"/>
          </w:tcPr>
          <w:p>
            <w:pPr>
              <w:pStyle w:val="TableParagraph"/>
              <w:spacing w:before="2"/>
              <w:ind w:left="223"/>
              <w:rPr>
                <w:sz w:val="11"/>
              </w:rPr>
            </w:pPr>
            <w:r>
              <w:rPr>
                <w:sz w:val="11"/>
              </w:rPr>
              <w:t>2018</w:t>
            </w:r>
          </w:p>
        </w:tc>
        <w:tc>
          <w:tcPr>
            <w:tcW w:w="704" w:type="dxa"/>
            <w:shd w:val="clear" w:color="auto" w:fill="F1F1F1"/>
          </w:tcPr>
          <w:p>
            <w:pPr>
              <w:pStyle w:val="TableParagraph"/>
              <w:spacing w:before="2"/>
              <w:ind w:left="108"/>
              <w:rPr>
                <w:sz w:val="11"/>
              </w:rPr>
            </w:pPr>
            <w:r>
              <w:rPr>
                <w:sz w:val="11"/>
              </w:rPr>
              <w:t>Mensual</w:t>
            </w:r>
          </w:p>
        </w:tc>
        <w:tc>
          <w:tcPr>
            <w:tcW w:w="545" w:type="dxa"/>
            <w:shd w:val="clear" w:color="auto" w:fill="F1F1F1"/>
          </w:tcPr>
          <w:p>
            <w:pPr>
              <w:pStyle w:val="TableParagraph"/>
              <w:spacing w:before="2"/>
              <w:ind w:left="108" w:right="99"/>
              <w:rPr>
                <w:sz w:val="11"/>
              </w:rPr>
            </w:pPr>
            <w:r>
              <w:rPr>
                <w:sz w:val="11"/>
              </w:rPr>
              <w:t>Result ado</w:t>
            </w:r>
          </w:p>
        </w:tc>
        <w:tc>
          <w:tcPr>
            <w:tcW w:w="3169" w:type="dxa"/>
            <w:shd w:val="clear" w:color="auto" w:fill="F1F1F1"/>
          </w:tcPr>
          <w:p>
            <w:pPr>
              <w:pStyle w:val="TableParagraph"/>
              <w:spacing w:before="11"/>
              <w:rPr>
                <w:rFonts w:ascii="Corbel"/>
                <w:b/>
                <w:sz w:val="11"/>
              </w:rPr>
            </w:pPr>
          </w:p>
          <w:p>
            <w:pPr>
              <w:pStyle w:val="TableParagraph"/>
              <w:ind w:left="108"/>
              <w:rPr>
                <w:sz w:val="11"/>
              </w:rPr>
            </w:pPr>
            <w:r>
              <w:rPr>
                <w:sz w:val="11"/>
              </w:rPr>
              <w:t>VACE=∑_(j=1)^125VVj</w:t>
            </w:r>
          </w:p>
        </w:tc>
        <w:tc>
          <w:tcPr>
            <w:tcW w:w="2600" w:type="dxa"/>
            <w:shd w:val="clear" w:color="auto" w:fill="F1F1F1"/>
          </w:tcPr>
          <w:p>
            <w:pPr>
              <w:pStyle w:val="TableParagraph"/>
              <w:spacing w:before="2"/>
              <w:ind w:left="110" w:right="160"/>
              <w:rPr>
                <w:sz w:val="11"/>
              </w:rPr>
            </w:pPr>
            <w:r>
              <w:rPr>
                <w:sz w:val="11"/>
              </w:rPr>
              <w:t>Secretaría de Medio Ambiente y Desarrollo Territorial, Gobierno de Jalisco. 2018.</w:t>
            </w:r>
          </w:p>
        </w:tc>
      </w:tr>
    </w:tbl>
    <w:p>
      <w:pPr>
        <w:pStyle w:val="BodyText"/>
        <w:rPr>
          <w:rFonts w:ascii="Corbel"/>
          <w:b/>
          <w:sz w:val="20"/>
        </w:rPr>
      </w:pPr>
    </w:p>
    <w:p>
      <w:pPr>
        <w:pStyle w:val="BodyText"/>
        <w:rPr>
          <w:rFonts w:ascii="Corbel"/>
          <w:b/>
          <w:sz w:val="20"/>
        </w:rPr>
      </w:pPr>
    </w:p>
    <w:p>
      <w:pPr>
        <w:pStyle w:val="BodyText"/>
        <w:spacing w:before="5"/>
        <w:rPr>
          <w:rFonts w:ascii="Corbel"/>
          <w:b/>
          <w:sz w:val="27"/>
        </w:rPr>
      </w:pPr>
    </w:p>
    <w:p>
      <w:pPr>
        <w:pStyle w:val="Heading4"/>
        <w:tabs>
          <w:tab w:pos="10428" w:val="left" w:leader="none"/>
        </w:tabs>
        <w:spacing w:before="55"/>
        <w:ind w:left="872"/>
        <w:rPr>
          <w:rFonts w:ascii="Corbel"/>
        </w:rPr>
      </w:pPr>
      <w:r>
        <w:rPr>
          <w:rFonts w:ascii="Corbel"/>
          <w:spacing w:val="-17"/>
          <w:w w:val="100"/>
          <w:shd w:fill="C2D59B" w:color="auto" w:val="clear"/>
        </w:rPr>
        <w:t> </w:t>
      </w:r>
      <w:r>
        <w:rPr>
          <w:rFonts w:ascii="Corbel"/>
          <w:shd w:fill="C2D59B" w:color="auto" w:val="clear"/>
        </w:rPr>
        <w:t>DESARROLLO</w:t>
      </w:r>
      <w:r>
        <w:rPr>
          <w:rFonts w:ascii="Corbel"/>
          <w:spacing w:val="-11"/>
          <w:shd w:fill="C2D59B" w:color="auto" w:val="clear"/>
        </w:rPr>
        <w:t> </w:t>
      </w:r>
      <w:r>
        <w:rPr>
          <w:rFonts w:ascii="Corbel"/>
          <w:shd w:fill="C2D59B" w:color="auto" w:val="clear"/>
        </w:rPr>
        <w:t>SOCIAL:</w:t>
        <w:tab/>
      </w:r>
    </w:p>
    <w:p>
      <w:pPr>
        <w:pStyle w:val="BodyText"/>
        <w:rPr>
          <w:rFonts w:ascii="Corbel"/>
          <w:b/>
          <w:sz w:val="20"/>
        </w:rPr>
      </w:pPr>
    </w:p>
    <w:p>
      <w:pPr>
        <w:pStyle w:val="BodyText"/>
        <w:spacing w:before="2" w:after="1"/>
        <w:rPr>
          <w:rFonts w:ascii="Corbel"/>
          <w:b/>
          <w:sz w:val="16"/>
        </w:rPr>
      </w:pPr>
    </w:p>
    <w:tbl>
      <w:tblPr>
        <w:tblW w:w="0" w:type="auto"/>
        <w:jc w:val="left"/>
        <w:tblInd w:w="8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438"/>
        <w:gridCol w:w="579"/>
        <w:gridCol w:w="447"/>
        <w:gridCol w:w="582"/>
        <w:gridCol w:w="845"/>
        <w:gridCol w:w="725"/>
        <w:gridCol w:w="2453"/>
        <w:gridCol w:w="2592"/>
      </w:tblGrid>
      <w:tr>
        <w:trPr>
          <w:trHeight w:val="991" w:hRule="atLeast"/>
        </w:trPr>
        <w:tc>
          <w:tcPr>
            <w:tcW w:w="1438" w:type="dxa"/>
          </w:tcPr>
          <w:p>
            <w:pPr>
              <w:pStyle w:val="TableParagraph"/>
              <w:spacing w:before="81"/>
              <w:ind w:left="79" w:right="644"/>
              <w:rPr>
                <w:sz w:val="11"/>
              </w:rPr>
            </w:pPr>
            <w:r>
              <w:rPr>
                <w:sz w:val="11"/>
              </w:rPr>
              <w:t>NOMBRE DEL INDICADOR</w:t>
            </w:r>
          </w:p>
        </w:tc>
        <w:tc>
          <w:tcPr>
            <w:tcW w:w="579" w:type="dxa"/>
          </w:tcPr>
          <w:p>
            <w:pPr>
              <w:pStyle w:val="TableParagraph"/>
              <w:spacing w:before="81"/>
              <w:ind w:left="78" w:right="127"/>
              <w:rPr>
                <w:sz w:val="11"/>
              </w:rPr>
            </w:pPr>
            <w:r>
              <w:rPr>
                <w:sz w:val="11"/>
              </w:rPr>
              <w:t>UNIDA D DE MEDID A</w:t>
            </w:r>
          </w:p>
        </w:tc>
        <w:tc>
          <w:tcPr>
            <w:tcW w:w="447" w:type="dxa"/>
          </w:tcPr>
          <w:p>
            <w:pPr>
              <w:pStyle w:val="TableParagraph"/>
              <w:spacing w:before="81"/>
              <w:ind w:left="80" w:right="85"/>
              <w:rPr>
                <w:sz w:val="11"/>
              </w:rPr>
            </w:pPr>
            <w:r>
              <w:rPr>
                <w:sz w:val="11"/>
              </w:rPr>
              <w:t>VAL OR VIGE NTE</w:t>
            </w:r>
          </w:p>
        </w:tc>
        <w:tc>
          <w:tcPr>
            <w:tcW w:w="582" w:type="dxa"/>
          </w:tcPr>
          <w:p>
            <w:pPr>
              <w:pStyle w:val="TableParagraph"/>
              <w:spacing w:before="81"/>
              <w:ind w:left="79" w:right="74"/>
              <w:rPr>
                <w:sz w:val="11"/>
              </w:rPr>
            </w:pPr>
            <w:r>
              <w:rPr>
                <w:sz w:val="11"/>
              </w:rPr>
              <w:t>ULTIMO AÑO DISPON IBLE</w:t>
            </w:r>
          </w:p>
        </w:tc>
        <w:tc>
          <w:tcPr>
            <w:tcW w:w="845" w:type="dxa"/>
          </w:tcPr>
          <w:p>
            <w:pPr>
              <w:pStyle w:val="TableParagraph"/>
              <w:spacing w:before="81"/>
              <w:ind w:left="79" w:right="126"/>
              <w:rPr>
                <w:sz w:val="11"/>
              </w:rPr>
            </w:pPr>
            <w:r>
              <w:rPr>
                <w:sz w:val="11"/>
              </w:rPr>
              <w:t>PERIODICID AD</w:t>
            </w:r>
          </w:p>
        </w:tc>
        <w:tc>
          <w:tcPr>
            <w:tcW w:w="725" w:type="dxa"/>
          </w:tcPr>
          <w:p>
            <w:pPr>
              <w:pStyle w:val="TableParagraph"/>
              <w:spacing w:before="81"/>
              <w:ind w:left="79" w:right="59"/>
              <w:rPr>
                <w:sz w:val="11"/>
              </w:rPr>
            </w:pPr>
            <w:r>
              <w:rPr>
                <w:sz w:val="11"/>
              </w:rPr>
              <w:t>TIPO DE INDICADO R</w:t>
            </w:r>
          </w:p>
        </w:tc>
        <w:tc>
          <w:tcPr>
            <w:tcW w:w="2453" w:type="dxa"/>
          </w:tcPr>
          <w:p>
            <w:pPr>
              <w:pStyle w:val="TableParagraph"/>
              <w:spacing w:before="81"/>
              <w:ind w:left="76"/>
              <w:rPr>
                <w:sz w:val="11"/>
              </w:rPr>
            </w:pPr>
            <w:r>
              <w:rPr>
                <w:sz w:val="11"/>
              </w:rPr>
              <w:t>FORMULA</w:t>
            </w:r>
          </w:p>
        </w:tc>
        <w:tc>
          <w:tcPr>
            <w:tcW w:w="2592" w:type="dxa"/>
          </w:tcPr>
          <w:p>
            <w:pPr>
              <w:pStyle w:val="TableParagraph"/>
              <w:spacing w:before="81"/>
              <w:ind w:left="76"/>
              <w:rPr>
                <w:sz w:val="11"/>
              </w:rPr>
            </w:pPr>
            <w:r>
              <w:rPr>
                <w:sz w:val="11"/>
              </w:rPr>
              <w:t>FUENTE</w:t>
            </w:r>
          </w:p>
        </w:tc>
      </w:tr>
      <w:tr>
        <w:trPr>
          <w:trHeight w:val="1211" w:hRule="atLeast"/>
        </w:trPr>
        <w:tc>
          <w:tcPr>
            <w:tcW w:w="1438" w:type="dxa"/>
            <w:shd w:val="clear" w:color="auto" w:fill="EDEDED"/>
          </w:tcPr>
          <w:p>
            <w:pPr>
              <w:pStyle w:val="TableParagraph"/>
              <w:spacing w:before="81"/>
              <w:ind w:left="79" w:right="58"/>
              <w:rPr>
                <w:sz w:val="11"/>
              </w:rPr>
            </w:pPr>
            <w:r>
              <w:rPr>
                <w:sz w:val="11"/>
              </w:rPr>
              <w:t>Adolescentes que participan en acciones de prevención de adicciones en el Estado</w:t>
            </w:r>
          </w:p>
        </w:tc>
        <w:tc>
          <w:tcPr>
            <w:tcW w:w="579" w:type="dxa"/>
            <w:shd w:val="clear" w:color="auto" w:fill="EDEDED"/>
          </w:tcPr>
          <w:p>
            <w:pPr>
              <w:pStyle w:val="TableParagraph"/>
              <w:spacing w:before="81"/>
              <w:ind w:left="78" w:right="111"/>
              <w:rPr>
                <w:sz w:val="11"/>
              </w:rPr>
            </w:pPr>
            <w:r>
              <w:rPr>
                <w:sz w:val="11"/>
              </w:rPr>
              <w:t>Adoles centes</w:t>
            </w:r>
          </w:p>
        </w:tc>
        <w:tc>
          <w:tcPr>
            <w:tcW w:w="447" w:type="dxa"/>
            <w:shd w:val="clear" w:color="auto" w:fill="EDEDED"/>
          </w:tcPr>
          <w:p>
            <w:pPr>
              <w:pStyle w:val="TableParagraph"/>
              <w:spacing w:before="81"/>
              <w:ind w:right="70"/>
              <w:jc w:val="right"/>
              <w:rPr>
                <w:sz w:val="11"/>
              </w:rPr>
            </w:pPr>
            <w:r>
              <w:rPr>
                <w:sz w:val="11"/>
              </w:rPr>
              <w:t>1458</w:t>
            </w:r>
          </w:p>
        </w:tc>
        <w:tc>
          <w:tcPr>
            <w:tcW w:w="582" w:type="dxa"/>
            <w:shd w:val="clear" w:color="auto" w:fill="EDEDED"/>
          </w:tcPr>
          <w:p>
            <w:pPr>
              <w:pStyle w:val="TableParagraph"/>
              <w:spacing w:before="81"/>
              <w:ind w:right="73"/>
              <w:jc w:val="right"/>
              <w:rPr>
                <w:sz w:val="11"/>
              </w:rPr>
            </w:pPr>
            <w:r>
              <w:rPr>
                <w:sz w:val="11"/>
              </w:rPr>
              <w:t>2018</w:t>
            </w:r>
          </w:p>
        </w:tc>
        <w:tc>
          <w:tcPr>
            <w:tcW w:w="845" w:type="dxa"/>
            <w:shd w:val="clear" w:color="auto" w:fill="EDEDED"/>
          </w:tcPr>
          <w:p>
            <w:pPr>
              <w:pStyle w:val="TableParagraph"/>
              <w:spacing w:before="81"/>
              <w:ind w:left="79"/>
              <w:rPr>
                <w:sz w:val="11"/>
              </w:rPr>
            </w:pPr>
            <w:r>
              <w:rPr>
                <w:sz w:val="11"/>
              </w:rPr>
              <w:t>Mensual</w:t>
            </w:r>
          </w:p>
        </w:tc>
        <w:tc>
          <w:tcPr>
            <w:tcW w:w="725" w:type="dxa"/>
            <w:shd w:val="clear" w:color="auto" w:fill="EDEDED"/>
          </w:tcPr>
          <w:p>
            <w:pPr>
              <w:pStyle w:val="TableParagraph"/>
              <w:spacing w:before="81"/>
              <w:ind w:left="79"/>
              <w:rPr>
                <w:sz w:val="11"/>
              </w:rPr>
            </w:pPr>
            <w:r>
              <w:rPr>
                <w:sz w:val="11"/>
              </w:rPr>
              <w:t>Producto</w:t>
            </w:r>
          </w:p>
        </w:tc>
        <w:tc>
          <w:tcPr>
            <w:tcW w:w="2453" w:type="dxa"/>
            <w:shd w:val="clear" w:color="auto" w:fill="EDEDED"/>
          </w:tcPr>
          <w:p>
            <w:pPr>
              <w:pStyle w:val="TableParagraph"/>
              <w:spacing w:before="81"/>
              <w:ind w:left="76"/>
              <w:rPr>
                <w:sz w:val="11"/>
              </w:rPr>
            </w:pPr>
            <w:r>
              <w:rPr>
                <w:sz w:val="11"/>
              </w:rPr>
              <w:t>ACPAJ = ∑_(J =1)^125ACPAJj</w:t>
            </w:r>
          </w:p>
        </w:tc>
        <w:tc>
          <w:tcPr>
            <w:tcW w:w="2592" w:type="dxa"/>
            <w:shd w:val="clear" w:color="auto" w:fill="EDEDED"/>
          </w:tcPr>
          <w:p>
            <w:pPr>
              <w:pStyle w:val="TableParagraph"/>
              <w:spacing w:before="81"/>
              <w:ind w:left="76" w:right="304"/>
              <w:rPr>
                <w:sz w:val="11"/>
              </w:rPr>
            </w:pPr>
            <w:r>
              <w:rPr>
                <w:sz w:val="11"/>
              </w:rPr>
              <w:t>Consejo Estatal Contra las Adicciones en Jalisco (CECAJ). México: 2019.</w:t>
            </w:r>
          </w:p>
        </w:tc>
      </w:tr>
      <w:tr>
        <w:trPr>
          <w:trHeight w:val="1506" w:hRule="atLeast"/>
        </w:trPr>
        <w:tc>
          <w:tcPr>
            <w:tcW w:w="1438" w:type="dxa"/>
          </w:tcPr>
          <w:p>
            <w:pPr>
              <w:pStyle w:val="TableParagraph"/>
              <w:spacing w:before="81"/>
              <w:ind w:left="79" w:right="280"/>
              <w:rPr>
                <w:sz w:val="11"/>
              </w:rPr>
            </w:pPr>
            <w:r>
              <w:rPr>
                <w:sz w:val="11"/>
              </w:rPr>
              <w:t>Adultos mayores en situación de vulnerabilidad atendidos en los Centros de Convivencia y Alimentación.</w:t>
            </w:r>
          </w:p>
        </w:tc>
        <w:tc>
          <w:tcPr>
            <w:tcW w:w="579" w:type="dxa"/>
          </w:tcPr>
          <w:p>
            <w:pPr>
              <w:pStyle w:val="TableParagraph"/>
              <w:spacing w:before="81"/>
              <w:ind w:left="78" w:right="124"/>
              <w:rPr>
                <w:sz w:val="11"/>
              </w:rPr>
            </w:pPr>
            <w:r>
              <w:rPr>
                <w:sz w:val="11"/>
              </w:rPr>
              <w:t>Person as</w:t>
            </w:r>
          </w:p>
        </w:tc>
        <w:tc>
          <w:tcPr>
            <w:tcW w:w="447" w:type="dxa"/>
          </w:tcPr>
          <w:p>
            <w:pPr>
              <w:pStyle w:val="TableParagraph"/>
              <w:spacing w:before="81"/>
              <w:ind w:right="69"/>
              <w:jc w:val="right"/>
              <w:rPr>
                <w:sz w:val="11"/>
              </w:rPr>
            </w:pPr>
            <w:r>
              <w:rPr>
                <w:sz w:val="11"/>
              </w:rPr>
              <w:t>34</w:t>
            </w:r>
          </w:p>
        </w:tc>
        <w:tc>
          <w:tcPr>
            <w:tcW w:w="582" w:type="dxa"/>
          </w:tcPr>
          <w:p>
            <w:pPr>
              <w:pStyle w:val="TableParagraph"/>
              <w:spacing w:before="81"/>
              <w:ind w:right="73"/>
              <w:jc w:val="right"/>
              <w:rPr>
                <w:sz w:val="11"/>
              </w:rPr>
            </w:pPr>
            <w:r>
              <w:rPr>
                <w:sz w:val="11"/>
              </w:rPr>
              <w:t>2018</w:t>
            </w:r>
          </w:p>
        </w:tc>
        <w:tc>
          <w:tcPr>
            <w:tcW w:w="845" w:type="dxa"/>
          </w:tcPr>
          <w:p>
            <w:pPr>
              <w:pStyle w:val="TableParagraph"/>
              <w:spacing w:before="81"/>
              <w:ind w:left="79"/>
              <w:rPr>
                <w:sz w:val="11"/>
              </w:rPr>
            </w:pPr>
            <w:r>
              <w:rPr>
                <w:sz w:val="11"/>
              </w:rPr>
              <w:t>Mensual</w:t>
            </w:r>
          </w:p>
        </w:tc>
        <w:tc>
          <w:tcPr>
            <w:tcW w:w="725" w:type="dxa"/>
          </w:tcPr>
          <w:p>
            <w:pPr>
              <w:pStyle w:val="TableParagraph"/>
              <w:spacing w:before="81"/>
              <w:ind w:left="79"/>
              <w:rPr>
                <w:sz w:val="11"/>
              </w:rPr>
            </w:pPr>
            <w:r>
              <w:rPr>
                <w:sz w:val="11"/>
              </w:rPr>
              <w:t>Producto</w:t>
            </w:r>
          </w:p>
        </w:tc>
        <w:tc>
          <w:tcPr>
            <w:tcW w:w="2453" w:type="dxa"/>
          </w:tcPr>
          <w:p>
            <w:pPr>
              <w:pStyle w:val="TableParagraph"/>
              <w:spacing w:before="5"/>
              <w:rPr>
                <w:rFonts w:ascii="Corbel"/>
                <w:b/>
                <w:sz w:val="18"/>
              </w:rPr>
            </w:pPr>
          </w:p>
          <w:p>
            <w:pPr>
              <w:pStyle w:val="TableParagraph"/>
              <w:ind w:left="76"/>
              <w:rPr>
                <w:sz w:val="11"/>
              </w:rPr>
            </w:pPr>
            <w:r>
              <w:rPr>
                <w:sz w:val="11"/>
              </w:rPr>
              <w:t>AMatCmAs = ∑_(j=1)^125 PAt SIEM-SIF</w:t>
            </w:r>
          </w:p>
        </w:tc>
        <w:tc>
          <w:tcPr>
            <w:tcW w:w="2592" w:type="dxa"/>
          </w:tcPr>
          <w:p>
            <w:pPr>
              <w:pStyle w:val="TableParagraph"/>
              <w:spacing w:before="81"/>
              <w:ind w:left="76" w:right="196"/>
              <w:rPr>
                <w:sz w:val="11"/>
              </w:rPr>
            </w:pPr>
            <w:r>
              <w:rPr>
                <w:sz w:val="11"/>
              </w:rPr>
              <w:t>Elaborado por el Sistema DIF Jalisco con datos de la Dirección para el Desarrollo Integral del Adulto Mayor, adscrita a la Subdirección General de Operación, 2018.</w:t>
            </w:r>
          </w:p>
        </w:tc>
      </w:tr>
      <w:tr>
        <w:trPr>
          <w:trHeight w:val="665" w:hRule="atLeast"/>
        </w:trPr>
        <w:tc>
          <w:tcPr>
            <w:tcW w:w="1438" w:type="dxa"/>
            <w:shd w:val="clear" w:color="auto" w:fill="EDEDED"/>
          </w:tcPr>
          <w:p>
            <w:pPr>
              <w:pStyle w:val="TableParagraph"/>
              <w:spacing w:before="83"/>
              <w:ind w:left="79"/>
              <w:rPr>
                <w:sz w:val="11"/>
              </w:rPr>
            </w:pPr>
            <w:r>
              <w:rPr>
                <w:sz w:val="11"/>
              </w:rPr>
              <w:t>Casos de Dengue</w:t>
            </w:r>
          </w:p>
        </w:tc>
        <w:tc>
          <w:tcPr>
            <w:tcW w:w="579" w:type="dxa"/>
            <w:shd w:val="clear" w:color="auto" w:fill="EDEDED"/>
          </w:tcPr>
          <w:p>
            <w:pPr>
              <w:pStyle w:val="TableParagraph"/>
              <w:spacing w:before="83"/>
              <w:ind w:left="78"/>
              <w:rPr>
                <w:sz w:val="11"/>
              </w:rPr>
            </w:pPr>
            <w:r>
              <w:rPr>
                <w:sz w:val="11"/>
              </w:rPr>
              <w:t>Casos</w:t>
            </w:r>
          </w:p>
        </w:tc>
        <w:tc>
          <w:tcPr>
            <w:tcW w:w="447" w:type="dxa"/>
            <w:shd w:val="clear" w:color="auto" w:fill="EDEDED"/>
          </w:tcPr>
          <w:p>
            <w:pPr>
              <w:pStyle w:val="TableParagraph"/>
              <w:spacing w:before="83"/>
              <w:ind w:right="70"/>
              <w:jc w:val="right"/>
              <w:rPr>
                <w:sz w:val="11"/>
              </w:rPr>
            </w:pPr>
            <w:r>
              <w:rPr>
                <w:w w:val="100"/>
                <w:sz w:val="11"/>
              </w:rPr>
              <w:t>4</w:t>
            </w:r>
          </w:p>
        </w:tc>
        <w:tc>
          <w:tcPr>
            <w:tcW w:w="582" w:type="dxa"/>
            <w:shd w:val="clear" w:color="auto" w:fill="EDEDED"/>
          </w:tcPr>
          <w:p>
            <w:pPr>
              <w:pStyle w:val="TableParagraph"/>
              <w:spacing w:before="83"/>
              <w:ind w:right="73"/>
              <w:jc w:val="right"/>
              <w:rPr>
                <w:sz w:val="11"/>
              </w:rPr>
            </w:pPr>
            <w:r>
              <w:rPr>
                <w:sz w:val="11"/>
              </w:rPr>
              <w:t>2018</w:t>
            </w:r>
          </w:p>
        </w:tc>
        <w:tc>
          <w:tcPr>
            <w:tcW w:w="845" w:type="dxa"/>
            <w:shd w:val="clear" w:color="auto" w:fill="EDEDED"/>
          </w:tcPr>
          <w:p>
            <w:pPr>
              <w:pStyle w:val="TableParagraph"/>
              <w:spacing w:before="83"/>
              <w:ind w:left="79"/>
              <w:rPr>
                <w:sz w:val="11"/>
              </w:rPr>
            </w:pPr>
            <w:r>
              <w:rPr>
                <w:sz w:val="11"/>
              </w:rPr>
              <w:t>Semanal</w:t>
            </w:r>
          </w:p>
        </w:tc>
        <w:tc>
          <w:tcPr>
            <w:tcW w:w="725" w:type="dxa"/>
            <w:shd w:val="clear" w:color="auto" w:fill="EDEDED"/>
          </w:tcPr>
          <w:p>
            <w:pPr>
              <w:pStyle w:val="TableParagraph"/>
              <w:spacing w:before="83"/>
              <w:ind w:left="79"/>
              <w:rPr>
                <w:sz w:val="11"/>
              </w:rPr>
            </w:pPr>
            <w:r>
              <w:rPr>
                <w:sz w:val="11"/>
              </w:rPr>
              <w:t>Resultado</w:t>
            </w:r>
          </w:p>
        </w:tc>
        <w:tc>
          <w:tcPr>
            <w:tcW w:w="2453" w:type="dxa"/>
            <w:shd w:val="clear" w:color="auto" w:fill="EDEDED"/>
          </w:tcPr>
          <w:p>
            <w:pPr>
              <w:pStyle w:val="TableParagraph"/>
              <w:spacing w:before="83"/>
              <w:ind w:left="76"/>
              <w:rPr>
                <w:sz w:val="11"/>
              </w:rPr>
            </w:pPr>
            <w:r>
              <w:rPr>
                <w:sz w:val="11"/>
              </w:rPr>
              <w:t>CsD = ∑_(j=1)^125CNS</w:t>
            </w:r>
          </w:p>
        </w:tc>
        <w:tc>
          <w:tcPr>
            <w:tcW w:w="2592" w:type="dxa"/>
            <w:shd w:val="clear" w:color="auto" w:fill="EDEDED"/>
          </w:tcPr>
          <w:p>
            <w:pPr>
              <w:pStyle w:val="TableParagraph"/>
              <w:spacing w:before="83"/>
              <w:ind w:left="76" w:right="96"/>
              <w:rPr>
                <w:sz w:val="11"/>
              </w:rPr>
            </w:pPr>
            <w:r>
              <w:rPr>
                <w:sz w:val="11"/>
              </w:rPr>
              <w:t>Dirección de Salud Pública del OPD Servicios de Salud Jalisco 2019.</w:t>
            </w:r>
          </w:p>
        </w:tc>
      </w:tr>
      <w:tr>
        <w:trPr>
          <w:trHeight w:val="559" w:hRule="atLeast"/>
        </w:trPr>
        <w:tc>
          <w:tcPr>
            <w:tcW w:w="1438" w:type="dxa"/>
          </w:tcPr>
          <w:p>
            <w:pPr>
              <w:pStyle w:val="TableParagraph"/>
              <w:spacing w:before="7"/>
              <w:rPr>
                <w:rFonts w:ascii="Corbel"/>
                <w:b/>
                <w:sz w:val="18"/>
              </w:rPr>
            </w:pPr>
          </w:p>
          <w:p>
            <w:pPr>
              <w:pStyle w:val="TableParagraph"/>
              <w:spacing w:before="1"/>
              <w:ind w:left="79"/>
              <w:rPr>
                <w:sz w:val="11"/>
              </w:rPr>
            </w:pPr>
            <w:r>
              <w:rPr>
                <w:sz w:val="11"/>
              </w:rPr>
              <w:t>Casos de Influenza</w:t>
            </w:r>
          </w:p>
        </w:tc>
        <w:tc>
          <w:tcPr>
            <w:tcW w:w="579" w:type="dxa"/>
          </w:tcPr>
          <w:p>
            <w:pPr>
              <w:pStyle w:val="TableParagraph"/>
              <w:spacing w:before="83"/>
              <w:ind w:left="78"/>
              <w:rPr>
                <w:sz w:val="11"/>
              </w:rPr>
            </w:pPr>
            <w:r>
              <w:rPr>
                <w:sz w:val="11"/>
              </w:rPr>
              <w:t>Casos</w:t>
            </w:r>
          </w:p>
        </w:tc>
        <w:tc>
          <w:tcPr>
            <w:tcW w:w="447" w:type="dxa"/>
          </w:tcPr>
          <w:p>
            <w:pPr>
              <w:pStyle w:val="TableParagraph"/>
              <w:spacing w:before="83"/>
              <w:ind w:right="70"/>
              <w:jc w:val="right"/>
              <w:rPr>
                <w:sz w:val="11"/>
              </w:rPr>
            </w:pPr>
            <w:r>
              <w:rPr>
                <w:w w:val="100"/>
                <w:sz w:val="11"/>
              </w:rPr>
              <w:t>4</w:t>
            </w:r>
          </w:p>
        </w:tc>
        <w:tc>
          <w:tcPr>
            <w:tcW w:w="582" w:type="dxa"/>
          </w:tcPr>
          <w:p>
            <w:pPr>
              <w:pStyle w:val="TableParagraph"/>
              <w:spacing w:before="83"/>
              <w:ind w:right="73"/>
              <w:jc w:val="right"/>
              <w:rPr>
                <w:sz w:val="11"/>
              </w:rPr>
            </w:pPr>
            <w:r>
              <w:rPr>
                <w:sz w:val="11"/>
              </w:rPr>
              <w:t>2016</w:t>
            </w:r>
          </w:p>
        </w:tc>
        <w:tc>
          <w:tcPr>
            <w:tcW w:w="845" w:type="dxa"/>
          </w:tcPr>
          <w:p>
            <w:pPr>
              <w:pStyle w:val="TableParagraph"/>
              <w:spacing w:before="83"/>
              <w:ind w:left="79"/>
              <w:rPr>
                <w:sz w:val="11"/>
              </w:rPr>
            </w:pPr>
            <w:r>
              <w:rPr>
                <w:sz w:val="11"/>
              </w:rPr>
              <w:t>Semanal</w:t>
            </w:r>
          </w:p>
        </w:tc>
        <w:tc>
          <w:tcPr>
            <w:tcW w:w="725" w:type="dxa"/>
          </w:tcPr>
          <w:p>
            <w:pPr>
              <w:pStyle w:val="TableParagraph"/>
              <w:spacing w:before="83"/>
              <w:ind w:left="79"/>
              <w:rPr>
                <w:sz w:val="11"/>
              </w:rPr>
            </w:pPr>
            <w:r>
              <w:rPr>
                <w:sz w:val="11"/>
              </w:rPr>
              <w:t>Resultado</w:t>
            </w:r>
          </w:p>
        </w:tc>
        <w:tc>
          <w:tcPr>
            <w:tcW w:w="2453" w:type="dxa"/>
          </w:tcPr>
          <w:p>
            <w:pPr>
              <w:pStyle w:val="TableParagraph"/>
              <w:spacing w:before="83"/>
              <w:ind w:left="76"/>
              <w:rPr>
                <w:sz w:val="11"/>
              </w:rPr>
            </w:pPr>
            <w:r>
              <w:rPr>
                <w:sz w:val="11"/>
              </w:rPr>
              <w:t>CCI = ∑_(j=1)^125CCIj</w:t>
            </w:r>
          </w:p>
        </w:tc>
        <w:tc>
          <w:tcPr>
            <w:tcW w:w="2592" w:type="dxa"/>
          </w:tcPr>
          <w:p>
            <w:pPr>
              <w:pStyle w:val="TableParagraph"/>
              <w:spacing w:before="83"/>
              <w:ind w:left="76" w:right="96"/>
              <w:rPr>
                <w:sz w:val="11"/>
              </w:rPr>
            </w:pPr>
            <w:r>
              <w:rPr>
                <w:sz w:val="11"/>
              </w:rPr>
              <w:t>Dirección de Salud Pública del OPD Servicios de Salud Jalisco. marzo 2019.</w:t>
            </w:r>
          </w:p>
        </w:tc>
      </w:tr>
      <w:tr>
        <w:trPr>
          <w:trHeight w:val="837" w:hRule="atLeast"/>
        </w:trPr>
        <w:tc>
          <w:tcPr>
            <w:tcW w:w="1438" w:type="dxa"/>
            <w:shd w:val="clear" w:color="auto" w:fill="EDEDED"/>
          </w:tcPr>
          <w:p>
            <w:pPr>
              <w:pStyle w:val="TableParagraph"/>
              <w:spacing w:before="83"/>
              <w:ind w:left="79" w:right="167"/>
              <w:rPr>
                <w:sz w:val="11"/>
              </w:rPr>
            </w:pPr>
            <w:r>
              <w:rPr>
                <w:sz w:val="11"/>
              </w:rPr>
              <w:t>Casos de VIH/SIDA en la población en general</w:t>
            </w:r>
          </w:p>
        </w:tc>
        <w:tc>
          <w:tcPr>
            <w:tcW w:w="579" w:type="dxa"/>
            <w:shd w:val="clear" w:color="auto" w:fill="EDEDED"/>
          </w:tcPr>
          <w:p>
            <w:pPr>
              <w:pStyle w:val="TableParagraph"/>
              <w:spacing w:before="83"/>
              <w:ind w:left="78"/>
              <w:rPr>
                <w:sz w:val="11"/>
              </w:rPr>
            </w:pPr>
            <w:r>
              <w:rPr>
                <w:sz w:val="11"/>
              </w:rPr>
              <w:t>Casos</w:t>
            </w:r>
          </w:p>
        </w:tc>
        <w:tc>
          <w:tcPr>
            <w:tcW w:w="447" w:type="dxa"/>
            <w:shd w:val="clear" w:color="auto" w:fill="EDEDED"/>
          </w:tcPr>
          <w:p>
            <w:pPr>
              <w:pStyle w:val="TableParagraph"/>
              <w:spacing w:before="83"/>
              <w:ind w:right="70"/>
              <w:jc w:val="right"/>
              <w:rPr>
                <w:sz w:val="11"/>
              </w:rPr>
            </w:pPr>
            <w:r>
              <w:rPr>
                <w:w w:val="100"/>
                <w:sz w:val="11"/>
              </w:rPr>
              <w:t>1</w:t>
            </w:r>
          </w:p>
        </w:tc>
        <w:tc>
          <w:tcPr>
            <w:tcW w:w="582" w:type="dxa"/>
            <w:shd w:val="clear" w:color="auto" w:fill="EDEDED"/>
          </w:tcPr>
          <w:p>
            <w:pPr>
              <w:pStyle w:val="TableParagraph"/>
              <w:spacing w:before="83"/>
              <w:ind w:right="73"/>
              <w:jc w:val="right"/>
              <w:rPr>
                <w:sz w:val="11"/>
              </w:rPr>
            </w:pPr>
            <w:r>
              <w:rPr>
                <w:sz w:val="11"/>
              </w:rPr>
              <w:t>2012</w:t>
            </w:r>
          </w:p>
        </w:tc>
        <w:tc>
          <w:tcPr>
            <w:tcW w:w="845" w:type="dxa"/>
            <w:shd w:val="clear" w:color="auto" w:fill="EDEDED"/>
          </w:tcPr>
          <w:p>
            <w:pPr>
              <w:pStyle w:val="TableParagraph"/>
              <w:spacing w:before="83"/>
              <w:ind w:left="79"/>
              <w:rPr>
                <w:sz w:val="11"/>
              </w:rPr>
            </w:pPr>
            <w:r>
              <w:rPr>
                <w:sz w:val="11"/>
              </w:rPr>
              <w:t>Semanal</w:t>
            </w:r>
          </w:p>
        </w:tc>
        <w:tc>
          <w:tcPr>
            <w:tcW w:w="725" w:type="dxa"/>
            <w:shd w:val="clear" w:color="auto" w:fill="EDEDED"/>
          </w:tcPr>
          <w:p>
            <w:pPr>
              <w:pStyle w:val="TableParagraph"/>
              <w:spacing w:before="83"/>
              <w:ind w:left="79"/>
              <w:rPr>
                <w:sz w:val="11"/>
              </w:rPr>
            </w:pPr>
            <w:r>
              <w:rPr>
                <w:sz w:val="11"/>
              </w:rPr>
              <w:t>Resultado</w:t>
            </w:r>
          </w:p>
        </w:tc>
        <w:tc>
          <w:tcPr>
            <w:tcW w:w="2453" w:type="dxa"/>
            <w:shd w:val="clear" w:color="auto" w:fill="EDEDED"/>
          </w:tcPr>
          <w:p>
            <w:pPr>
              <w:pStyle w:val="TableParagraph"/>
              <w:spacing w:before="7"/>
              <w:rPr>
                <w:rFonts w:ascii="Corbel"/>
                <w:b/>
                <w:sz w:val="18"/>
              </w:rPr>
            </w:pPr>
          </w:p>
          <w:p>
            <w:pPr>
              <w:pStyle w:val="TableParagraph"/>
              <w:spacing w:before="1"/>
              <w:ind w:left="76"/>
              <w:rPr>
                <w:sz w:val="11"/>
              </w:rPr>
            </w:pPr>
            <w:r>
              <w:rPr>
                <w:sz w:val="11"/>
              </w:rPr>
              <w:t>CVIHSIDA J = ∑_(j=1)^125Csj</w:t>
            </w:r>
          </w:p>
        </w:tc>
        <w:tc>
          <w:tcPr>
            <w:tcW w:w="2592" w:type="dxa"/>
            <w:shd w:val="clear" w:color="auto" w:fill="EDEDED"/>
          </w:tcPr>
          <w:p>
            <w:pPr>
              <w:pStyle w:val="TableParagraph"/>
              <w:spacing w:before="83"/>
              <w:ind w:left="76" w:right="112"/>
              <w:rPr>
                <w:sz w:val="11"/>
              </w:rPr>
            </w:pPr>
            <w:r>
              <w:rPr>
                <w:sz w:val="11"/>
              </w:rPr>
              <w:t>Departamento de Epidemiología, Secretaría de Salud, Gobierno de Jalisco. cifras preliminares febrero 2019. Registro Estatal de casos de VIH/SIDA</w:t>
            </w:r>
          </w:p>
        </w:tc>
      </w:tr>
      <w:tr>
        <w:trPr>
          <w:trHeight w:val="707" w:hRule="atLeast"/>
        </w:trPr>
        <w:tc>
          <w:tcPr>
            <w:tcW w:w="1438" w:type="dxa"/>
          </w:tcPr>
          <w:p>
            <w:pPr>
              <w:pStyle w:val="TableParagraph"/>
              <w:spacing w:before="81"/>
              <w:ind w:left="79" w:right="197"/>
              <w:rPr>
                <w:sz w:val="11"/>
              </w:rPr>
            </w:pPr>
            <w:r>
              <w:rPr>
                <w:sz w:val="11"/>
              </w:rPr>
              <w:t>Denuncias por violencia intrafamiliar</w:t>
            </w:r>
          </w:p>
        </w:tc>
        <w:tc>
          <w:tcPr>
            <w:tcW w:w="579" w:type="dxa"/>
          </w:tcPr>
          <w:p>
            <w:pPr>
              <w:pStyle w:val="TableParagraph"/>
              <w:spacing w:before="81"/>
              <w:ind w:left="78" w:right="121"/>
              <w:rPr>
                <w:sz w:val="11"/>
              </w:rPr>
            </w:pPr>
            <w:r>
              <w:rPr>
                <w:sz w:val="11"/>
              </w:rPr>
              <w:t>Denun cias</w:t>
            </w:r>
          </w:p>
        </w:tc>
        <w:tc>
          <w:tcPr>
            <w:tcW w:w="447" w:type="dxa"/>
          </w:tcPr>
          <w:p>
            <w:pPr>
              <w:pStyle w:val="TableParagraph"/>
              <w:spacing w:before="81"/>
              <w:ind w:right="70"/>
              <w:jc w:val="right"/>
              <w:rPr>
                <w:sz w:val="11"/>
              </w:rPr>
            </w:pPr>
            <w:r>
              <w:rPr>
                <w:w w:val="100"/>
                <w:sz w:val="11"/>
              </w:rPr>
              <w:t>7</w:t>
            </w:r>
          </w:p>
        </w:tc>
        <w:tc>
          <w:tcPr>
            <w:tcW w:w="582" w:type="dxa"/>
          </w:tcPr>
          <w:p>
            <w:pPr>
              <w:pStyle w:val="TableParagraph"/>
              <w:spacing w:before="81"/>
              <w:ind w:right="73"/>
              <w:jc w:val="right"/>
              <w:rPr>
                <w:sz w:val="11"/>
              </w:rPr>
            </w:pPr>
            <w:r>
              <w:rPr>
                <w:sz w:val="11"/>
              </w:rPr>
              <w:t>2019</w:t>
            </w:r>
          </w:p>
        </w:tc>
        <w:tc>
          <w:tcPr>
            <w:tcW w:w="845" w:type="dxa"/>
          </w:tcPr>
          <w:p>
            <w:pPr>
              <w:pStyle w:val="TableParagraph"/>
              <w:spacing w:before="81"/>
              <w:ind w:left="79"/>
              <w:rPr>
                <w:sz w:val="11"/>
              </w:rPr>
            </w:pPr>
            <w:r>
              <w:rPr>
                <w:sz w:val="11"/>
              </w:rPr>
              <w:t>Mensual</w:t>
            </w:r>
          </w:p>
        </w:tc>
        <w:tc>
          <w:tcPr>
            <w:tcW w:w="725" w:type="dxa"/>
          </w:tcPr>
          <w:p>
            <w:pPr>
              <w:pStyle w:val="TableParagraph"/>
              <w:spacing w:before="81"/>
              <w:ind w:left="79"/>
              <w:rPr>
                <w:sz w:val="11"/>
              </w:rPr>
            </w:pPr>
            <w:r>
              <w:rPr>
                <w:sz w:val="11"/>
              </w:rPr>
              <w:t>Producto</w:t>
            </w:r>
          </w:p>
        </w:tc>
        <w:tc>
          <w:tcPr>
            <w:tcW w:w="2453" w:type="dxa"/>
          </w:tcPr>
          <w:p>
            <w:pPr>
              <w:pStyle w:val="TableParagraph"/>
              <w:spacing w:before="5"/>
              <w:rPr>
                <w:rFonts w:ascii="Corbel"/>
                <w:b/>
                <w:sz w:val="18"/>
              </w:rPr>
            </w:pPr>
          </w:p>
          <w:p>
            <w:pPr>
              <w:pStyle w:val="TableParagraph"/>
              <w:ind w:left="76"/>
              <w:rPr>
                <w:sz w:val="11"/>
              </w:rPr>
            </w:pPr>
            <w:r>
              <w:rPr>
                <w:sz w:val="11"/>
              </w:rPr>
              <w:t>DVIA=∑_(j=1)^125 DVIAj</w:t>
            </w:r>
          </w:p>
        </w:tc>
        <w:tc>
          <w:tcPr>
            <w:tcW w:w="2592" w:type="dxa"/>
          </w:tcPr>
          <w:p>
            <w:pPr>
              <w:pStyle w:val="TableParagraph"/>
              <w:spacing w:before="81"/>
              <w:ind w:left="76" w:right="210"/>
              <w:rPr>
                <w:sz w:val="11"/>
              </w:rPr>
            </w:pPr>
            <w:r>
              <w:rPr>
                <w:sz w:val="11"/>
              </w:rPr>
              <w:t>Dirección de Política Criminal y Estadística, Fiscalía General del Estado, Gobierno de Jalisco, cifras preliminares 2019.</w:t>
            </w:r>
          </w:p>
        </w:tc>
      </w:tr>
      <w:tr>
        <w:trPr>
          <w:trHeight w:val="986" w:hRule="atLeast"/>
        </w:trPr>
        <w:tc>
          <w:tcPr>
            <w:tcW w:w="1438" w:type="dxa"/>
            <w:shd w:val="clear" w:color="auto" w:fill="EDEDED"/>
          </w:tcPr>
          <w:p>
            <w:pPr>
              <w:pStyle w:val="TableParagraph"/>
              <w:spacing w:before="7"/>
              <w:rPr>
                <w:rFonts w:ascii="Corbel"/>
                <w:b/>
                <w:sz w:val="18"/>
              </w:rPr>
            </w:pPr>
          </w:p>
          <w:p>
            <w:pPr>
              <w:pStyle w:val="TableParagraph"/>
              <w:spacing w:before="1"/>
              <w:ind w:left="79"/>
              <w:rPr>
                <w:sz w:val="11"/>
              </w:rPr>
            </w:pPr>
            <w:r>
              <w:rPr>
                <w:sz w:val="11"/>
              </w:rPr>
              <w:t>Muertes maternas</w:t>
            </w:r>
          </w:p>
        </w:tc>
        <w:tc>
          <w:tcPr>
            <w:tcW w:w="579" w:type="dxa"/>
            <w:shd w:val="clear" w:color="auto" w:fill="EDEDED"/>
          </w:tcPr>
          <w:p>
            <w:pPr>
              <w:pStyle w:val="TableParagraph"/>
              <w:spacing w:before="83"/>
              <w:ind w:left="78" w:right="121"/>
              <w:rPr>
                <w:sz w:val="11"/>
              </w:rPr>
            </w:pPr>
            <w:r>
              <w:rPr>
                <w:sz w:val="11"/>
              </w:rPr>
              <w:t>Denun cias</w:t>
            </w:r>
          </w:p>
        </w:tc>
        <w:tc>
          <w:tcPr>
            <w:tcW w:w="447" w:type="dxa"/>
            <w:shd w:val="clear" w:color="auto" w:fill="EDEDED"/>
          </w:tcPr>
          <w:p>
            <w:pPr>
              <w:pStyle w:val="TableParagraph"/>
              <w:spacing w:before="83"/>
              <w:ind w:right="70"/>
              <w:jc w:val="right"/>
              <w:rPr>
                <w:sz w:val="11"/>
              </w:rPr>
            </w:pPr>
            <w:r>
              <w:rPr>
                <w:w w:val="100"/>
                <w:sz w:val="11"/>
              </w:rPr>
              <w:t>1</w:t>
            </w:r>
          </w:p>
        </w:tc>
        <w:tc>
          <w:tcPr>
            <w:tcW w:w="582" w:type="dxa"/>
            <w:shd w:val="clear" w:color="auto" w:fill="EDEDED"/>
          </w:tcPr>
          <w:p>
            <w:pPr>
              <w:pStyle w:val="TableParagraph"/>
              <w:spacing w:before="83"/>
              <w:ind w:right="73"/>
              <w:jc w:val="right"/>
              <w:rPr>
                <w:sz w:val="11"/>
              </w:rPr>
            </w:pPr>
            <w:r>
              <w:rPr>
                <w:sz w:val="11"/>
              </w:rPr>
              <w:t>2010</w:t>
            </w:r>
          </w:p>
        </w:tc>
        <w:tc>
          <w:tcPr>
            <w:tcW w:w="845" w:type="dxa"/>
            <w:shd w:val="clear" w:color="auto" w:fill="EDEDED"/>
          </w:tcPr>
          <w:p>
            <w:pPr>
              <w:pStyle w:val="TableParagraph"/>
              <w:spacing w:before="83"/>
              <w:ind w:left="79"/>
              <w:rPr>
                <w:sz w:val="11"/>
              </w:rPr>
            </w:pPr>
            <w:r>
              <w:rPr>
                <w:sz w:val="11"/>
              </w:rPr>
              <w:t>Semanal</w:t>
            </w:r>
          </w:p>
        </w:tc>
        <w:tc>
          <w:tcPr>
            <w:tcW w:w="725" w:type="dxa"/>
            <w:shd w:val="clear" w:color="auto" w:fill="EDEDED"/>
          </w:tcPr>
          <w:p>
            <w:pPr>
              <w:pStyle w:val="TableParagraph"/>
              <w:spacing w:before="83"/>
              <w:ind w:left="79"/>
              <w:rPr>
                <w:sz w:val="11"/>
              </w:rPr>
            </w:pPr>
            <w:r>
              <w:rPr>
                <w:sz w:val="11"/>
              </w:rPr>
              <w:t>Resultado</w:t>
            </w:r>
          </w:p>
        </w:tc>
        <w:tc>
          <w:tcPr>
            <w:tcW w:w="2453" w:type="dxa"/>
            <w:shd w:val="clear" w:color="auto" w:fill="EDEDED"/>
          </w:tcPr>
          <w:p>
            <w:pPr>
              <w:pStyle w:val="TableParagraph"/>
              <w:spacing w:before="7"/>
              <w:rPr>
                <w:rFonts w:ascii="Corbel"/>
                <w:b/>
                <w:sz w:val="18"/>
              </w:rPr>
            </w:pPr>
          </w:p>
          <w:p>
            <w:pPr>
              <w:pStyle w:val="TableParagraph"/>
              <w:spacing w:before="1"/>
              <w:ind w:left="76"/>
              <w:rPr>
                <w:sz w:val="11"/>
              </w:rPr>
            </w:pPr>
            <w:r>
              <w:rPr>
                <w:sz w:val="11"/>
              </w:rPr>
              <w:t>MuMa = ∑_(j=1)^125Dmaj</w:t>
            </w:r>
          </w:p>
        </w:tc>
        <w:tc>
          <w:tcPr>
            <w:tcW w:w="2592" w:type="dxa"/>
            <w:shd w:val="clear" w:color="auto" w:fill="EDEDED"/>
          </w:tcPr>
          <w:p>
            <w:pPr>
              <w:pStyle w:val="TableParagraph"/>
              <w:spacing w:before="83"/>
              <w:ind w:left="76" w:right="225" w:firstLine="31"/>
              <w:rPr>
                <w:sz w:val="11"/>
              </w:rPr>
            </w:pPr>
            <w:r>
              <w:rPr>
                <w:sz w:val="11"/>
              </w:rPr>
              <w:t>Secretaria de Salud del Estado de Jalisco, cifras preliminares marzo 2019.</w:t>
            </w:r>
          </w:p>
        </w:tc>
      </w:tr>
      <w:tr>
        <w:trPr>
          <w:trHeight w:val="566" w:hRule="atLeast"/>
        </w:trPr>
        <w:tc>
          <w:tcPr>
            <w:tcW w:w="1438" w:type="dxa"/>
          </w:tcPr>
          <w:p>
            <w:pPr>
              <w:pStyle w:val="TableParagraph"/>
              <w:spacing w:before="84"/>
              <w:ind w:left="79" w:right="167"/>
              <w:rPr>
                <w:sz w:val="11"/>
              </w:rPr>
            </w:pPr>
            <w:r>
              <w:rPr>
                <w:sz w:val="11"/>
              </w:rPr>
              <w:t>Obras de infraestructura social básica</w:t>
            </w:r>
          </w:p>
        </w:tc>
        <w:tc>
          <w:tcPr>
            <w:tcW w:w="579" w:type="dxa"/>
          </w:tcPr>
          <w:p>
            <w:pPr>
              <w:pStyle w:val="TableParagraph"/>
              <w:spacing w:before="84"/>
              <w:ind w:left="78"/>
              <w:rPr>
                <w:sz w:val="11"/>
              </w:rPr>
            </w:pPr>
            <w:r>
              <w:rPr>
                <w:sz w:val="11"/>
              </w:rPr>
              <w:t>Obras</w:t>
            </w:r>
          </w:p>
        </w:tc>
        <w:tc>
          <w:tcPr>
            <w:tcW w:w="447" w:type="dxa"/>
          </w:tcPr>
          <w:p>
            <w:pPr>
              <w:pStyle w:val="TableParagraph"/>
              <w:spacing w:before="84"/>
              <w:ind w:right="70"/>
              <w:jc w:val="right"/>
              <w:rPr>
                <w:sz w:val="11"/>
              </w:rPr>
            </w:pPr>
            <w:r>
              <w:rPr>
                <w:w w:val="100"/>
                <w:sz w:val="11"/>
              </w:rPr>
              <w:t>2</w:t>
            </w:r>
          </w:p>
        </w:tc>
        <w:tc>
          <w:tcPr>
            <w:tcW w:w="582" w:type="dxa"/>
          </w:tcPr>
          <w:p>
            <w:pPr>
              <w:pStyle w:val="TableParagraph"/>
              <w:spacing w:before="84"/>
              <w:ind w:right="73"/>
              <w:jc w:val="right"/>
              <w:rPr>
                <w:sz w:val="11"/>
              </w:rPr>
            </w:pPr>
            <w:r>
              <w:rPr>
                <w:sz w:val="11"/>
              </w:rPr>
              <w:t>2017</w:t>
            </w:r>
          </w:p>
        </w:tc>
        <w:tc>
          <w:tcPr>
            <w:tcW w:w="845" w:type="dxa"/>
          </w:tcPr>
          <w:p>
            <w:pPr>
              <w:pStyle w:val="TableParagraph"/>
              <w:spacing w:before="84"/>
              <w:ind w:left="79"/>
              <w:rPr>
                <w:sz w:val="11"/>
              </w:rPr>
            </w:pPr>
            <w:r>
              <w:rPr>
                <w:sz w:val="11"/>
              </w:rPr>
              <w:t>Mensual</w:t>
            </w:r>
          </w:p>
        </w:tc>
        <w:tc>
          <w:tcPr>
            <w:tcW w:w="725" w:type="dxa"/>
          </w:tcPr>
          <w:p>
            <w:pPr>
              <w:pStyle w:val="TableParagraph"/>
              <w:spacing w:before="84"/>
              <w:ind w:left="79"/>
              <w:rPr>
                <w:sz w:val="11"/>
              </w:rPr>
            </w:pPr>
            <w:r>
              <w:rPr>
                <w:sz w:val="11"/>
              </w:rPr>
              <w:t>Producto</w:t>
            </w:r>
          </w:p>
        </w:tc>
        <w:tc>
          <w:tcPr>
            <w:tcW w:w="2453" w:type="dxa"/>
          </w:tcPr>
          <w:p>
            <w:pPr>
              <w:pStyle w:val="TableParagraph"/>
              <w:spacing w:before="8"/>
              <w:rPr>
                <w:rFonts w:ascii="Corbel"/>
                <w:b/>
                <w:sz w:val="18"/>
              </w:rPr>
            </w:pPr>
          </w:p>
          <w:p>
            <w:pPr>
              <w:pStyle w:val="TableParagraph"/>
              <w:ind w:left="76"/>
              <w:rPr>
                <w:sz w:val="11"/>
              </w:rPr>
            </w:pPr>
            <w:r>
              <w:rPr>
                <w:sz w:val="11"/>
              </w:rPr>
              <w:t>OISBC = ∑_(j=1)^125OCj</w:t>
            </w:r>
          </w:p>
        </w:tc>
        <w:tc>
          <w:tcPr>
            <w:tcW w:w="2592" w:type="dxa"/>
          </w:tcPr>
          <w:p>
            <w:pPr>
              <w:pStyle w:val="TableParagraph"/>
              <w:spacing w:before="84"/>
              <w:ind w:left="76" w:right="108"/>
              <w:rPr>
                <w:sz w:val="11"/>
              </w:rPr>
            </w:pPr>
            <w:r>
              <w:rPr>
                <w:sz w:val="11"/>
              </w:rPr>
              <w:t>Programa operativo anual, Secretaría de Infraestructura y Obra Pública. México, 2018.</w:t>
            </w:r>
          </w:p>
        </w:tc>
      </w:tr>
      <w:tr>
        <w:trPr>
          <w:trHeight w:val="971" w:hRule="atLeast"/>
        </w:trPr>
        <w:tc>
          <w:tcPr>
            <w:tcW w:w="1438" w:type="dxa"/>
            <w:shd w:val="clear" w:color="auto" w:fill="EDEDED"/>
          </w:tcPr>
          <w:p>
            <w:pPr>
              <w:pStyle w:val="TableParagraph"/>
              <w:spacing w:before="81"/>
              <w:ind w:left="79" w:right="164"/>
              <w:jc w:val="both"/>
              <w:rPr>
                <w:sz w:val="11"/>
              </w:rPr>
            </w:pPr>
            <w:r>
              <w:rPr>
                <w:sz w:val="11"/>
              </w:rPr>
              <w:t>Porcentaje de adultos mayores sin seguridad social</w:t>
            </w:r>
          </w:p>
        </w:tc>
        <w:tc>
          <w:tcPr>
            <w:tcW w:w="579" w:type="dxa"/>
            <w:shd w:val="clear" w:color="auto" w:fill="EDEDED"/>
          </w:tcPr>
          <w:p>
            <w:pPr>
              <w:pStyle w:val="TableParagraph"/>
              <w:spacing w:before="81"/>
              <w:ind w:left="78" w:right="58"/>
              <w:rPr>
                <w:sz w:val="11"/>
              </w:rPr>
            </w:pPr>
            <w:r>
              <w:rPr>
                <w:sz w:val="11"/>
              </w:rPr>
              <w:t>Porcent aje</w:t>
            </w:r>
          </w:p>
        </w:tc>
        <w:tc>
          <w:tcPr>
            <w:tcW w:w="447" w:type="dxa"/>
            <w:shd w:val="clear" w:color="auto" w:fill="EDEDED"/>
          </w:tcPr>
          <w:p>
            <w:pPr>
              <w:pStyle w:val="TableParagraph"/>
              <w:spacing w:before="81"/>
              <w:ind w:right="70"/>
              <w:jc w:val="right"/>
              <w:rPr>
                <w:sz w:val="11"/>
              </w:rPr>
            </w:pPr>
            <w:r>
              <w:rPr>
                <w:sz w:val="11"/>
              </w:rPr>
              <w:t>31.14</w:t>
            </w:r>
          </w:p>
        </w:tc>
        <w:tc>
          <w:tcPr>
            <w:tcW w:w="582" w:type="dxa"/>
            <w:shd w:val="clear" w:color="auto" w:fill="EDEDED"/>
          </w:tcPr>
          <w:p>
            <w:pPr>
              <w:pStyle w:val="TableParagraph"/>
              <w:spacing w:before="81"/>
              <w:ind w:right="73"/>
              <w:jc w:val="right"/>
              <w:rPr>
                <w:sz w:val="11"/>
              </w:rPr>
            </w:pPr>
            <w:r>
              <w:rPr>
                <w:sz w:val="11"/>
              </w:rPr>
              <w:t>2010</w:t>
            </w:r>
          </w:p>
        </w:tc>
        <w:tc>
          <w:tcPr>
            <w:tcW w:w="845" w:type="dxa"/>
            <w:shd w:val="clear" w:color="auto" w:fill="EDEDED"/>
          </w:tcPr>
          <w:p>
            <w:pPr>
              <w:pStyle w:val="TableParagraph"/>
              <w:spacing w:before="81"/>
              <w:ind w:left="79"/>
              <w:rPr>
                <w:sz w:val="11"/>
              </w:rPr>
            </w:pPr>
            <w:r>
              <w:rPr>
                <w:sz w:val="11"/>
              </w:rPr>
              <w:t>Bienal</w:t>
            </w:r>
          </w:p>
        </w:tc>
        <w:tc>
          <w:tcPr>
            <w:tcW w:w="725" w:type="dxa"/>
            <w:shd w:val="clear" w:color="auto" w:fill="EDEDED"/>
          </w:tcPr>
          <w:p>
            <w:pPr>
              <w:pStyle w:val="TableParagraph"/>
              <w:spacing w:before="81"/>
              <w:ind w:left="79" w:right="162"/>
              <w:rPr>
                <w:sz w:val="11"/>
              </w:rPr>
            </w:pPr>
            <w:r>
              <w:rPr>
                <w:sz w:val="11"/>
              </w:rPr>
              <w:t>Impacto Directo</w:t>
            </w:r>
          </w:p>
        </w:tc>
        <w:tc>
          <w:tcPr>
            <w:tcW w:w="2453" w:type="dxa"/>
            <w:shd w:val="clear" w:color="auto" w:fill="EDEDED"/>
          </w:tcPr>
          <w:p>
            <w:pPr>
              <w:pStyle w:val="TableParagraph"/>
              <w:spacing w:before="5"/>
              <w:rPr>
                <w:rFonts w:ascii="Corbel"/>
                <w:b/>
                <w:sz w:val="18"/>
              </w:rPr>
            </w:pPr>
          </w:p>
          <w:p>
            <w:pPr>
              <w:pStyle w:val="TableParagraph"/>
              <w:ind w:left="76"/>
              <w:rPr>
                <w:sz w:val="11"/>
              </w:rPr>
            </w:pPr>
            <w:r>
              <w:rPr>
                <w:sz w:val="11"/>
              </w:rPr>
              <w:t>AMSS = (PAMSD/PT)100</w:t>
            </w:r>
          </w:p>
        </w:tc>
        <w:tc>
          <w:tcPr>
            <w:tcW w:w="2592" w:type="dxa"/>
            <w:shd w:val="clear" w:color="auto" w:fill="EDEDED"/>
          </w:tcPr>
          <w:p>
            <w:pPr>
              <w:pStyle w:val="TableParagraph"/>
              <w:spacing w:before="81"/>
              <w:ind w:left="76" w:right="174"/>
              <w:rPr>
                <w:sz w:val="11"/>
              </w:rPr>
            </w:pPr>
            <w:r>
              <w:rPr>
                <w:sz w:val="11"/>
              </w:rPr>
              <w:t>CONEVAL con base en el MCS-ENIGH 2010, 2012 , 2014 y 2016.</w:t>
            </w:r>
          </w:p>
        </w:tc>
      </w:tr>
    </w:tbl>
    <w:p>
      <w:pPr>
        <w:spacing w:after="0"/>
        <w:rPr>
          <w:sz w:val="11"/>
        </w:rPr>
        <w:sectPr>
          <w:pgSz w:w="12240" w:h="15840"/>
          <w:pgMar w:header="178" w:footer="1142" w:top="1120" w:bottom="136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8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438"/>
        <w:gridCol w:w="579"/>
        <w:gridCol w:w="447"/>
        <w:gridCol w:w="582"/>
        <w:gridCol w:w="845"/>
        <w:gridCol w:w="725"/>
        <w:gridCol w:w="2453"/>
        <w:gridCol w:w="2592"/>
      </w:tblGrid>
      <w:tr>
        <w:trPr>
          <w:trHeight w:val="1480" w:hRule="atLeast"/>
        </w:trPr>
        <w:tc>
          <w:tcPr>
            <w:tcW w:w="1438" w:type="dxa"/>
          </w:tcPr>
          <w:p>
            <w:pPr>
              <w:pStyle w:val="TableParagraph"/>
              <w:spacing w:before="81"/>
              <w:ind w:left="79" w:right="128"/>
              <w:rPr>
                <w:sz w:val="11"/>
              </w:rPr>
            </w:pPr>
            <w:r>
              <w:rPr>
                <w:sz w:val="11"/>
              </w:rPr>
              <w:t>Porcentaje de población con carencia de acceso a los servicios básicos en la vivienda</w:t>
            </w:r>
          </w:p>
        </w:tc>
        <w:tc>
          <w:tcPr>
            <w:tcW w:w="579" w:type="dxa"/>
          </w:tcPr>
          <w:p>
            <w:pPr>
              <w:pStyle w:val="TableParagraph"/>
              <w:spacing w:before="81"/>
              <w:ind w:left="78" w:right="58"/>
              <w:rPr>
                <w:sz w:val="11"/>
              </w:rPr>
            </w:pPr>
            <w:r>
              <w:rPr>
                <w:sz w:val="11"/>
              </w:rPr>
              <w:t>Porcent aje</w:t>
            </w:r>
          </w:p>
        </w:tc>
        <w:tc>
          <w:tcPr>
            <w:tcW w:w="447" w:type="dxa"/>
          </w:tcPr>
          <w:p>
            <w:pPr>
              <w:pStyle w:val="TableParagraph"/>
              <w:spacing w:before="81"/>
              <w:ind w:right="70"/>
              <w:jc w:val="right"/>
              <w:rPr>
                <w:sz w:val="11"/>
              </w:rPr>
            </w:pPr>
            <w:r>
              <w:rPr>
                <w:sz w:val="11"/>
              </w:rPr>
              <w:t>15.8</w:t>
            </w:r>
          </w:p>
        </w:tc>
        <w:tc>
          <w:tcPr>
            <w:tcW w:w="582" w:type="dxa"/>
          </w:tcPr>
          <w:p>
            <w:pPr>
              <w:pStyle w:val="TableParagraph"/>
              <w:spacing w:before="81"/>
              <w:ind w:right="73"/>
              <w:jc w:val="right"/>
              <w:rPr>
                <w:sz w:val="11"/>
              </w:rPr>
            </w:pPr>
            <w:r>
              <w:rPr>
                <w:sz w:val="11"/>
              </w:rPr>
              <w:t>2015</w:t>
            </w:r>
          </w:p>
        </w:tc>
        <w:tc>
          <w:tcPr>
            <w:tcW w:w="845" w:type="dxa"/>
          </w:tcPr>
          <w:p>
            <w:pPr>
              <w:pStyle w:val="TableParagraph"/>
              <w:spacing w:before="81"/>
              <w:ind w:left="79"/>
              <w:rPr>
                <w:sz w:val="11"/>
              </w:rPr>
            </w:pPr>
            <w:r>
              <w:rPr>
                <w:sz w:val="11"/>
              </w:rPr>
              <w:t>Quinquenal</w:t>
            </w:r>
          </w:p>
        </w:tc>
        <w:tc>
          <w:tcPr>
            <w:tcW w:w="725" w:type="dxa"/>
          </w:tcPr>
          <w:p>
            <w:pPr>
              <w:pStyle w:val="TableParagraph"/>
              <w:spacing w:before="81"/>
              <w:ind w:left="79"/>
              <w:rPr>
                <w:sz w:val="11"/>
              </w:rPr>
            </w:pPr>
            <w:r>
              <w:rPr>
                <w:sz w:val="11"/>
              </w:rPr>
              <w:t>Resultado</w:t>
            </w:r>
          </w:p>
        </w:tc>
        <w:tc>
          <w:tcPr>
            <w:tcW w:w="2453" w:type="dxa"/>
          </w:tcPr>
          <w:p>
            <w:pPr>
              <w:pStyle w:val="TableParagraph"/>
              <w:rPr>
                <w:rFonts w:ascii="Times New Roman"/>
                <w:sz w:val="10"/>
              </w:rPr>
            </w:pPr>
          </w:p>
        </w:tc>
        <w:tc>
          <w:tcPr>
            <w:tcW w:w="2592" w:type="dxa"/>
          </w:tcPr>
          <w:p>
            <w:pPr>
              <w:pStyle w:val="TableParagraph"/>
              <w:spacing w:before="81"/>
              <w:ind w:left="76" w:right="181"/>
              <w:rPr>
                <w:sz w:val="11"/>
              </w:rPr>
            </w:pPr>
            <w:r>
              <w:rPr>
                <w:sz w:val="11"/>
              </w:rPr>
              <w:t>CONEVAL, Medición de pobreza municipal 2015</w:t>
            </w:r>
          </w:p>
        </w:tc>
      </w:tr>
      <w:tr>
        <w:trPr>
          <w:trHeight w:val="873" w:hRule="atLeast"/>
        </w:trPr>
        <w:tc>
          <w:tcPr>
            <w:tcW w:w="1438" w:type="dxa"/>
            <w:shd w:val="clear" w:color="auto" w:fill="EDEDED"/>
          </w:tcPr>
          <w:p>
            <w:pPr>
              <w:pStyle w:val="TableParagraph"/>
              <w:spacing w:before="83"/>
              <w:ind w:left="79" w:right="585"/>
              <w:jc w:val="both"/>
              <w:rPr>
                <w:sz w:val="11"/>
              </w:rPr>
            </w:pPr>
            <w:r>
              <w:rPr>
                <w:sz w:val="11"/>
              </w:rPr>
              <w:t>Porcentaje de embarazos en adolescentes</w:t>
            </w:r>
          </w:p>
        </w:tc>
        <w:tc>
          <w:tcPr>
            <w:tcW w:w="579" w:type="dxa"/>
            <w:shd w:val="clear" w:color="auto" w:fill="EDEDED"/>
          </w:tcPr>
          <w:p>
            <w:pPr>
              <w:pStyle w:val="TableParagraph"/>
              <w:spacing w:before="83"/>
              <w:ind w:left="78" w:right="58"/>
              <w:rPr>
                <w:sz w:val="11"/>
              </w:rPr>
            </w:pPr>
            <w:r>
              <w:rPr>
                <w:sz w:val="11"/>
              </w:rPr>
              <w:t>Porcent aje</w:t>
            </w:r>
          </w:p>
        </w:tc>
        <w:tc>
          <w:tcPr>
            <w:tcW w:w="447" w:type="dxa"/>
            <w:shd w:val="clear" w:color="auto" w:fill="EDEDED"/>
          </w:tcPr>
          <w:p>
            <w:pPr>
              <w:pStyle w:val="TableParagraph"/>
              <w:spacing w:before="83"/>
              <w:ind w:right="70"/>
              <w:jc w:val="right"/>
              <w:rPr>
                <w:sz w:val="11"/>
              </w:rPr>
            </w:pPr>
            <w:r>
              <w:rPr>
                <w:sz w:val="11"/>
              </w:rPr>
              <w:t>18.4</w:t>
            </w:r>
          </w:p>
        </w:tc>
        <w:tc>
          <w:tcPr>
            <w:tcW w:w="582" w:type="dxa"/>
            <w:shd w:val="clear" w:color="auto" w:fill="EDEDED"/>
          </w:tcPr>
          <w:p>
            <w:pPr>
              <w:pStyle w:val="TableParagraph"/>
              <w:spacing w:before="83"/>
              <w:ind w:right="73"/>
              <w:jc w:val="right"/>
              <w:rPr>
                <w:sz w:val="11"/>
              </w:rPr>
            </w:pPr>
            <w:r>
              <w:rPr>
                <w:sz w:val="11"/>
              </w:rPr>
              <w:t>2018</w:t>
            </w:r>
          </w:p>
        </w:tc>
        <w:tc>
          <w:tcPr>
            <w:tcW w:w="845" w:type="dxa"/>
            <w:shd w:val="clear" w:color="auto" w:fill="EDEDED"/>
          </w:tcPr>
          <w:p>
            <w:pPr>
              <w:pStyle w:val="TableParagraph"/>
              <w:spacing w:before="83"/>
              <w:ind w:left="79"/>
              <w:rPr>
                <w:sz w:val="11"/>
              </w:rPr>
            </w:pPr>
            <w:r>
              <w:rPr>
                <w:sz w:val="11"/>
              </w:rPr>
              <w:t>Mensual</w:t>
            </w:r>
          </w:p>
        </w:tc>
        <w:tc>
          <w:tcPr>
            <w:tcW w:w="725" w:type="dxa"/>
            <w:shd w:val="clear" w:color="auto" w:fill="EDEDED"/>
          </w:tcPr>
          <w:p>
            <w:pPr>
              <w:pStyle w:val="TableParagraph"/>
              <w:spacing w:before="83"/>
              <w:ind w:left="79" w:right="162"/>
              <w:rPr>
                <w:sz w:val="11"/>
              </w:rPr>
            </w:pPr>
            <w:r>
              <w:rPr>
                <w:sz w:val="11"/>
              </w:rPr>
              <w:t>Impacto Directo</w:t>
            </w:r>
          </w:p>
        </w:tc>
        <w:tc>
          <w:tcPr>
            <w:tcW w:w="2453" w:type="dxa"/>
            <w:shd w:val="clear" w:color="auto" w:fill="EDEDED"/>
          </w:tcPr>
          <w:p>
            <w:pPr>
              <w:pStyle w:val="TableParagraph"/>
              <w:spacing w:before="9"/>
              <w:rPr>
                <w:rFonts w:ascii="Times New Roman"/>
                <w:sz w:val="19"/>
              </w:rPr>
            </w:pPr>
          </w:p>
          <w:p>
            <w:pPr>
              <w:pStyle w:val="TableParagraph"/>
              <w:ind w:left="76"/>
              <w:rPr>
                <w:sz w:val="11"/>
              </w:rPr>
            </w:pPr>
            <w:r>
              <w:rPr>
                <w:sz w:val="11"/>
              </w:rPr>
              <w:t>PEmAd = NVA/NV</w:t>
            </w:r>
          </w:p>
        </w:tc>
        <w:tc>
          <w:tcPr>
            <w:tcW w:w="2592" w:type="dxa"/>
            <w:shd w:val="clear" w:color="auto" w:fill="EDEDED"/>
          </w:tcPr>
          <w:p>
            <w:pPr>
              <w:pStyle w:val="TableParagraph"/>
              <w:spacing w:before="83"/>
              <w:ind w:left="76" w:right="223"/>
              <w:rPr>
                <w:sz w:val="11"/>
              </w:rPr>
            </w:pPr>
            <w:r>
              <w:rPr>
                <w:sz w:val="11"/>
              </w:rPr>
              <w:t>Sistema de Información de Nacimientos SINAC, Sitio DGIS, Base de datos 2008-2019 [Cubos] INEGI/SSJ, cifras preliminares con corte a febrero 2019.</w:t>
            </w:r>
          </w:p>
        </w:tc>
      </w:tr>
      <w:tr>
        <w:trPr>
          <w:trHeight w:val="1205" w:hRule="atLeast"/>
        </w:trPr>
        <w:tc>
          <w:tcPr>
            <w:tcW w:w="1438" w:type="dxa"/>
          </w:tcPr>
          <w:p>
            <w:pPr>
              <w:pStyle w:val="TableParagraph"/>
              <w:spacing w:before="81"/>
              <w:ind w:left="79" w:right="130"/>
              <w:rPr>
                <w:sz w:val="11"/>
              </w:rPr>
            </w:pPr>
            <w:r>
              <w:rPr>
                <w:sz w:val="11"/>
              </w:rPr>
              <w:t>Porcentaje de la población con carencia de acceso a la alimentación</w:t>
            </w:r>
          </w:p>
        </w:tc>
        <w:tc>
          <w:tcPr>
            <w:tcW w:w="579" w:type="dxa"/>
          </w:tcPr>
          <w:p>
            <w:pPr>
              <w:pStyle w:val="TableParagraph"/>
              <w:spacing w:before="81"/>
              <w:ind w:left="78" w:right="58"/>
              <w:rPr>
                <w:sz w:val="11"/>
              </w:rPr>
            </w:pPr>
            <w:r>
              <w:rPr>
                <w:sz w:val="11"/>
              </w:rPr>
              <w:t>Porcent aje</w:t>
            </w:r>
          </w:p>
        </w:tc>
        <w:tc>
          <w:tcPr>
            <w:tcW w:w="447" w:type="dxa"/>
          </w:tcPr>
          <w:p>
            <w:pPr>
              <w:pStyle w:val="TableParagraph"/>
              <w:spacing w:before="81"/>
              <w:ind w:right="69"/>
              <w:jc w:val="right"/>
              <w:rPr>
                <w:sz w:val="11"/>
              </w:rPr>
            </w:pPr>
            <w:r>
              <w:rPr>
                <w:sz w:val="11"/>
              </w:rPr>
              <w:t>16</w:t>
            </w:r>
          </w:p>
        </w:tc>
        <w:tc>
          <w:tcPr>
            <w:tcW w:w="582" w:type="dxa"/>
          </w:tcPr>
          <w:p>
            <w:pPr>
              <w:pStyle w:val="TableParagraph"/>
              <w:spacing w:before="81"/>
              <w:ind w:right="73"/>
              <w:jc w:val="right"/>
              <w:rPr>
                <w:sz w:val="11"/>
              </w:rPr>
            </w:pPr>
            <w:r>
              <w:rPr>
                <w:sz w:val="11"/>
              </w:rPr>
              <w:t>2015</w:t>
            </w:r>
          </w:p>
        </w:tc>
        <w:tc>
          <w:tcPr>
            <w:tcW w:w="845" w:type="dxa"/>
          </w:tcPr>
          <w:p>
            <w:pPr>
              <w:pStyle w:val="TableParagraph"/>
              <w:spacing w:before="81"/>
              <w:ind w:left="79"/>
              <w:rPr>
                <w:sz w:val="11"/>
              </w:rPr>
            </w:pPr>
            <w:r>
              <w:rPr>
                <w:sz w:val="11"/>
              </w:rPr>
              <w:t>Quinquenal</w:t>
            </w:r>
          </w:p>
        </w:tc>
        <w:tc>
          <w:tcPr>
            <w:tcW w:w="725" w:type="dxa"/>
          </w:tcPr>
          <w:p>
            <w:pPr>
              <w:pStyle w:val="TableParagraph"/>
              <w:spacing w:before="81"/>
              <w:ind w:left="79" w:right="162"/>
              <w:rPr>
                <w:sz w:val="11"/>
              </w:rPr>
            </w:pPr>
            <w:r>
              <w:rPr>
                <w:sz w:val="11"/>
              </w:rPr>
              <w:t>Impacto Directo</w:t>
            </w:r>
          </w:p>
        </w:tc>
        <w:tc>
          <w:tcPr>
            <w:tcW w:w="2453" w:type="dxa"/>
          </w:tcPr>
          <w:p>
            <w:pPr>
              <w:pStyle w:val="TableParagraph"/>
              <w:rPr>
                <w:rFonts w:ascii="Times New Roman"/>
                <w:sz w:val="10"/>
              </w:rPr>
            </w:pPr>
          </w:p>
        </w:tc>
        <w:tc>
          <w:tcPr>
            <w:tcW w:w="2592" w:type="dxa"/>
          </w:tcPr>
          <w:p>
            <w:pPr>
              <w:pStyle w:val="TableParagraph"/>
              <w:spacing w:before="81"/>
              <w:ind w:left="76" w:right="181"/>
              <w:rPr>
                <w:sz w:val="11"/>
              </w:rPr>
            </w:pPr>
            <w:r>
              <w:rPr>
                <w:sz w:val="11"/>
              </w:rPr>
              <w:t>CONEVAL, Medición de pobreza municipal 2015</w:t>
            </w:r>
          </w:p>
        </w:tc>
      </w:tr>
      <w:tr>
        <w:trPr>
          <w:trHeight w:val="1072" w:hRule="atLeast"/>
        </w:trPr>
        <w:tc>
          <w:tcPr>
            <w:tcW w:w="1438" w:type="dxa"/>
          </w:tcPr>
          <w:p>
            <w:pPr>
              <w:pStyle w:val="TableParagraph"/>
              <w:spacing w:before="83"/>
              <w:ind w:left="79" w:right="79"/>
              <w:rPr>
                <w:sz w:val="11"/>
              </w:rPr>
            </w:pPr>
            <w:r>
              <w:rPr>
                <w:sz w:val="11"/>
              </w:rPr>
              <w:t>Porcentaje de la población con carencia por calidad y espacios en la vivienda</w:t>
            </w:r>
          </w:p>
        </w:tc>
        <w:tc>
          <w:tcPr>
            <w:tcW w:w="579" w:type="dxa"/>
          </w:tcPr>
          <w:p>
            <w:pPr>
              <w:pStyle w:val="TableParagraph"/>
              <w:spacing w:before="83"/>
              <w:ind w:left="78" w:right="58"/>
              <w:rPr>
                <w:sz w:val="11"/>
              </w:rPr>
            </w:pPr>
            <w:r>
              <w:rPr>
                <w:sz w:val="11"/>
              </w:rPr>
              <w:t>Porcent aje</w:t>
            </w:r>
          </w:p>
        </w:tc>
        <w:tc>
          <w:tcPr>
            <w:tcW w:w="447" w:type="dxa"/>
          </w:tcPr>
          <w:p>
            <w:pPr>
              <w:pStyle w:val="TableParagraph"/>
              <w:spacing w:before="83"/>
              <w:ind w:right="70"/>
              <w:jc w:val="right"/>
              <w:rPr>
                <w:sz w:val="11"/>
              </w:rPr>
            </w:pPr>
            <w:r>
              <w:rPr>
                <w:sz w:val="11"/>
              </w:rPr>
              <w:t>7.8</w:t>
            </w:r>
          </w:p>
        </w:tc>
        <w:tc>
          <w:tcPr>
            <w:tcW w:w="582" w:type="dxa"/>
          </w:tcPr>
          <w:p>
            <w:pPr>
              <w:pStyle w:val="TableParagraph"/>
              <w:spacing w:before="83"/>
              <w:ind w:right="73"/>
              <w:jc w:val="right"/>
              <w:rPr>
                <w:sz w:val="11"/>
              </w:rPr>
            </w:pPr>
            <w:r>
              <w:rPr>
                <w:sz w:val="11"/>
              </w:rPr>
              <w:t>2015</w:t>
            </w:r>
          </w:p>
        </w:tc>
        <w:tc>
          <w:tcPr>
            <w:tcW w:w="845" w:type="dxa"/>
          </w:tcPr>
          <w:p>
            <w:pPr>
              <w:pStyle w:val="TableParagraph"/>
              <w:spacing w:before="83"/>
              <w:ind w:left="79"/>
              <w:rPr>
                <w:sz w:val="11"/>
              </w:rPr>
            </w:pPr>
            <w:r>
              <w:rPr>
                <w:sz w:val="11"/>
              </w:rPr>
              <w:t>Quinquenal</w:t>
            </w:r>
          </w:p>
        </w:tc>
        <w:tc>
          <w:tcPr>
            <w:tcW w:w="725" w:type="dxa"/>
          </w:tcPr>
          <w:p>
            <w:pPr>
              <w:pStyle w:val="TableParagraph"/>
              <w:spacing w:before="83"/>
              <w:ind w:left="79" w:right="162"/>
              <w:rPr>
                <w:sz w:val="11"/>
              </w:rPr>
            </w:pPr>
            <w:r>
              <w:rPr>
                <w:sz w:val="11"/>
              </w:rPr>
              <w:t>Impacto Directo</w:t>
            </w:r>
          </w:p>
        </w:tc>
        <w:tc>
          <w:tcPr>
            <w:tcW w:w="2453" w:type="dxa"/>
          </w:tcPr>
          <w:p>
            <w:pPr>
              <w:pStyle w:val="TableParagraph"/>
              <w:rPr>
                <w:rFonts w:ascii="Times New Roman"/>
                <w:sz w:val="10"/>
              </w:rPr>
            </w:pPr>
          </w:p>
        </w:tc>
        <w:tc>
          <w:tcPr>
            <w:tcW w:w="2592" w:type="dxa"/>
          </w:tcPr>
          <w:p>
            <w:pPr>
              <w:pStyle w:val="TableParagraph"/>
              <w:spacing w:before="83"/>
              <w:ind w:left="76" w:right="181"/>
              <w:rPr>
                <w:sz w:val="11"/>
              </w:rPr>
            </w:pPr>
            <w:r>
              <w:rPr>
                <w:sz w:val="11"/>
              </w:rPr>
              <w:t>CONEVAL, Medición de pobreza municipal 2015</w:t>
            </w:r>
          </w:p>
        </w:tc>
      </w:tr>
      <w:tr>
        <w:trPr>
          <w:trHeight w:val="1559" w:hRule="atLeast"/>
        </w:trPr>
        <w:tc>
          <w:tcPr>
            <w:tcW w:w="1438" w:type="dxa"/>
            <w:shd w:val="clear" w:color="auto" w:fill="EDEDED"/>
          </w:tcPr>
          <w:p>
            <w:pPr>
              <w:pStyle w:val="TableParagraph"/>
              <w:spacing w:before="83"/>
              <w:ind w:left="79" w:right="385"/>
              <w:rPr>
                <w:sz w:val="11"/>
              </w:rPr>
            </w:pPr>
            <w:r>
              <w:rPr>
                <w:sz w:val="11"/>
              </w:rPr>
              <w:t>Porcentaje de la población derechohabiente</w:t>
            </w:r>
          </w:p>
        </w:tc>
        <w:tc>
          <w:tcPr>
            <w:tcW w:w="579" w:type="dxa"/>
            <w:shd w:val="clear" w:color="auto" w:fill="EDEDED"/>
          </w:tcPr>
          <w:p>
            <w:pPr>
              <w:pStyle w:val="TableParagraph"/>
              <w:spacing w:before="83"/>
              <w:ind w:left="78" w:right="58"/>
              <w:rPr>
                <w:sz w:val="11"/>
              </w:rPr>
            </w:pPr>
            <w:r>
              <w:rPr>
                <w:sz w:val="11"/>
              </w:rPr>
              <w:t>Porcent aje</w:t>
            </w:r>
          </w:p>
        </w:tc>
        <w:tc>
          <w:tcPr>
            <w:tcW w:w="447" w:type="dxa"/>
            <w:shd w:val="clear" w:color="auto" w:fill="EDEDED"/>
          </w:tcPr>
          <w:p>
            <w:pPr>
              <w:pStyle w:val="TableParagraph"/>
              <w:spacing w:before="83"/>
              <w:ind w:right="70"/>
              <w:jc w:val="right"/>
              <w:rPr>
                <w:sz w:val="11"/>
              </w:rPr>
            </w:pPr>
            <w:r>
              <w:rPr>
                <w:sz w:val="11"/>
              </w:rPr>
              <w:t>89.83</w:t>
            </w:r>
          </w:p>
        </w:tc>
        <w:tc>
          <w:tcPr>
            <w:tcW w:w="582" w:type="dxa"/>
            <w:shd w:val="clear" w:color="auto" w:fill="EDEDED"/>
          </w:tcPr>
          <w:p>
            <w:pPr>
              <w:pStyle w:val="TableParagraph"/>
              <w:spacing w:before="83"/>
              <w:ind w:right="73"/>
              <w:jc w:val="right"/>
              <w:rPr>
                <w:sz w:val="11"/>
              </w:rPr>
            </w:pPr>
            <w:r>
              <w:rPr>
                <w:sz w:val="11"/>
              </w:rPr>
              <w:t>2010</w:t>
            </w:r>
          </w:p>
        </w:tc>
        <w:tc>
          <w:tcPr>
            <w:tcW w:w="845" w:type="dxa"/>
            <w:shd w:val="clear" w:color="auto" w:fill="EDEDED"/>
          </w:tcPr>
          <w:p>
            <w:pPr>
              <w:pStyle w:val="TableParagraph"/>
              <w:spacing w:before="83"/>
              <w:ind w:left="79"/>
              <w:rPr>
                <w:sz w:val="11"/>
              </w:rPr>
            </w:pPr>
            <w:r>
              <w:rPr>
                <w:sz w:val="11"/>
              </w:rPr>
              <w:t>Quinquenal</w:t>
            </w:r>
          </w:p>
        </w:tc>
        <w:tc>
          <w:tcPr>
            <w:tcW w:w="725" w:type="dxa"/>
            <w:shd w:val="clear" w:color="auto" w:fill="EDEDED"/>
          </w:tcPr>
          <w:p>
            <w:pPr>
              <w:pStyle w:val="TableParagraph"/>
              <w:spacing w:before="83"/>
              <w:ind w:left="79"/>
              <w:rPr>
                <w:sz w:val="11"/>
              </w:rPr>
            </w:pPr>
            <w:r>
              <w:rPr>
                <w:sz w:val="11"/>
              </w:rPr>
              <w:t>Resultado</w:t>
            </w:r>
          </w:p>
        </w:tc>
        <w:tc>
          <w:tcPr>
            <w:tcW w:w="2453" w:type="dxa"/>
            <w:shd w:val="clear" w:color="auto" w:fill="EDEDED"/>
          </w:tcPr>
          <w:p>
            <w:pPr>
              <w:pStyle w:val="TableParagraph"/>
              <w:spacing w:before="9"/>
              <w:rPr>
                <w:rFonts w:ascii="Times New Roman"/>
                <w:sz w:val="19"/>
              </w:rPr>
            </w:pPr>
          </w:p>
          <w:p>
            <w:pPr>
              <w:pStyle w:val="TableParagraph"/>
              <w:spacing w:line="496" w:lineRule="auto"/>
              <w:ind w:left="76" w:right="118"/>
              <w:rPr>
                <w:sz w:val="11"/>
              </w:rPr>
            </w:pPr>
            <w:r>
              <w:rPr>
                <w:sz w:val="11"/>
              </w:rPr>
              <w:t>PobDH = [(∑_(j=1)^125 DH IMSSj )+ (∑_(j=1)^125 DH ISSSTEj )+ (∑_(j=1)^125 DHPM,DF,MRj )+ (∑_(j=1)^125 DH SP,NGj</w:t>
            </w:r>
            <w:r>
              <w:rPr>
                <w:spacing w:val="-12"/>
                <w:sz w:val="11"/>
              </w:rPr>
              <w:t> </w:t>
            </w:r>
            <w:r>
              <w:rPr>
                <w:sz w:val="11"/>
              </w:rPr>
              <w:t>)+</w:t>
            </w:r>
          </w:p>
          <w:p>
            <w:pPr>
              <w:pStyle w:val="TableParagraph"/>
              <w:spacing w:before="2"/>
              <w:ind w:left="76"/>
              <w:rPr>
                <w:sz w:val="11"/>
              </w:rPr>
            </w:pPr>
            <w:r>
              <w:rPr>
                <w:sz w:val="11"/>
              </w:rPr>
              <w:t>(∑_(j=1)^125 DH Privj )+ (∑_(j=1)^125 DH</w:t>
            </w:r>
            <w:r>
              <w:rPr>
                <w:spacing w:val="-14"/>
                <w:sz w:val="11"/>
              </w:rPr>
              <w:t> </w:t>
            </w:r>
            <w:r>
              <w:rPr>
                <w:sz w:val="11"/>
              </w:rPr>
              <w:t>Otj</w:t>
            </w:r>
          </w:p>
          <w:p>
            <w:pPr>
              <w:pStyle w:val="TableParagraph"/>
              <w:spacing w:before="6"/>
              <w:rPr>
                <w:rFonts w:ascii="Times New Roman"/>
                <w:sz w:val="12"/>
              </w:rPr>
            </w:pPr>
          </w:p>
          <w:p>
            <w:pPr>
              <w:pStyle w:val="TableParagraph"/>
              <w:ind w:left="76"/>
              <w:rPr>
                <w:sz w:val="11"/>
              </w:rPr>
            </w:pPr>
            <w:r>
              <w:rPr>
                <w:sz w:val="11"/>
              </w:rPr>
              <w:t>)]</w:t>
            </w:r>
          </w:p>
        </w:tc>
        <w:tc>
          <w:tcPr>
            <w:tcW w:w="2592" w:type="dxa"/>
            <w:shd w:val="clear" w:color="auto" w:fill="EDEDED"/>
          </w:tcPr>
          <w:p>
            <w:pPr>
              <w:pStyle w:val="TableParagraph"/>
              <w:spacing w:before="83"/>
              <w:ind w:left="76" w:right="92"/>
              <w:rPr>
                <w:sz w:val="11"/>
              </w:rPr>
            </w:pPr>
            <w:r>
              <w:rPr>
                <w:sz w:val="11"/>
              </w:rPr>
              <w:t>IIEG, Instituto de Información Estadística y Geográfica del estado de Jalisco, con datos de INEGI, Encuesta Intercensal 2015.</w:t>
            </w:r>
          </w:p>
        </w:tc>
      </w:tr>
      <w:tr>
        <w:trPr>
          <w:trHeight w:val="700" w:hRule="atLeast"/>
        </w:trPr>
        <w:tc>
          <w:tcPr>
            <w:tcW w:w="1438" w:type="dxa"/>
          </w:tcPr>
          <w:p>
            <w:pPr>
              <w:pStyle w:val="TableParagraph"/>
              <w:spacing w:before="83"/>
              <w:ind w:left="79" w:right="106"/>
              <w:rPr>
                <w:sz w:val="11"/>
              </w:rPr>
            </w:pPr>
            <w:r>
              <w:rPr>
                <w:sz w:val="11"/>
              </w:rPr>
              <w:t>Porcentaje de la población en situación de pobreza extrema</w:t>
            </w:r>
          </w:p>
        </w:tc>
        <w:tc>
          <w:tcPr>
            <w:tcW w:w="579" w:type="dxa"/>
          </w:tcPr>
          <w:p>
            <w:pPr>
              <w:pStyle w:val="TableParagraph"/>
              <w:spacing w:before="83"/>
              <w:ind w:left="78" w:right="58"/>
              <w:rPr>
                <w:sz w:val="11"/>
              </w:rPr>
            </w:pPr>
            <w:r>
              <w:rPr>
                <w:sz w:val="11"/>
              </w:rPr>
              <w:t>Porcent aje</w:t>
            </w:r>
          </w:p>
        </w:tc>
        <w:tc>
          <w:tcPr>
            <w:tcW w:w="447" w:type="dxa"/>
          </w:tcPr>
          <w:p>
            <w:pPr>
              <w:pStyle w:val="TableParagraph"/>
              <w:spacing w:before="83"/>
              <w:ind w:right="70"/>
              <w:jc w:val="right"/>
              <w:rPr>
                <w:sz w:val="11"/>
              </w:rPr>
            </w:pPr>
            <w:r>
              <w:rPr>
                <w:sz w:val="11"/>
              </w:rPr>
              <w:t>4.2</w:t>
            </w:r>
          </w:p>
        </w:tc>
        <w:tc>
          <w:tcPr>
            <w:tcW w:w="582" w:type="dxa"/>
          </w:tcPr>
          <w:p>
            <w:pPr>
              <w:pStyle w:val="TableParagraph"/>
              <w:spacing w:before="83"/>
              <w:ind w:right="73"/>
              <w:jc w:val="right"/>
              <w:rPr>
                <w:sz w:val="11"/>
              </w:rPr>
            </w:pPr>
            <w:r>
              <w:rPr>
                <w:sz w:val="11"/>
              </w:rPr>
              <w:t>2015</w:t>
            </w:r>
          </w:p>
        </w:tc>
        <w:tc>
          <w:tcPr>
            <w:tcW w:w="845" w:type="dxa"/>
          </w:tcPr>
          <w:p>
            <w:pPr>
              <w:pStyle w:val="TableParagraph"/>
              <w:spacing w:before="83"/>
              <w:ind w:left="79"/>
              <w:rPr>
                <w:sz w:val="11"/>
              </w:rPr>
            </w:pPr>
            <w:r>
              <w:rPr>
                <w:sz w:val="11"/>
              </w:rPr>
              <w:t>Quinquenal</w:t>
            </w:r>
          </w:p>
        </w:tc>
        <w:tc>
          <w:tcPr>
            <w:tcW w:w="725" w:type="dxa"/>
          </w:tcPr>
          <w:p>
            <w:pPr>
              <w:pStyle w:val="TableParagraph"/>
              <w:spacing w:before="83"/>
              <w:ind w:left="79" w:right="162"/>
              <w:rPr>
                <w:sz w:val="11"/>
              </w:rPr>
            </w:pPr>
            <w:r>
              <w:rPr>
                <w:sz w:val="11"/>
              </w:rPr>
              <w:t>Impacto Directo</w:t>
            </w:r>
          </w:p>
        </w:tc>
        <w:tc>
          <w:tcPr>
            <w:tcW w:w="2453" w:type="dxa"/>
          </w:tcPr>
          <w:p>
            <w:pPr>
              <w:pStyle w:val="TableParagraph"/>
              <w:spacing w:before="9"/>
              <w:rPr>
                <w:rFonts w:ascii="Times New Roman"/>
                <w:sz w:val="19"/>
              </w:rPr>
            </w:pPr>
          </w:p>
          <w:p>
            <w:pPr>
              <w:pStyle w:val="TableParagraph"/>
              <w:ind w:left="76"/>
              <w:rPr>
                <w:sz w:val="11"/>
              </w:rPr>
            </w:pPr>
            <w:r>
              <w:rPr>
                <w:sz w:val="11"/>
              </w:rPr>
              <w:t>PPE=(PPE/PT)*100P</w:t>
            </w:r>
          </w:p>
        </w:tc>
        <w:tc>
          <w:tcPr>
            <w:tcW w:w="2592" w:type="dxa"/>
          </w:tcPr>
          <w:p>
            <w:pPr>
              <w:pStyle w:val="TableParagraph"/>
              <w:spacing w:before="83"/>
              <w:ind w:left="76" w:right="181"/>
              <w:rPr>
                <w:sz w:val="11"/>
              </w:rPr>
            </w:pPr>
            <w:r>
              <w:rPr>
                <w:sz w:val="11"/>
              </w:rPr>
              <w:t>CONEVAL, Medición de pobreza municipal 2015.</w:t>
            </w:r>
          </w:p>
        </w:tc>
      </w:tr>
      <w:tr>
        <w:trPr>
          <w:trHeight w:val="969" w:hRule="atLeast"/>
        </w:trPr>
        <w:tc>
          <w:tcPr>
            <w:tcW w:w="1438" w:type="dxa"/>
            <w:shd w:val="clear" w:color="auto" w:fill="EDEDED"/>
          </w:tcPr>
          <w:p>
            <w:pPr>
              <w:pStyle w:val="TableParagraph"/>
              <w:spacing w:before="81"/>
              <w:ind w:left="79" w:right="96"/>
              <w:rPr>
                <w:sz w:val="11"/>
              </w:rPr>
            </w:pPr>
            <w:r>
              <w:rPr>
                <w:sz w:val="11"/>
              </w:rPr>
              <w:t>Porcentaje de la población en situación de pobreza moderada</w:t>
            </w:r>
          </w:p>
        </w:tc>
        <w:tc>
          <w:tcPr>
            <w:tcW w:w="579" w:type="dxa"/>
            <w:shd w:val="clear" w:color="auto" w:fill="EDEDED"/>
          </w:tcPr>
          <w:p>
            <w:pPr>
              <w:pStyle w:val="TableParagraph"/>
              <w:spacing w:before="81"/>
              <w:ind w:left="78" w:right="58"/>
              <w:rPr>
                <w:sz w:val="11"/>
              </w:rPr>
            </w:pPr>
            <w:r>
              <w:rPr>
                <w:sz w:val="11"/>
              </w:rPr>
              <w:t>Porcent aje</w:t>
            </w:r>
          </w:p>
        </w:tc>
        <w:tc>
          <w:tcPr>
            <w:tcW w:w="447" w:type="dxa"/>
            <w:shd w:val="clear" w:color="auto" w:fill="EDEDED"/>
          </w:tcPr>
          <w:p>
            <w:pPr>
              <w:pStyle w:val="TableParagraph"/>
              <w:spacing w:before="81"/>
              <w:ind w:right="70"/>
              <w:jc w:val="right"/>
              <w:rPr>
                <w:sz w:val="11"/>
              </w:rPr>
            </w:pPr>
            <w:r>
              <w:rPr>
                <w:sz w:val="11"/>
              </w:rPr>
              <w:t>43.9</w:t>
            </w:r>
          </w:p>
        </w:tc>
        <w:tc>
          <w:tcPr>
            <w:tcW w:w="582" w:type="dxa"/>
            <w:shd w:val="clear" w:color="auto" w:fill="EDEDED"/>
          </w:tcPr>
          <w:p>
            <w:pPr>
              <w:pStyle w:val="TableParagraph"/>
              <w:spacing w:before="81"/>
              <w:ind w:right="73"/>
              <w:jc w:val="right"/>
              <w:rPr>
                <w:sz w:val="11"/>
              </w:rPr>
            </w:pPr>
            <w:r>
              <w:rPr>
                <w:sz w:val="11"/>
              </w:rPr>
              <w:t>2015</w:t>
            </w:r>
          </w:p>
        </w:tc>
        <w:tc>
          <w:tcPr>
            <w:tcW w:w="845" w:type="dxa"/>
            <w:shd w:val="clear" w:color="auto" w:fill="EDEDED"/>
          </w:tcPr>
          <w:p>
            <w:pPr>
              <w:pStyle w:val="TableParagraph"/>
              <w:spacing w:before="81"/>
              <w:ind w:left="79"/>
              <w:rPr>
                <w:sz w:val="11"/>
              </w:rPr>
            </w:pPr>
            <w:r>
              <w:rPr>
                <w:sz w:val="11"/>
              </w:rPr>
              <w:t>Quinquenal</w:t>
            </w:r>
          </w:p>
        </w:tc>
        <w:tc>
          <w:tcPr>
            <w:tcW w:w="725" w:type="dxa"/>
            <w:shd w:val="clear" w:color="auto" w:fill="EDEDED"/>
          </w:tcPr>
          <w:p>
            <w:pPr>
              <w:pStyle w:val="TableParagraph"/>
              <w:spacing w:before="81"/>
              <w:ind w:left="79" w:right="162"/>
              <w:rPr>
                <w:sz w:val="11"/>
              </w:rPr>
            </w:pPr>
            <w:r>
              <w:rPr>
                <w:sz w:val="11"/>
              </w:rPr>
              <w:t>Impacto Directo</w:t>
            </w:r>
          </w:p>
        </w:tc>
        <w:tc>
          <w:tcPr>
            <w:tcW w:w="2453" w:type="dxa"/>
            <w:shd w:val="clear" w:color="auto" w:fill="EDEDED"/>
          </w:tcPr>
          <w:p>
            <w:pPr>
              <w:pStyle w:val="TableParagraph"/>
              <w:spacing w:before="6"/>
              <w:rPr>
                <w:rFonts w:ascii="Times New Roman"/>
                <w:sz w:val="19"/>
              </w:rPr>
            </w:pPr>
          </w:p>
          <w:p>
            <w:pPr>
              <w:pStyle w:val="TableParagraph"/>
              <w:ind w:left="76"/>
              <w:rPr>
                <w:sz w:val="11"/>
              </w:rPr>
            </w:pPr>
            <w:r>
              <w:rPr>
                <w:sz w:val="11"/>
              </w:rPr>
              <w:t>PPM=PPP-PPPE</w:t>
            </w:r>
          </w:p>
        </w:tc>
        <w:tc>
          <w:tcPr>
            <w:tcW w:w="2592" w:type="dxa"/>
          </w:tcPr>
          <w:p>
            <w:pPr>
              <w:pStyle w:val="TableParagraph"/>
              <w:spacing w:before="81"/>
              <w:ind w:left="76" w:right="181"/>
              <w:rPr>
                <w:sz w:val="11"/>
              </w:rPr>
            </w:pPr>
            <w:r>
              <w:rPr>
                <w:sz w:val="11"/>
              </w:rPr>
              <w:t>CONEVAL, Medición de pobreza municipal 2015</w:t>
            </w:r>
          </w:p>
        </w:tc>
      </w:tr>
      <w:tr>
        <w:trPr>
          <w:trHeight w:val="724" w:hRule="atLeast"/>
        </w:trPr>
        <w:tc>
          <w:tcPr>
            <w:tcW w:w="1438" w:type="dxa"/>
          </w:tcPr>
          <w:p>
            <w:pPr>
              <w:pStyle w:val="TableParagraph"/>
              <w:spacing w:before="83"/>
              <w:ind w:left="79" w:right="144"/>
              <w:rPr>
                <w:sz w:val="11"/>
              </w:rPr>
            </w:pPr>
            <w:r>
              <w:rPr>
                <w:sz w:val="11"/>
              </w:rPr>
              <w:t>Porcentaje de la población vulnerable por carencias sociales</w:t>
            </w:r>
          </w:p>
        </w:tc>
        <w:tc>
          <w:tcPr>
            <w:tcW w:w="579" w:type="dxa"/>
          </w:tcPr>
          <w:p>
            <w:pPr>
              <w:pStyle w:val="TableParagraph"/>
              <w:spacing w:before="83"/>
              <w:ind w:left="78" w:right="58"/>
              <w:rPr>
                <w:sz w:val="11"/>
              </w:rPr>
            </w:pPr>
            <w:r>
              <w:rPr>
                <w:sz w:val="11"/>
              </w:rPr>
              <w:t>Porcent aje</w:t>
            </w:r>
          </w:p>
        </w:tc>
        <w:tc>
          <w:tcPr>
            <w:tcW w:w="447" w:type="dxa"/>
          </w:tcPr>
          <w:p>
            <w:pPr>
              <w:pStyle w:val="TableParagraph"/>
              <w:spacing w:before="83"/>
              <w:ind w:right="70"/>
              <w:jc w:val="right"/>
              <w:rPr>
                <w:sz w:val="11"/>
              </w:rPr>
            </w:pPr>
            <w:r>
              <w:rPr>
                <w:sz w:val="11"/>
              </w:rPr>
              <w:t>32.7</w:t>
            </w:r>
          </w:p>
        </w:tc>
        <w:tc>
          <w:tcPr>
            <w:tcW w:w="582" w:type="dxa"/>
          </w:tcPr>
          <w:p>
            <w:pPr>
              <w:pStyle w:val="TableParagraph"/>
              <w:spacing w:before="83"/>
              <w:ind w:right="73"/>
              <w:jc w:val="right"/>
              <w:rPr>
                <w:sz w:val="11"/>
              </w:rPr>
            </w:pPr>
            <w:r>
              <w:rPr>
                <w:sz w:val="11"/>
              </w:rPr>
              <w:t>2015</w:t>
            </w:r>
          </w:p>
        </w:tc>
        <w:tc>
          <w:tcPr>
            <w:tcW w:w="845" w:type="dxa"/>
          </w:tcPr>
          <w:p>
            <w:pPr>
              <w:pStyle w:val="TableParagraph"/>
              <w:spacing w:before="83"/>
              <w:ind w:left="79"/>
              <w:rPr>
                <w:sz w:val="11"/>
              </w:rPr>
            </w:pPr>
            <w:r>
              <w:rPr>
                <w:sz w:val="11"/>
              </w:rPr>
              <w:t>Quinquenal</w:t>
            </w:r>
          </w:p>
        </w:tc>
        <w:tc>
          <w:tcPr>
            <w:tcW w:w="725" w:type="dxa"/>
          </w:tcPr>
          <w:p>
            <w:pPr>
              <w:pStyle w:val="TableParagraph"/>
              <w:spacing w:before="83"/>
              <w:ind w:left="79" w:right="162"/>
              <w:rPr>
                <w:sz w:val="11"/>
              </w:rPr>
            </w:pPr>
            <w:r>
              <w:rPr>
                <w:sz w:val="11"/>
              </w:rPr>
              <w:t>Impacto Directo</w:t>
            </w:r>
          </w:p>
        </w:tc>
        <w:tc>
          <w:tcPr>
            <w:tcW w:w="2453" w:type="dxa"/>
          </w:tcPr>
          <w:p>
            <w:pPr>
              <w:pStyle w:val="TableParagraph"/>
              <w:spacing w:before="9"/>
              <w:rPr>
                <w:rFonts w:ascii="Times New Roman"/>
                <w:sz w:val="19"/>
              </w:rPr>
            </w:pPr>
          </w:p>
          <w:p>
            <w:pPr>
              <w:pStyle w:val="TableParagraph"/>
              <w:ind w:left="76"/>
              <w:rPr>
                <w:sz w:val="11"/>
              </w:rPr>
            </w:pPr>
            <w:r>
              <w:rPr>
                <w:sz w:val="11"/>
              </w:rPr>
              <w:t>PPVCS=(PVCS/PT)*100</w:t>
            </w:r>
          </w:p>
        </w:tc>
        <w:tc>
          <w:tcPr>
            <w:tcW w:w="2592" w:type="dxa"/>
          </w:tcPr>
          <w:p>
            <w:pPr>
              <w:pStyle w:val="TableParagraph"/>
              <w:spacing w:before="83"/>
              <w:ind w:left="76" w:right="181"/>
              <w:rPr>
                <w:sz w:val="11"/>
              </w:rPr>
            </w:pPr>
            <w:r>
              <w:rPr>
                <w:sz w:val="11"/>
              </w:rPr>
              <w:t>CONEVAL, Medición de pobreza municipal 2015</w:t>
            </w:r>
          </w:p>
        </w:tc>
      </w:tr>
      <w:tr>
        <w:trPr>
          <w:trHeight w:val="969" w:hRule="atLeast"/>
        </w:trPr>
        <w:tc>
          <w:tcPr>
            <w:tcW w:w="1438" w:type="dxa"/>
            <w:shd w:val="clear" w:color="auto" w:fill="EDEDED"/>
          </w:tcPr>
          <w:p>
            <w:pPr>
              <w:pStyle w:val="TableParagraph"/>
              <w:spacing w:line="276" w:lineRule="auto" w:before="81"/>
              <w:ind w:left="79" w:right="186"/>
              <w:rPr>
                <w:sz w:val="11"/>
              </w:rPr>
            </w:pPr>
            <w:r>
              <w:rPr>
                <w:sz w:val="11"/>
              </w:rPr>
              <w:t>Porcentaje de la población vulnerable por ingresos</w:t>
            </w:r>
          </w:p>
        </w:tc>
        <w:tc>
          <w:tcPr>
            <w:tcW w:w="579" w:type="dxa"/>
            <w:shd w:val="clear" w:color="auto" w:fill="EDEDED"/>
          </w:tcPr>
          <w:p>
            <w:pPr>
              <w:pStyle w:val="TableParagraph"/>
              <w:spacing w:line="278" w:lineRule="auto" w:before="81"/>
              <w:ind w:left="78" w:right="58"/>
              <w:rPr>
                <w:sz w:val="11"/>
              </w:rPr>
            </w:pPr>
            <w:r>
              <w:rPr>
                <w:sz w:val="11"/>
              </w:rPr>
              <w:t>Porcent aje</w:t>
            </w:r>
          </w:p>
        </w:tc>
        <w:tc>
          <w:tcPr>
            <w:tcW w:w="447" w:type="dxa"/>
            <w:shd w:val="clear" w:color="auto" w:fill="EDEDED"/>
          </w:tcPr>
          <w:p>
            <w:pPr>
              <w:pStyle w:val="TableParagraph"/>
              <w:spacing w:before="81"/>
              <w:ind w:right="70"/>
              <w:jc w:val="right"/>
              <w:rPr>
                <w:sz w:val="11"/>
              </w:rPr>
            </w:pPr>
            <w:r>
              <w:rPr>
                <w:sz w:val="11"/>
              </w:rPr>
              <w:t>5.5</w:t>
            </w:r>
          </w:p>
        </w:tc>
        <w:tc>
          <w:tcPr>
            <w:tcW w:w="582" w:type="dxa"/>
            <w:shd w:val="clear" w:color="auto" w:fill="EDEDED"/>
          </w:tcPr>
          <w:p>
            <w:pPr>
              <w:pStyle w:val="TableParagraph"/>
              <w:spacing w:before="81"/>
              <w:ind w:right="73"/>
              <w:jc w:val="right"/>
              <w:rPr>
                <w:sz w:val="11"/>
              </w:rPr>
            </w:pPr>
            <w:r>
              <w:rPr>
                <w:sz w:val="11"/>
              </w:rPr>
              <w:t>2015</w:t>
            </w:r>
          </w:p>
        </w:tc>
        <w:tc>
          <w:tcPr>
            <w:tcW w:w="845" w:type="dxa"/>
            <w:shd w:val="clear" w:color="auto" w:fill="EDEDED"/>
          </w:tcPr>
          <w:p>
            <w:pPr>
              <w:pStyle w:val="TableParagraph"/>
              <w:spacing w:before="81"/>
              <w:ind w:left="79"/>
              <w:rPr>
                <w:sz w:val="11"/>
              </w:rPr>
            </w:pPr>
            <w:r>
              <w:rPr>
                <w:sz w:val="11"/>
              </w:rPr>
              <w:t>Quinquenal</w:t>
            </w:r>
          </w:p>
        </w:tc>
        <w:tc>
          <w:tcPr>
            <w:tcW w:w="725" w:type="dxa"/>
            <w:shd w:val="clear" w:color="auto" w:fill="EDEDED"/>
          </w:tcPr>
          <w:p>
            <w:pPr>
              <w:pStyle w:val="TableParagraph"/>
              <w:spacing w:before="81"/>
              <w:ind w:left="79" w:right="162"/>
              <w:rPr>
                <w:sz w:val="11"/>
              </w:rPr>
            </w:pPr>
            <w:r>
              <w:rPr>
                <w:sz w:val="11"/>
              </w:rPr>
              <w:t>Impacto Directo</w:t>
            </w:r>
          </w:p>
        </w:tc>
        <w:tc>
          <w:tcPr>
            <w:tcW w:w="2453" w:type="dxa"/>
            <w:shd w:val="clear" w:color="auto" w:fill="EDEDED"/>
          </w:tcPr>
          <w:p>
            <w:pPr>
              <w:pStyle w:val="TableParagraph"/>
              <w:spacing w:before="6"/>
              <w:rPr>
                <w:rFonts w:ascii="Times New Roman"/>
                <w:sz w:val="19"/>
              </w:rPr>
            </w:pPr>
          </w:p>
          <w:p>
            <w:pPr>
              <w:pStyle w:val="TableParagraph"/>
              <w:ind w:left="76"/>
              <w:rPr>
                <w:sz w:val="11"/>
              </w:rPr>
            </w:pPr>
            <w:r>
              <w:rPr>
                <w:sz w:val="11"/>
              </w:rPr>
              <w:t>PPVI=(PVI/PT)*100</w:t>
            </w:r>
          </w:p>
        </w:tc>
        <w:tc>
          <w:tcPr>
            <w:tcW w:w="2592" w:type="dxa"/>
          </w:tcPr>
          <w:p>
            <w:pPr>
              <w:pStyle w:val="TableParagraph"/>
              <w:spacing w:before="81"/>
              <w:ind w:left="76" w:right="181"/>
              <w:rPr>
                <w:sz w:val="11"/>
              </w:rPr>
            </w:pPr>
            <w:r>
              <w:rPr>
                <w:sz w:val="11"/>
              </w:rPr>
              <w:t>CONEVAL, Medición de pobreza municipal 2015</w:t>
            </w:r>
          </w:p>
        </w:tc>
      </w:tr>
      <w:tr>
        <w:trPr>
          <w:trHeight w:val="1171" w:hRule="atLeast"/>
        </w:trPr>
        <w:tc>
          <w:tcPr>
            <w:tcW w:w="1438" w:type="dxa"/>
          </w:tcPr>
          <w:p>
            <w:pPr>
              <w:pStyle w:val="TableParagraph"/>
              <w:spacing w:before="83"/>
              <w:ind w:left="79" w:right="106"/>
              <w:rPr>
                <w:sz w:val="11"/>
              </w:rPr>
            </w:pPr>
            <w:r>
              <w:rPr>
                <w:sz w:val="11"/>
              </w:rPr>
              <w:t>Porcentaje de población en situación de pobreza</w:t>
            </w:r>
          </w:p>
        </w:tc>
        <w:tc>
          <w:tcPr>
            <w:tcW w:w="579" w:type="dxa"/>
          </w:tcPr>
          <w:p>
            <w:pPr>
              <w:pStyle w:val="TableParagraph"/>
              <w:spacing w:before="83"/>
              <w:ind w:left="78" w:right="58"/>
              <w:rPr>
                <w:sz w:val="11"/>
              </w:rPr>
            </w:pPr>
            <w:r>
              <w:rPr>
                <w:sz w:val="11"/>
              </w:rPr>
              <w:t>Porcent aje</w:t>
            </w:r>
          </w:p>
        </w:tc>
        <w:tc>
          <w:tcPr>
            <w:tcW w:w="447" w:type="dxa"/>
          </w:tcPr>
          <w:p>
            <w:pPr>
              <w:pStyle w:val="TableParagraph"/>
              <w:spacing w:before="83"/>
              <w:ind w:right="70"/>
              <w:jc w:val="right"/>
              <w:rPr>
                <w:sz w:val="11"/>
              </w:rPr>
            </w:pPr>
            <w:r>
              <w:rPr>
                <w:sz w:val="11"/>
              </w:rPr>
              <w:t>48.1</w:t>
            </w:r>
          </w:p>
        </w:tc>
        <w:tc>
          <w:tcPr>
            <w:tcW w:w="582" w:type="dxa"/>
          </w:tcPr>
          <w:p>
            <w:pPr>
              <w:pStyle w:val="TableParagraph"/>
              <w:spacing w:before="83"/>
              <w:ind w:right="73"/>
              <w:jc w:val="right"/>
              <w:rPr>
                <w:sz w:val="11"/>
              </w:rPr>
            </w:pPr>
            <w:r>
              <w:rPr>
                <w:sz w:val="11"/>
              </w:rPr>
              <w:t>2015</w:t>
            </w:r>
          </w:p>
        </w:tc>
        <w:tc>
          <w:tcPr>
            <w:tcW w:w="845" w:type="dxa"/>
          </w:tcPr>
          <w:p>
            <w:pPr>
              <w:pStyle w:val="TableParagraph"/>
              <w:spacing w:before="83"/>
              <w:ind w:left="79"/>
              <w:rPr>
                <w:sz w:val="11"/>
              </w:rPr>
            </w:pPr>
            <w:r>
              <w:rPr>
                <w:sz w:val="11"/>
              </w:rPr>
              <w:t>Quinquenal</w:t>
            </w:r>
          </w:p>
        </w:tc>
        <w:tc>
          <w:tcPr>
            <w:tcW w:w="725" w:type="dxa"/>
          </w:tcPr>
          <w:p>
            <w:pPr>
              <w:pStyle w:val="TableParagraph"/>
              <w:spacing w:before="83"/>
              <w:ind w:left="79" w:right="162"/>
              <w:rPr>
                <w:sz w:val="11"/>
              </w:rPr>
            </w:pPr>
            <w:r>
              <w:rPr>
                <w:sz w:val="11"/>
              </w:rPr>
              <w:t>Impacto Directo</w:t>
            </w:r>
          </w:p>
        </w:tc>
        <w:tc>
          <w:tcPr>
            <w:tcW w:w="2453" w:type="dxa"/>
          </w:tcPr>
          <w:p>
            <w:pPr>
              <w:pStyle w:val="TableParagraph"/>
              <w:spacing w:before="9"/>
              <w:rPr>
                <w:rFonts w:ascii="Times New Roman"/>
                <w:sz w:val="19"/>
              </w:rPr>
            </w:pPr>
          </w:p>
          <w:p>
            <w:pPr>
              <w:pStyle w:val="TableParagraph"/>
              <w:ind w:left="76"/>
              <w:rPr>
                <w:sz w:val="11"/>
              </w:rPr>
            </w:pPr>
            <w:r>
              <w:rPr>
                <w:sz w:val="11"/>
              </w:rPr>
              <w:t>PPP=(PP/PT)*100</w:t>
            </w:r>
          </w:p>
        </w:tc>
        <w:tc>
          <w:tcPr>
            <w:tcW w:w="2592" w:type="dxa"/>
          </w:tcPr>
          <w:p>
            <w:pPr>
              <w:pStyle w:val="TableParagraph"/>
              <w:spacing w:before="83"/>
              <w:ind w:left="76" w:right="181"/>
              <w:rPr>
                <w:sz w:val="11"/>
              </w:rPr>
            </w:pPr>
            <w:r>
              <w:rPr>
                <w:sz w:val="11"/>
              </w:rPr>
              <w:t>CONEVAL, Medición de pobreza municipal 2015</w:t>
            </w:r>
          </w:p>
        </w:tc>
      </w:tr>
      <w:tr>
        <w:trPr>
          <w:trHeight w:val="969" w:hRule="atLeast"/>
        </w:trPr>
        <w:tc>
          <w:tcPr>
            <w:tcW w:w="1438" w:type="dxa"/>
            <w:shd w:val="clear" w:color="auto" w:fill="EDEDED"/>
          </w:tcPr>
          <w:p>
            <w:pPr>
              <w:pStyle w:val="TableParagraph"/>
              <w:spacing w:before="83"/>
              <w:ind w:left="79" w:right="191"/>
              <w:rPr>
                <w:sz w:val="11"/>
              </w:rPr>
            </w:pPr>
            <w:r>
              <w:rPr>
                <w:sz w:val="11"/>
              </w:rPr>
              <w:t>Porcentaje de población rural beneficiada con infraestructura social básica por programa FISE</w:t>
            </w:r>
          </w:p>
        </w:tc>
        <w:tc>
          <w:tcPr>
            <w:tcW w:w="579" w:type="dxa"/>
            <w:shd w:val="clear" w:color="auto" w:fill="EDEDED"/>
          </w:tcPr>
          <w:p>
            <w:pPr>
              <w:pStyle w:val="TableParagraph"/>
              <w:spacing w:before="83"/>
              <w:ind w:left="78" w:right="58"/>
              <w:rPr>
                <w:sz w:val="11"/>
              </w:rPr>
            </w:pPr>
            <w:r>
              <w:rPr>
                <w:sz w:val="11"/>
              </w:rPr>
              <w:t>Porcent aje</w:t>
            </w:r>
          </w:p>
        </w:tc>
        <w:tc>
          <w:tcPr>
            <w:tcW w:w="447" w:type="dxa"/>
            <w:shd w:val="clear" w:color="auto" w:fill="EDEDED"/>
          </w:tcPr>
          <w:p>
            <w:pPr>
              <w:pStyle w:val="TableParagraph"/>
              <w:spacing w:before="83"/>
              <w:ind w:right="70"/>
              <w:jc w:val="right"/>
              <w:rPr>
                <w:sz w:val="11"/>
              </w:rPr>
            </w:pPr>
            <w:r>
              <w:rPr>
                <w:sz w:val="11"/>
              </w:rPr>
              <w:t>2030</w:t>
            </w:r>
          </w:p>
        </w:tc>
        <w:tc>
          <w:tcPr>
            <w:tcW w:w="582" w:type="dxa"/>
            <w:shd w:val="clear" w:color="auto" w:fill="EDEDED"/>
          </w:tcPr>
          <w:p>
            <w:pPr>
              <w:pStyle w:val="TableParagraph"/>
              <w:spacing w:before="83"/>
              <w:ind w:right="73"/>
              <w:jc w:val="right"/>
              <w:rPr>
                <w:sz w:val="11"/>
              </w:rPr>
            </w:pPr>
            <w:r>
              <w:rPr>
                <w:sz w:val="11"/>
              </w:rPr>
              <w:t>2016</w:t>
            </w:r>
          </w:p>
        </w:tc>
        <w:tc>
          <w:tcPr>
            <w:tcW w:w="845" w:type="dxa"/>
            <w:shd w:val="clear" w:color="auto" w:fill="EDEDED"/>
          </w:tcPr>
          <w:p>
            <w:pPr>
              <w:pStyle w:val="TableParagraph"/>
              <w:spacing w:before="83"/>
              <w:ind w:left="79"/>
              <w:rPr>
                <w:sz w:val="11"/>
              </w:rPr>
            </w:pPr>
            <w:r>
              <w:rPr>
                <w:sz w:val="11"/>
              </w:rPr>
              <w:t>Mensual</w:t>
            </w:r>
          </w:p>
        </w:tc>
        <w:tc>
          <w:tcPr>
            <w:tcW w:w="725" w:type="dxa"/>
            <w:shd w:val="clear" w:color="auto" w:fill="EDEDED"/>
          </w:tcPr>
          <w:p>
            <w:pPr>
              <w:pStyle w:val="TableParagraph"/>
              <w:spacing w:before="83"/>
              <w:ind w:left="79"/>
              <w:rPr>
                <w:sz w:val="11"/>
              </w:rPr>
            </w:pPr>
            <w:r>
              <w:rPr>
                <w:sz w:val="11"/>
              </w:rPr>
              <w:t>Resultado</w:t>
            </w:r>
          </w:p>
        </w:tc>
        <w:tc>
          <w:tcPr>
            <w:tcW w:w="2453" w:type="dxa"/>
            <w:shd w:val="clear" w:color="auto" w:fill="EDEDED"/>
          </w:tcPr>
          <w:p>
            <w:pPr>
              <w:pStyle w:val="TableParagraph"/>
              <w:spacing w:before="9"/>
              <w:rPr>
                <w:rFonts w:ascii="Times New Roman"/>
                <w:sz w:val="19"/>
              </w:rPr>
            </w:pPr>
          </w:p>
          <w:p>
            <w:pPr>
              <w:pStyle w:val="TableParagraph"/>
              <w:ind w:left="76"/>
              <w:rPr>
                <w:sz w:val="11"/>
              </w:rPr>
            </w:pPr>
            <w:r>
              <w:rPr>
                <w:sz w:val="11"/>
              </w:rPr>
              <w:t>PRBFISE = [(NPBCO/NTPLR)100]</w:t>
            </w:r>
          </w:p>
        </w:tc>
        <w:tc>
          <w:tcPr>
            <w:tcW w:w="2592" w:type="dxa"/>
            <w:shd w:val="clear" w:color="auto" w:fill="EDEDED"/>
          </w:tcPr>
          <w:p>
            <w:pPr>
              <w:pStyle w:val="TableParagraph"/>
              <w:spacing w:before="83"/>
              <w:ind w:left="76" w:right="265"/>
              <w:rPr>
                <w:sz w:val="11"/>
              </w:rPr>
            </w:pPr>
            <w:r>
              <w:rPr>
                <w:sz w:val="11"/>
              </w:rPr>
              <w:t>Programa Operativo Anual; Informe de obras, convenios de obras; Programa FISE 2018. Consejo Nacional de Población - CONAPO.</w:t>
            </w:r>
          </w:p>
        </w:tc>
      </w:tr>
      <w:tr>
        <w:trPr>
          <w:trHeight w:val="652" w:hRule="atLeast"/>
        </w:trPr>
        <w:tc>
          <w:tcPr>
            <w:tcW w:w="1438" w:type="dxa"/>
          </w:tcPr>
          <w:p>
            <w:pPr>
              <w:pStyle w:val="TableParagraph"/>
              <w:spacing w:before="83"/>
              <w:ind w:left="79" w:right="410"/>
              <w:rPr>
                <w:sz w:val="11"/>
              </w:rPr>
            </w:pPr>
            <w:r>
              <w:rPr>
                <w:sz w:val="11"/>
              </w:rPr>
              <w:t>Porcentaje de viviendas propias</w:t>
            </w:r>
          </w:p>
        </w:tc>
        <w:tc>
          <w:tcPr>
            <w:tcW w:w="579" w:type="dxa"/>
          </w:tcPr>
          <w:p>
            <w:pPr>
              <w:pStyle w:val="TableParagraph"/>
              <w:spacing w:before="83"/>
              <w:ind w:left="78" w:right="58"/>
              <w:rPr>
                <w:sz w:val="11"/>
              </w:rPr>
            </w:pPr>
            <w:r>
              <w:rPr>
                <w:sz w:val="11"/>
              </w:rPr>
              <w:t>Porcent aje</w:t>
            </w:r>
          </w:p>
        </w:tc>
        <w:tc>
          <w:tcPr>
            <w:tcW w:w="447" w:type="dxa"/>
          </w:tcPr>
          <w:p>
            <w:pPr>
              <w:pStyle w:val="TableParagraph"/>
              <w:spacing w:before="83"/>
              <w:ind w:right="70"/>
              <w:jc w:val="right"/>
              <w:rPr>
                <w:sz w:val="11"/>
              </w:rPr>
            </w:pPr>
            <w:r>
              <w:rPr>
                <w:sz w:val="11"/>
              </w:rPr>
              <w:t>61.36</w:t>
            </w:r>
          </w:p>
        </w:tc>
        <w:tc>
          <w:tcPr>
            <w:tcW w:w="582" w:type="dxa"/>
          </w:tcPr>
          <w:p>
            <w:pPr>
              <w:pStyle w:val="TableParagraph"/>
              <w:spacing w:before="83"/>
              <w:ind w:right="73"/>
              <w:jc w:val="right"/>
              <w:rPr>
                <w:sz w:val="11"/>
              </w:rPr>
            </w:pPr>
            <w:r>
              <w:rPr>
                <w:sz w:val="11"/>
              </w:rPr>
              <w:t>2015</w:t>
            </w:r>
          </w:p>
        </w:tc>
        <w:tc>
          <w:tcPr>
            <w:tcW w:w="845" w:type="dxa"/>
          </w:tcPr>
          <w:p>
            <w:pPr>
              <w:pStyle w:val="TableParagraph"/>
              <w:spacing w:before="83"/>
              <w:ind w:left="79"/>
              <w:rPr>
                <w:sz w:val="11"/>
              </w:rPr>
            </w:pPr>
            <w:r>
              <w:rPr>
                <w:sz w:val="11"/>
              </w:rPr>
              <w:t>Quinquenal</w:t>
            </w:r>
          </w:p>
        </w:tc>
        <w:tc>
          <w:tcPr>
            <w:tcW w:w="725" w:type="dxa"/>
          </w:tcPr>
          <w:p>
            <w:pPr>
              <w:pStyle w:val="TableParagraph"/>
              <w:spacing w:before="83"/>
              <w:ind w:left="79" w:right="162"/>
              <w:rPr>
                <w:sz w:val="11"/>
              </w:rPr>
            </w:pPr>
            <w:r>
              <w:rPr>
                <w:sz w:val="11"/>
              </w:rPr>
              <w:t>Impacto Directo</w:t>
            </w:r>
          </w:p>
        </w:tc>
        <w:tc>
          <w:tcPr>
            <w:tcW w:w="2453" w:type="dxa"/>
          </w:tcPr>
          <w:p>
            <w:pPr>
              <w:pStyle w:val="TableParagraph"/>
              <w:spacing w:before="83"/>
              <w:ind w:left="76"/>
              <w:rPr>
                <w:sz w:val="11"/>
              </w:rPr>
            </w:pPr>
            <w:r>
              <w:rPr>
                <w:sz w:val="11"/>
              </w:rPr>
              <w:t>VP=(VPHP/VPH)*100</w:t>
            </w:r>
          </w:p>
        </w:tc>
        <w:tc>
          <w:tcPr>
            <w:tcW w:w="2592" w:type="dxa"/>
          </w:tcPr>
          <w:p>
            <w:pPr>
              <w:pStyle w:val="TableParagraph"/>
              <w:spacing w:before="83"/>
              <w:ind w:left="76"/>
              <w:rPr>
                <w:sz w:val="11"/>
              </w:rPr>
            </w:pPr>
            <w:r>
              <w:rPr>
                <w:sz w:val="11"/>
              </w:rPr>
              <w:t>INEGI, Encuesta Intercensal 2015.</w:t>
            </w:r>
          </w:p>
        </w:tc>
      </w:tr>
    </w:tbl>
    <w:p>
      <w:pPr>
        <w:spacing w:after="0"/>
        <w:rPr>
          <w:sz w:val="11"/>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8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438"/>
        <w:gridCol w:w="579"/>
        <w:gridCol w:w="447"/>
        <w:gridCol w:w="582"/>
        <w:gridCol w:w="845"/>
        <w:gridCol w:w="725"/>
        <w:gridCol w:w="2453"/>
        <w:gridCol w:w="2592"/>
      </w:tblGrid>
      <w:tr>
        <w:trPr>
          <w:trHeight w:val="1370" w:hRule="atLeast"/>
        </w:trPr>
        <w:tc>
          <w:tcPr>
            <w:tcW w:w="1438" w:type="dxa"/>
            <w:shd w:val="clear" w:color="auto" w:fill="EDEDED"/>
          </w:tcPr>
          <w:p>
            <w:pPr>
              <w:pStyle w:val="TableParagraph"/>
              <w:spacing w:before="81"/>
              <w:ind w:left="79" w:right="269"/>
              <w:rPr>
                <w:sz w:val="11"/>
              </w:rPr>
            </w:pPr>
            <w:r>
              <w:rPr>
                <w:sz w:val="11"/>
              </w:rPr>
              <w:t>Posición en el Coeficiente de GINI</w:t>
            </w:r>
          </w:p>
        </w:tc>
        <w:tc>
          <w:tcPr>
            <w:tcW w:w="579" w:type="dxa"/>
            <w:shd w:val="clear" w:color="auto" w:fill="EDEDED"/>
          </w:tcPr>
          <w:p>
            <w:pPr>
              <w:pStyle w:val="TableParagraph"/>
              <w:spacing w:before="81"/>
              <w:ind w:left="78" w:right="82"/>
              <w:rPr>
                <w:sz w:val="11"/>
              </w:rPr>
            </w:pPr>
            <w:r>
              <w:rPr>
                <w:sz w:val="11"/>
              </w:rPr>
              <w:t>Posició n en ranking Estatal</w:t>
            </w:r>
          </w:p>
        </w:tc>
        <w:tc>
          <w:tcPr>
            <w:tcW w:w="447" w:type="dxa"/>
            <w:shd w:val="clear" w:color="auto" w:fill="EDEDED"/>
          </w:tcPr>
          <w:p>
            <w:pPr>
              <w:pStyle w:val="TableParagraph"/>
              <w:spacing w:before="81"/>
              <w:ind w:right="69"/>
              <w:jc w:val="right"/>
              <w:rPr>
                <w:sz w:val="11"/>
              </w:rPr>
            </w:pPr>
            <w:r>
              <w:rPr>
                <w:sz w:val="11"/>
              </w:rPr>
              <w:t>33</w:t>
            </w:r>
          </w:p>
        </w:tc>
        <w:tc>
          <w:tcPr>
            <w:tcW w:w="582" w:type="dxa"/>
            <w:shd w:val="clear" w:color="auto" w:fill="EDEDED"/>
          </w:tcPr>
          <w:p>
            <w:pPr>
              <w:pStyle w:val="TableParagraph"/>
              <w:spacing w:before="81"/>
              <w:ind w:right="73"/>
              <w:jc w:val="right"/>
              <w:rPr>
                <w:sz w:val="11"/>
              </w:rPr>
            </w:pPr>
            <w:r>
              <w:rPr>
                <w:sz w:val="11"/>
              </w:rPr>
              <w:t>2014</w:t>
            </w:r>
          </w:p>
        </w:tc>
        <w:tc>
          <w:tcPr>
            <w:tcW w:w="845" w:type="dxa"/>
            <w:shd w:val="clear" w:color="auto" w:fill="EDEDED"/>
          </w:tcPr>
          <w:p>
            <w:pPr>
              <w:pStyle w:val="TableParagraph"/>
              <w:spacing w:before="81"/>
              <w:ind w:left="79"/>
              <w:rPr>
                <w:sz w:val="11"/>
              </w:rPr>
            </w:pPr>
            <w:r>
              <w:rPr>
                <w:sz w:val="11"/>
              </w:rPr>
              <w:t>Bienal</w:t>
            </w:r>
          </w:p>
        </w:tc>
        <w:tc>
          <w:tcPr>
            <w:tcW w:w="725" w:type="dxa"/>
            <w:shd w:val="clear" w:color="auto" w:fill="EDEDED"/>
          </w:tcPr>
          <w:p>
            <w:pPr>
              <w:pStyle w:val="TableParagraph"/>
              <w:spacing w:before="81"/>
              <w:ind w:left="79" w:right="162"/>
              <w:rPr>
                <w:sz w:val="11"/>
              </w:rPr>
            </w:pPr>
            <w:r>
              <w:rPr>
                <w:sz w:val="11"/>
              </w:rPr>
              <w:t>Impacto Directo</w:t>
            </w:r>
          </w:p>
        </w:tc>
        <w:tc>
          <w:tcPr>
            <w:tcW w:w="2453" w:type="dxa"/>
            <w:shd w:val="clear" w:color="auto" w:fill="EDEDED"/>
          </w:tcPr>
          <w:p>
            <w:pPr>
              <w:pStyle w:val="TableParagraph"/>
              <w:spacing w:before="4"/>
              <w:rPr>
                <w:rFonts w:ascii="Times New Roman"/>
                <w:sz w:val="19"/>
              </w:rPr>
            </w:pPr>
          </w:p>
          <w:p>
            <w:pPr>
              <w:pStyle w:val="TableParagraph"/>
              <w:ind w:left="76"/>
              <w:rPr>
                <w:sz w:val="11"/>
              </w:rPr>
            </w:pPr>
            <w:r>
              <w:rPr>
                <w:w w:val="100"/>
                <w:sz w:val="11"/>
              </w:rPr>
              <w:t>G=</w:t>
            </w:r>
            <w:r>
              <w:rPr>
                <w:spacing w:val="1"/>
                <w:w w:val="100"/>
                <w:sz w:val="11"/>
              </w:rPr>
              <w:t>1</w:t>
            </w:r>
            <w:r>
              <w:rPr>
                <w:w w:val="100"/>
                <w:sz w:val="11"/>
              </w:rPr>
              <w:t>+</w:t>
            </w:r>
            <w:r>
              <w:rPr>
                <w:spacing w:val="-2"/>
                <w:w w:val="100"/>
                <w:sz w:val="11"/>
              </w:rPr>
              <w:t>(</w:t>
            </w:r>
            <w:r>
              <w:rPr>
                <w:spacing w:val="1"/>
                <w:w w:val="100"/>
                <w:sz w:val="11"/>
              </w:rPr>
              <w:t>1</w:t>
            </w:r>
            <w:r>
              <w:rPr>
                <w:w w:val="100"/>
                <w:sz w:val="11"/>
              </w:rPr>
              <w:t>/</w:t>
            </w:r>
            <w:r>
              <w:rPr>
                <w:spacing w:val="-1"/>
                <w:w w:val="100"/>
                <w:sz w:val="11"/>
              </w:rPr>
              <w:t>n</w:t>
            </w:r>
            <w:r>
              <w:rPr>
                <w:w w:val="100"/>
                <w:sz w:val="11"/>
              </w:rPr>
              <w:t>)</w:t>
            </w:r>
            <w:r>
              <w:rPr>
                <w:spacing w:val="-1"/>
                <w:w w:val="100"/>
                <w:sz w:val="11"/>
              </w:rPr>
              <w:t>-</w:t>
            </w:r>
            <w:r>
              <w:rPr>
                <w:spacing w:val="-3"/>
                <w:w w:val="100"/>
                <w:sz w:val="11"/>
              </w:rPr>
              <w:t>(</w:t>
            </w:r>
            <w:r>
              <w:rPr>
                <w:spacing w:val="1"/>
                <w:w w:val="100"/>
                <w:sz w:val="11"/>
              </w:rPr>
              <w:t>2</w:t>
            </w:r>
            <w:r>
              <w:rPr>
                <w:w w:val="100"/>
                <w:sz w:val="11"/>
              </w:rPr>
              <w:t>/</w:t>
            </w:r>
            <w:r>
              <w:rPr>
                <w:spacing w:val="-3"/>
                <w:w w:val="100"/>
                <w:sz w:val="11"/>
              </w:rPr>
              <w:t>(</w:t>
            </w:r>
            <w:r>
              <w:rPr>
                <w:w w:val="100"/>
                <w:sz w:val="11"/>
              </w:rPr>
              <w:t>n</w:t>
            </w:r>
            <w:r>
              <w:rPr>
                <w:spacing w:val="-3"/>
                <w:w w:val="100"/>
                <w:sz w:val="11"/>
              </w:rPr>
              <w:t>^</w:t>
            </w:r>
            <w:r>
              <w:rPr>
                <w:w w:val="100"/>
                <w:sz w:val="11"/>
              </w:rPr>
              <w:t>2</w:t>
            </w:r>
            <w:r>
              <w:rPr>
                <w:spacing w:val="2"/>
                <w:sz w:val="11"/>
              </w:rPr>
              <w:t> </w:t>
            </w:r>
            <w:r>
              <w:rPr>
                <w:w w:val="100"/>
                <w:sz w:val="11"/>
              </w:rPr>
              <w:t>y</w:t>
            </w:r>
            <w:r>
              <w:rPr>
                <w:spacing w:val="1"/>
                <w:sz w:val="11"/>
              </w:rPr>
              <w:t> </w:t>
            </w:r>
            <w:r>
              <w:rPr>
                <w:rFonts w:ascii="Arial" w:hAnsi="Arial"/>
                <w:w w:val="100"/>
                <w:sz w:val="11"/>
              </w:rPr>
              <w:t>̅</w:t>
            </w:r>
            <w:r>
              <w:rPr>
                <w:rFonts w:ascii="Arial" w:hAnsi="Arial"/>
                <w:sz w:val="11"/>
              </w:rPr>
              <w:t> </w:t>
            </w:r>
            <w:r>
              <w:rPr>
                <w:spacing w:val="-1"/>
                <w:w w:val="100"/>
                <w:sz w:val="11"/>
              </w:rPr>
              <w:t>))</w:t>
            </w:r>
            <w:r>
              <w:rPr>
                <w:spacing w:val="-3"/>
                <w:w w:val="100"/>
                <w:sz w:val="11"/>
              </w:rPr>
              <w:t>(</w:t>
            </w:r>
            <w:r>
              <w:rPr>
                <w:w w:val="100"/>
                <w:sz w:val="11"/>
              </w:rPr>
              <w:t>y</w:t>
            </w:r>
            <w:r>
              <w:rPr>
                <w:spacing w:val="1"/>
                <w:w w:val="100"/>
                <w:sz w:val="11"/>
              </w:rPr>
              <w:t>1</w:t>
            </w:r>
            <w:r>
              <w:rPr>
                <w:w w:val="100"/>
                <w:sz w:val="11"/>
              </w:rPr>
              <w:t>+</w:t>
            </w:r>
            <w:r>
              <w:rPr>
                <w:spacing w:val="-2"/>
                <w:w w:val="100"/>
                <w:sz w:val="11"/>
              </w:rPr>
              <w:t>y</w:t>
            </w:r>
            <w:r>
              <w:rPr>
                <w:spacing w:val="1"/>
                <w:w w:val="100"/>
                <w:sz w:val="11"/>
              </w:rPr>
              <w:t>2</w:t>
            </w:r>
            <w:r>
              <w:rPr>
                <w:w w:val="100"/>
                <w:sz w:val="11"/>
              </w:rPr>
              <w:t>+</w:t>
            </w:r>
            <w:r>
              <w:rPr>
                <w:rFonts w:ascii="Cambria Math" w:hAnsi="Cambria Math"/>
                <w:spacing w:val="-1"/>
                <w:w w:val="100"/>
                <w:sz w:val="11"/>
              </w:rPr>
              <w:t>⋯</w:t>
            </w:r>
            <w:r>
              <w:rPr>
                <w:w w:val="100"/>
                <w:sz w:val="11"/>
              </w:rPr>
              <w:t>+</w:t>
            </w:r>
            <w:r>
              <w:rPr>
                <w:spacing w:val="-3"/>
                <w:w w:val="100"/>
                <w:sz w:val="11"/>
              </w:rPr>
              <w:t>n</w:t>
            </w:r>
            <w:r>
              <w:rPr>
                <w:w w:val="100"/>
                <w:sz w:val="11"/>
              </w:rPr>
              <w:t>yn)</w:t>
            </w:r>
          </w:p>
        </w:tc>
        <w:tc>
          <w:tcPr>
            <w:tcW w:w="2592" w:type="dxa"/>
            <w:shd w:val="clear" w:color="auto" w:fill="EDEDED"/>
          </w:tcPr>
          <w:p>
            <w:pPr>
              <w:pStyle w:val="TableParagraph"/>
              <w:spacing w:before="81"/>
              <w:ind w:left="76" w:right="225"/>
              <w:jc w:val="both"/>
              <w:rPr>
                <w:sz w:val="11"/>
              </w:rPr>
            </w:pPr>
            <w:r>
              <w:rPr>
                <w:sz w:val="11"/>
              </w:rPr>
              <w:t>Estimaciones del CONEVAL con base en el Módulo de Condiciones Socioeconómicas de la ENIGH 2016.</w:t>
            </w:r>
          </w:p>
        </w:tc>
      </w:tr>
      <w:tr>
        <w:trPr>
          <w:trHeight w:val="1207" w:hRule="atLeast"/>
        </w:trPr>
        <w:tc>
          <w:tcPr>
            <w:tcW w:w="1438" w:type="dxa"/>
          </w:tcPr>
          <w:p>
            <w:pPr>
              <w:pStyle w:val="TableParagraph"/>
              <w:spacing w:before="83"/>
              <w:ind w:left="79" w:right="67"/>
              <w:rPr>
                <w:sz w:val="11"/>
              </w:rPr>
            </w:pPr>
            <w:r>
              <w:rPr>
                <w:sz w:val="11"/>
              </w:rPr>
              <w:t>Posición en el Índice de Desarrollo Humano</w:t>
            </w:r>
          </w:p>
        </w:tc>
        <w:tc>
          <w:tcPr>
            <w:tcW w:w="579" w:type="dxa"/>
          </w:tcPr>
          <w:p>
            <w:pPr>
              <w:pStyle w:val="TableParagraph"/>
              <w:spacing w:before="83"/>
              <w:ind w:left="78" w:right="108"/>
              <w:rPr>
                <w:sz w:val="11"/>
              </w:rPr>
            </w:pPr>
            <w:r>
              <w:rPr>
                <w:sz w:val="11"/>
              </w:rPr>
              <w:t>Posició n</w:t>
            </w:r>
          </w:p>
        </w:tc>
        <w:tc>
          <w:tcPr>
            <w:tcW w:w="447" w:type="dxa"/>
          </w:tcPr>
          <w:p>
            <w:pPr>
              <w:pStyle w:val="TableParagraph"/>
              <w:spacing w:before="83"/>
              <w:ind w:right="69"/>
              <w:jc w:val="right"/>
              <w:rPr>
                <w:sz w:val="11"/>
              </w:rPr>
            </w:pPr>
            <w:r>
              <w:rPr>
                <w:sz w:val="11"/>
              </w:rPr>
              <w:t>90</w:t>
            </w:r>
          </w:p>
        </w:tc>
        <w:tc>
          <w:tcPr>
            <w:tcW w:w="582" w:type="dxa"/>
          </w:tcPr>
          <w:p>
            <w:pPr>
              <w:pStyle w:val="TableParagraph"/>
              <w:spacing w:before="83"/>
              <w:ind w:right="73"/>
              <w:jc w:val="right"/>
              <w:rPr>
                <w:sz w:val="11"/>
              </w:rPr>
            </w:pPr>
            <w:r>
              <w:rPr>
                <w:sz w:val="11"/>
              </w:rPr>
              <w:t>2015</w:t>
            </w:r>
          </w:p>
        </w:tc>
        <w:tc>
          <w:tcPr>
            <w:tcW w:w="845" w:type="dxa"/>
          </w:tcPr>
          <w:p>
            <w:pPr>
              <w:pStyle w:val="TableParagraph"/>
              <w:spacing w:before="83"/>
              <w:ind w:left="79"/>
              <w:rPr>
                <w:sz w:val="11"/>
              </w:rPr>
            </w:pPr>
            <w:r>
              <w:rPr>
                <w:sz w:val="11"/>
              </w:rPr>
              <w:t>Bienal</w:t>
            </w:r>
          </w:p>
        </w:tc>
        <w:tc>
          <w:tcPr>
            <w:tcW w:w="725" w:type="dxa"/>
          </w:tcPr>
          <w:p>
            <w:pPr>
              <w:pStyle w:val="TableParagraph"/>
              <w:spacing w:before="83"/>
              <w:ind w:left="79" w:right="74"/>
              <w:rPr>
                <w:sz w:val="11"/>
              </w:rPr>
            </w:pPr>
            <w:r>
              <w:rPr>
                <w:sz w:val="11"/>
              </w:rPr>
              <w:t>Impacto socialmen te entregad o</w:t>
            </w:r>
          </w:p>
        </w:tc>
        <w:tc>
          <w:tcPr>
            <w:tcW w:w="2453" w:type="dxa"/>
          </w:tcPr>
          <w:p>
            <w:pPr>
              <w:pStyle w:val="TableParagraph"/>
              <w:spacing w:before="9"/>
              <w:rPr>
                <w:rFonts w:ascii="Times New Roman"/>
                <w:sz w:val="19"/>
              </w:rPr>
            </w:pPr>
          </w:p>
          <w:p>
            <w:pPr>
              <w:pStyle w:val="TableParagraph"/>
              <w:ind w:left="76"/>
              <w:rPr>
                <w:sz w:val="11"/>
              </w:rPr>
            </w:pPr>
            <w:r>
              <w:rPr>
                <w:sz w:val="11"/>
              </w:rPr>
              <w:t>IDH= IS ^(1/3)* IE ^(1/3)* II ^(1/3)</w:t>
            </w:r>
          </w:p>
        </w:tc>
        <w:tc>
          <w:tcPr>
            <w:tcW w:w="2592" w:type="dxa"/>
          </w:tcPr>
          <w:p>
            <w:pPr>
              <w:pStyle w:val="TableParagraph"/>
              <w:spacing w:before="83"/>
              <w:ind w:left="76" w:right="115"/>
              <w:rPr>
                <w:sz w:val="11"/>
              </w:rPr>
            </w:pPr>
            <w:r>
              <w:rPr>
                <w:sz w:val="11"/>
              </w:rPr>
              <w:t>PNUD, Índice de Desarrollo Humano para las entidades federativas, México 2015.</w:t>
            </w:r>
          </w:p>
        </w:tc>
      </w:tr>
      <w:tr>
        <w:trPr>
          <w:trHeight w:val="1015" w:hRule="atLeast"/>
        </w:trPr>
        <w:tc>
          <w:tcPr>
            <w:tcW w:w="1438" w:type="dxa"/>
            <w:shd w:val="clear" w:color="auto" w:fill="EDEDED"/>
          </w:tcPr>
          <w:p>
            <w:pPr>
              <w:pStyle w:val="TableParagraph"/>
              <w:spacing w:before="81"/>
              <w:ind w:left="79" w:right="67"/>
              <w:rPr>
                <w:sz w:val="11"/>
              </w:rPr>
            </w:pPr>
            <w:r>
              <w:rPr>
                <w:sz w:val="11"/>
              </w:rPr>
              <w:t>Posición en el Índice de Rezago Social</w:t>
            </w:r>
          </w:p>
        </w:tc>
        <w:tc>
          <w:tcPr>
            <w:tcW w:w="579" w:type="dxa"/>
            <w:shd w:val="clear" w:color="auto" w:fill="EDEDED"/>
          </w:tcPr>
          <w:p>
            <w:pPr>
              <w:pStyle w:val="TableParagraph"/>
              <w:spacing w:before="81"/>
              <w:ind w:left="78" w:right="99"/>
              <w:jc w:val="both"/>
              <w:rPr>
                <w:sz w:val="11"/>
              </w:rPr>
            </w:pPr>
            <w:r>
              <w:rPr>
                <w:sz w:val="11"/>
              </w:rPr>
              <w:t>Posició n en el ranking Nacion al</w:t>
            </w:r>
          </w:p>
        </w:tc>
        <w:tc>
          <w:tcPr>
            <w:tcW w:w="447" w:type="dxa"/>
            <w:shd w:val="clear" w:color="auto" w:fill="EDEDED"/>
          </w:tcPr>
          <w:p>
            <w:pPr>
              <w:pStyle w:val="TableParagraph"/>
              <w:spacing w:before="81"/>
              <w:ind w:right="70"/>
              <w:jc w:val="right"/>
              <w:rPr>
                <w:sz w:val="11"/>
              </w:rPr>
            </w:pPr>
            <w:r>
              <w:rPr>
                <w:sz w:val="11"/>
              </w:rPr>
              <w:t>2041</w:t>
            </w:r>
          </w:p>
        </w:tc>
        <w:tc>
          <w:tcPr>
            <w:tcW w:w="582" w:type="dxa"/>
            <w:shd w:val="clear" w:color="auto" w:fill="EDEDED"/>
          </w:tcPr>
          <w:p>
            <w:pPr>
              <w:pStyle w:val="TableParagraph"/>
              <w:spacing w:before="81"/>
              <w:ind w:right="73"/>
              <w:jc w:val="right"/>
              <w:rPr>
                <w:sz w:val="11"/>
              </w:rPr>
            </w:pPr>
            <w:r>
              <w:rPr>
                <w:sz w:val="11"/>
              </w:rPr>
              <w:t>2015</w:t>
            </w:r>
          </w:p>
        </w:tc>
        <w:tc>
          <w:tcPr>
            <w:tcW w:w="845" w:type="dxa"/>
            <w:shd w:val="clear" w:color="auto" w:fill="EDEDED"/>
          </w:tcPr>
          <w:p>
            <w:pPr>
              <w:pStyle w:val="TableParagraph"/>
              <w:spacing w:before="81"/>
              <w:ind w:left="79"/>
              <w:rPr>
                <w:sz w:val="11"/>
              </w:rPr>
            </w:pPr>
            <w:r>
              <w:rPr>
                <w:sz w:val="11"/>
              </w:rPr>
              <w:t>Quinquenal</w:t>
            </w:r>
          </w:p>
        </w:tc>
        <w:tc>
          <w:tcPr>
            <w:tcW w:w="725" w:type="dxa"/>
            <w:shd w:val="clear" w:color="auto" w:fill="EDEDED"/>
          </w:tcPr>
          <w:p>
            <w:pPr>
              <w:pStyle w:val="TableParagraph"/>
              <w:spacing w:before="81"/>
              <w:ind w:left="79" w:right="162"/>
              <w:rPr>
                <w:sz w:val="11"/>
              </w:rPr>
            </w:pPr>
            <w:r>
              <w:rPr>
                <w:sz w:val="11"/>
              </w:rPr>
              <w:t>Impacto Directo</w:t>
            </w:r>
          </w:p>
        </w:tc>
        <w:tc>
          <w:tcPr>
            <w:tcW w:w="2453" w:type="dxa"/>
            <w:shd w:val="clear" w:color="auto" w:fill="EDEDED"/>
          </w:tcPr>
          <w:p>
            <w:pPr>
              <w:pStyle w:val="TableParagraph"/>
              <w:spacing w:before="6"/>
              <w:rPr>
                <w:rFonts w:ascii="Times New Roman"/>
                <w:sz w:val="19"/>
              </w:rPr>
            </w:pPr>
          </w:p>
          <w:p>
            <w:pPr>
              <w:pStyle w:val="TableParagraph"/>
              <w:ind w:left="76"/>
              <w:rPr>
                <w:sz w:val="11"/>
              </w:rPr>
            </w:pPr>
            <w:r>
              <w:rPr>
                <w:sz w:val="11"/>
              </w:rPr>
              <w:t>RS = (R_1 B_1+R_2 B_2+R_n B_n+R_12 B_12 )</w:t>
            </w:r>
          </w:p>
        </w:tc>
        <w:tc>
          <w:tcPr>
            <w:tcW w:w="2592" w:type="dxa"/>
            <w:shd w:val="clear" w:color="auto" w:fill="EDEDED"/>
          </w:tcPr>
          <w:p>
            <w:pPr>
              <w:pStyle w:val="TableParagraph"/>
              <w:spacing w:before="81"/>
              <w:ind w:left="76" w:right="222"/>
              <w:rPr>
                <w:sz w:val="11"/>
              </w:rPr>
            </w:pPr>
            <w:r>
              <w:rPr>
                <w:sz w:val="11"/>
              </w:rPr>
              <w:t>CONEVAL. Índice de Rezago Social a nivel municipal y por localidad, 2015.</w:t>
            </w:r>
          </w:p>
        </w:tc>
      </w:tr>
      <w:tr>
        <w:trPr>
          <w:trHeight w:val="700" w:hRule="atLeast"/>
        </w:trPr>
        <w:tc>
          <w:tcPr>
            <w:tcW w:w="1438" w:type="dxa"/>
          </w:tcPr>
          <w:p>
            <w:pPr>
              <w:pStyle w:val="TableParagraph"/>
              <w:spacing w:before="81"/>
              <w:ind w:left="79" w:right="231"/>
              <w:rPr>
                <w:sz w:val="11"/>
              </w:rPr>
            </w:pPr>
            <w:r>
              <w:rPr>
                <w:sz w:val="11"/>
              </w:rPr>
              <w:t>Tasa de mortalidad infantil por mil recién nacidos</w:t>
            </w:r>
          </w:p>
        </w:tc>
        <w:tc>
          <w:tcPr>
            <w:tcW w:w="579" w:type="dxa"/>
          </w:tcPr>
          <w:p>
            <w:pPr>
              <w:pStyle w:val="TableParagraph"/>
              <w:spacing w:before="81"/>
              <w:ind w:left="78"/>
              <w:rPr>
                <w:sz w:val="11"/>
              </w:rPr>
            </w:pPr>
            <w:r>
              <w:rPr>
                <w:sz w:val="11"/>
              </w:rPr>
              <w:t>Tasa</w:t>
            </w:r>
          </w:p>
        </w:tc>
        <w:tc>
          <w:tcPr>
            <w:tcW w:w="447" w:type="dxa"/>
          </w:tcPr>
          <w:p>
            <w:pPr>
              <w:pStyle w:val="TableParagraph"/>
              <w:spacing w:before="81"/>
              <w:ind w:right="70"/>
              <w:jc w:val="right"/>
              <w:rPr>
                <w:sz w:val="11"/>
              </w:rPr>
            </w:pPr>
            <w:r>
              <w:rPr>
                <w:sz w:val="11"/>
              </w:rPr>
              <w:t>10.32</w:t>
            </w:r>
          </w:p>
        </w:tc>
        <w:tc>
          <w:tcPr>
            <w:tcW w:w="582" w:type="dxa"/>
          </w:tcPr>
          <w:p>
            <w:pPr>
              <w:pStyle w:val="TableParagraph"/>
              <w:spacing w:before="81"/>
              <w:ind w:right="73"/>
              <w:jc w:val="right"/>
              <w:rPr>
                <w:sz w:val="11"/>
              </w:rPr>
            </w:pPr>
            <w:r>
              <w:rPr>
                <w:sz w:val="11"/>
              </w:rPr>
              <w:t>2017</w:t>
            </w:r>
          </w:p>
        </w:tc>
        <w:tc>
          <w:tcPr>
            <w:tcW w:w="845" w:type="dxa"/>
          </w:tcPr>
          <w:p>
            <w:pPr>
              <w:pStyle w:val="TableParagraph"/>
              <w:spacing w:before="81"/>
              <w:ind w:left="79"/>
              <w:rPr>
                <w:sz w:val="11"/>
              </w:rPr>
            </w:pPr>
            <w:r>
              <w:rPr>
                <w:sz w:val="11"/>
              </w:rPr>
              <w:t>Anual</w:t>
            </w:r>
          </w:p>
        </w:tc>
        <w:tc>
          <w:tcPr>
            <w:tcW w:w="725" w:type="dxa"/>
          </w:tcPr>
          <w:p>
            <w:pPr>
              <w:pStyle w:val="TableParagraph"/>
              <w:spacing w:before="81"/>
              <w:ind w:left="79" w:right="162"/>
              <w:rPr>
                <w:sz w:val="11"/>
              </w:rPr>
            </w:pPr>
            <w:r>
              <w:rPr>
                <w:sz w:val="11"/>
              </w:rPr>
              <w:t>Impacto Directo</w:t>
            </w:r>
          </w:p>
        </w:tc>
        <w:tc>
          <w:tcPr>
            <w:tcW w:w="2453" w:type="dxa"/>
          </w:tcPr>
          <w:p>
            <w:pPr>
              <w:pStyle w:val="TableParagraph"/>
              <w:spacing w:before="6"/>
              <w:rPr>
                <w:rFonts w:ascii="Times New Roman"/>
                <w:sz w:val="19"/>
              </w:rPr>
            </w:pPr>
          </w:p>
          <w:p>
            <w:pPr>
              <w:pStyle w:val="TableParagraph"/>
              <w:ind w:left="76"/>
              <w:rPr>
                <w:sz w:val="11"/>
              </w:rPr>
            </w:pPr>
            <w:r>
              <w:rPr>
                <w:sz w:val="11"/>
              </w:rPr>
              <w:t>TMI = TD/TNE</w:t>
            </w:r>
          </w:p>
        </w:tc>
        <w:tc>
          <w:tcPr>
            <w:tcW w:w="2592" w:type="dxa"/>
          </w:tcPr>
          <w:p>
            <w:pPr>
              <w:pStyle w:val="TableParagraph"/>
              <w:spacing w:before="81"/>
              <w:ind w:left="76" w:right="116"/>
              <w:rPr>
                <w:sz w:val="11"/>
              </w:rPr>
            </w:pPr>
            <w:r>
              <w:rPr>
                <w:sz w:val="11"/>
              </w:rPr>
              <w:t>Secretaría de Salud, Gobierno de Jalisco, INEGI y datos de población estimados por el consejo Nacional de Población (CONAPO), 2017.</w:t>
            </w:r>
          </w:p>
        </w:tc>
      </w:tr>
      <w:tr>
        <w:trPr>
          <w:trHeight w:val="839" w:hRule="atLeast"/>
        </w:trPr>
        <w:tc>
          <w:tcPr>
            <w:tcW w:w="1438" w:type="dxa"/>
            <w:shd w:val="clear" w:color="auto" w:fill="EDEDED"/>
          </w:tcPr>
          <w:p>
            <w:pPr>
              <w:pStyle w:val="TableParagraph"/>
              <w:spacing w:before="83"/>
              <w:ind w:left="79" w:right="234"/>
              <w:rPr>
                <w:sz w:val="11"/>
              </w:rPr>
            </w:pPr>
            <w:r>
              <w:rPr>
                <w:sz w:val="11"/>
              </w:rPr>
              <w:t>Tasa de mortalidad materna por 100,000 nacidos vivos</w:t>
            </w:r>
          </w:p>
        </w:tc>
        <w:tc>
          <w:tcPr>
            <w:tcW w:w="579" w:type="dxa"/>
            <w:shd w:val="clear" w:color="auto" w:fill="EDEDED"/>
          </w:tcPr>
          <w:p>
            <w:pPr>
              <w:pStyle w:val="TableParagraph"/>
              <w:spacing w:before="83"/>
              <w:ind w:left="78"/>
              <w:rPr>
                <w:sz w:val="11"/>
              </w:rPr>
            </w:pPr>
            <w:r>
              <w:rPr>
                <w:sz w:val="11"/>
              </w:rPr>
              <w:t>Tasa</w:t>
            </w:r>
          </w:p>
        </w:tc>
        <w:tc>
          <w:tcPr>
            <w:tcW w:w="447" w:type="dxa"/>
            <w:shd w:val="clear" w:color="auto" w:fill="EDEDED"/>
          </w:tcPr>
          <w:p>
            <w:pPr>
              <w:pStyle w:val="TableParagraph"/>
              <w:spacing w:before="83"/>
              <w:ind w:right="70"/>
              <w:jc w:val="right"/>
              <w:rPr>
                <w:sz w:val="11"/>
              </w:rPr>
            </w:pPr>
            <w:r>
              <w:rPr>
                <w:sz w:val="11"/>
              </w:rPr>
              <w:t>34.55</w:t>
            </w:r>
          </w:p>
        </w:tc>
        <w:tc>
          <w:tcPr>
            <w:tcW w:w="582" w:type="dxa"/>
            <w:shd w:val="clear" w:color="auto" w:fill="EDEDED"/>
          </w:tcPr>
          <w:p>
            <w:pPr>
              <w:pStyle w:val="TableParagraph"/>
              <w:spacing w:before="83"/>
              <w:ind w:right="73"/>
              <w:jc w:val="right"/>
              <w:rPr>
                <w:sz w:val="11"/>
              </w:rPr>
            </w:pPr>
            <w:r>
              <w:rPr>
                <w:sz w:val="11"/>
              </w:rPr>
              <w:t>2015</w:t>
            </w:r>
          </w:p>
        </w:tc>
        <w:tc>
          <w:tcPr>
            <w:tcW w:w="845" w:type="dxa"/>
            <w:shd w:val="clear" w:color="auto" w:fill="EDEDED"/>
          </w:tcPr>
          <w:p>
            <w:pPr>
              <w:pStyle w:val="TableParagraph"/>
              <w:spacing w:before="83"/>
              <w:ind w:left="79"/>
              <w:rPr>
                <w:sz w:val="11"/>
              </w:rPr>
            </w:pPr>
            <w:r>
              <w:rPr>
                <w:sz w:val="11"/>
              </w:rPr>
              <w:t>Anual</w:t>
            </w:r>
          </w:p>
        </w:tc>
        <w:tc>
          <w:tcPr>
            <w:tcW w:w="725" w:type="dxa"/>
            <w:shd w:val="clear" w:color="auto" w:fill="EDEDED"/>
          </w:tcPr>
          <w:p>
            <w:pPr>
              <w:pStyle w:val="TableParagraph"/>
              <w:spacing w:before="83"/>
              <w:ind w:left="79" w:right="162"/>
              <w:rPr>
                <w:sz w:val="11"/>
              </w:rPr>
            </w:pPr>
            <w:r>
              <w:rPr>
                <w:sz w:val="11"/>
              </w:rPr>
              <w:t>Impacto Directo</w:t>
            </w:r>
          </w:p>
        </w:tc>
        <w:tc>
          <w:tcPr>
            <w:tcW w:w="2453" w:type="dxa"/>
            <w:shd w:val="clear" w:color="auto" w:fill="EDEDED"/>
          </w:tcPr>
          <w:p>
            <w:pPr>
              <w:pStyle w:val="TableParagraph"/>
              <w:spacing w:before="9"/>
              <w:rPr>
                <w:rFonts w:ascii="Times New Roman"/>
                <w:sz w:val="19"/>
              </w:rPr>
            </w:pPr>
          </w:p>
          <w:p>
            <w:pPr>
              <w:pStyle w:val="TableParagraph"/>
              <w:ind w:left="76"/>
              <w:rPr>
                <w:sz w:val="11"/>
              </w:rPr>
            </w:pPr>
            <w:r>
              <w:rPr>
                <w:sz w:val="11"/>
              </w:rPr>
              <w:t>TMoMa = (TDM/RNV) 100,000</w:t>
            </w:r>
          </w:p>
        </w:tc>
        <w:tc>
          <w:tcPr>
            <w:tcW w:w="2592" w:type="dxa"/>
            <w:shd w:val="clear" w:color="auto" w:fill="EDEDED"/>
          </w:tcPr>
          <w:p>
            <w:pPr>
              <w:pStyle w:val="TableParagraph"/>
              <w:spacing w:before="83"/>
              <w:ind w:left="76" w:right="116"/>
              <w:rPr>
                <w:sz w:val="11"/>
              </w:rPr>
            </w:pPr>
            <w:r>
              <w:rPr>
                <w:sz w:val="11"/>
              </w:rPr>
              <w:t>Secretaría de Salud, Gobierno de Jalisco, INEGI y datos de población estimados por el Consejo Nacional de Población, 2017.</w:t>
            </w:r>
          </w:p>
        </w:tc>
      </w:tr>
      <w:tr>
        <w:trPr>
          <w:trHeight w:val="707" w:hRule="atLeast"/>
        </w:trPr>
        <w:tc>
          <w:tcPr>
            <w:tcW w:w="1438" w:type="dxa"/>
          </w:tcPr>
          <w:p>
            <w:pPr>
              <w:pStyle w:val="TableParagraph"/>
              <w:spacing w:before="81"/>
              <w:ind w:left="79" w:right="101"/>
              <w:jc w:val="both"/>
              <w:rPr>
                <w:sz w:val="11"/>
              </w:rPr>
            </w:pPr>
            <w:r>
              <w:rPr>
                <w:sz w:val="11"/>
              </w:rPr>
              <w:t>Tasa de mortalidad por cáncer cérvico uterino por cien mil mujeres</w:t>
            </w:r>
          </w:p>
        </w:tc>
        <w:tc>
          <w:tcPr>
            <w:tcW w:w="579" w:type="dxa"/>
          </w:tcPr>
          <w:p>
            <w:pPr>
              <w:pStyle w:val="TableParagraph"/>
              <w:spacing w:before="81"/>
              <w:ind w:left="78"/>
              <w:rPr>
                <w:sz w:val="11"/>
              </w:rPr>
            </w:pPr>
            <w:r>
              <w:rPr>
                <w:sz w:val="11"/>
              </w:rPr>
              <w:t>Tasa</w:t>
            </w:r>
          </w:p>
        </w:tc>
        <w:tc>
          <w:tcPr>
            <w:tcW w:w="447" w:type="dxa"/>
          </w:tcPr>
          <w:p>
            <w:pPr>
              <w:pStyle w:val="TableParagraph"/>
              <w:spacing w:before="81"/>
              <w:ind w:right="70"/>
              <w:jc w:val="right"/>
              <w:rPr>
                <w:sz w:val="11"/>
              </w:rPr>
            </w:pPr>
            <w:r>
              <w:rPr>
                <w:sz w:val="11"/>
              </w:rPr>
              <w:t>16.89</w:t>
            </w:r>
          </w:p>
        </w:tc>
        <w:tc>
          <w:tcPr>
            <w:tcW w:w="582" w:type="dxa"/>
          </w:tcPr>
          <w:p>
            <w:pPr>
              <w:pStyle w:val="TableParagraph"/>
              <w:spacing w:before="81"/>
              <w:ind w:right="73"/>
              <w:jc w:val="right"/>
              <w:rPr>
                <w:sz w:val="11"/>
              </w:rPr>
            </w:pPr>
            <w:r>
              <w:rPr>
                <w:sz w:val="11"/>
              </w:rPr>
              <w:t>2017</w:t>
            </w:r>
          </w:p>
        </w:tc>
        <w:tc>
          <w:tcPr>
            <w:tcW w:w="845" w:type="dxa"/>
          </w:tcPr>
          <w:p>
            <w:pPr>
              <w:pStyle w:val="TableParagraph"/>
              <w:spacing w:before="81"/>
              <w:ind w:left="79"/>
              <w:rPr>
                <w:sz w:val="11"/>
              </w:rPr>
            </w:pPr>
            <w:r>
              <w:rPr>
                <w:sz w:val="11"/>
              </w:rPr>
              <w:t>Anual</w:t>
            </w:r>
          </w:p>
        </w:tc>
        <w:tc>
          <w:tcPr>
            <w:tcW w:w="725" w:type="dxa"/>
          </w:tcPr>
          <w:p>
            <w:pPr>
              <w:pStyle w:val="TableParagraph"/>
              <w:spacing w:before="81"/>
              <w:ind w:left="79" w:right="162"/>
              <w:rPr>
                <w:sz w:val="11"/>
              </w:rPr>
            </w:pPr>
            <w:r>
              <w:rPr>
                <w:sz w:val="11"/>
              </w:rPr>
              <w:t>Impacto Directo</w:t>
            </w:r>
          </w:p>
        </w:tc>
        <w:tc>
          <w:tcPr>
            <w:tcW w:w="2453" w:type="dxa"/>
          </w:tcPr>
          <w:p>
            <w:pPr>
              <w:pStyle w:val="TableParagraph"/>
              <w:spacing w:before="6"/>
              <w:rPr>
                <w:rFonts w:ascii="Times New Roman"/>
                <w:sz w:val="19"/>
              </w:rPr>
            </w:pPr>
          </w:p>
          <w:p>
            <w:pPr>
              <w:pStyle w:val="TableParagraph"/>
              <w:ind w:left="76"/>
              <w:rPr>
                <w:sz w:val="11"/>
              </w:rPr>
            </w:pPr>
            <w:r>
              <w:rPr>
                <w:sz w:val="11"/>
              </w:rPr>
              <w:t>TMCaCU = (TDfCaCU/PTMuJ)100,000</w:t>
            </w:r>
          </w:p>
        </w:tc>
        <w:tc>
          <w:tcPr>
            <w:tcW w:w="2592" w:type="dxa"/>
          </w:tcPr>
          <w:p>
            <w:pPr>
              <w:pStyle w:val="TableParagraph"/>
              <w:spacing w:before="81"/>
              <w:ind w:left="76" w:right="82" w:firstLine="31"/>
              <w:rPr>
                <w:sz w:val="11"/>
              </w:rPr>
            </w:pPr>
            <w:r>
              <w:rPr>
                <w:sz w:val="11"/>
              </w:rPr>
              <w:t>INEGI/SS Después de la confronta de rectificación y ratificación de causas, Sitio de la Dirección General de Información en Salud (DGIS).</w:t>
            </w:r>
            <w:r>
              <w:rPr>
                <w:spacing w:val="-3"/>
                <w:sz w:val="11"/>
              </w:rPr>
              <w:t> </w:t>
            </w:r>
            <w:r>
              <w:rPr>
                <w:sz w:val="11"/>
              </w:rPr>
              <w:t>2017.</w:t>
            </w:r>
          </w:p>
        </w:tc>
      </w:tr>
      <w:tr>
        <w:trPr>
          <w:trHeight w:val="791" w:hRule="atLeast"/>
        </w:trPr>
        <w:tc>
          <w:tcPr>
            <w:tcW w:w="1438" w:type="dxa"/>
            <w:shd w:val="clear" w:color="auto" w:fill="EDEDED"/>
          </w:tcPr>
          <w:p>
            <w:pPr>
              <w:pStyle w:val="TableParagraph"/>
              <w:spacing w:before="83"/>
              <w:ind w:left="79" w:right="85"/>
              <w:rPr>
                <w:sz w:val="11"/>
              </w:rPr>
            </w:pPr>
            <w:r>
              <w:rPr>
                <w:sz w:val="11"/>
              </w:rPr>
              <w:t>Tasa de mortalidad por cáncer de mama por cien mil mujeres</w:t>
            </w:r>
          </w:p>
        </w:tc>
        <w:tc>
          <w:tcPr>
            <w:tcW w:w="579" w:type="dxa"/>
            <w:shd w:val="clear" w:color="auto" w:fill="EDEDED"/>
          </w:tcPr>
          <w:p>
            <w:pPr>
              <w:pStyle w:val="TableParagraph"/>
              <w:spacing w:before="83"/>
              <w:ind w:left="78"/>
              <w:rPr>
                <w:sz w:val="11"/>
              </w:rPr>
            </w:pPr>
            <w:r>
              <w:rPr>
                <w:sz w:val="11"/>
              </w:rPr>
              <w:t>Tasa</w:t>
            </w:r>
          </w:p>
        </w:tc>
        <w:tc>
          <w:tcPr>
            <w:tcW w:w="447" w:type="dxa"/>
            <w:shd w:val="clear" w:color="auto" w:fill="EDEDED"/>
          </w:tcPr>
          <w:p>
            <w:pPr>
              <w:pStyle w:val="TableParagraph"/>
              <w:spacing w:before="83"/>
              <w:ind w:right="70"/>
              <w:jc w:val="right"/>
              <w:rPr>
                <w:sz w:val="11"/>
              </w:rPr>
            </w:pPr>
            <w:r>
              <w:rPr>
                <w:sz w:val="11"/>
              </w:rPr>
              <w:t>8.44</w:t>
            </w:r>
          </w:p>
        </w:tc>
        <w:tc>
          <w:tcPr>
            <w:tcW w:w="582" w:type="dxa"/>
            <w:shd w:val="clear" w:color="auto" w:fill="EDEDED"/>
          </w:tcPr>
          <w:p>
            <w:pPr>
              <w:pStyle w:val="TableParagraph"/>
              <w:spacing w:before="83"/>
              <w:ind w:right="73"/>
              <w:jc w:val="right"/>
              <w:rPr>
                <w:sz w:val="11"/>
              </w:rPr>
            </w:pPr>
            <w:r>
              <w:rPr>
                <w:sz w:val="11"/>
              </w:rPr>
              <w:t>2017</w:t>
            </w:r>
          </w:p>
        </w:tc>
        <w:tc>
          <w:tcPr>
            <w:tcW w:w="845" w:type="dxa"/>
            <w:shd w:val="clear" w:color="auto" w:fill="EDEDED"/>
          </w:tcPr>
          <w:p>
            <w:pPr>
              <w:pStyle w:val="TableParagraph"/>
              <w:spacing w:before="83"/>
              <w:ind w:left="79"/>
              <w:rPr>
                <w:sz w:val="11"/>
              </w:rPr>
            </w:pPr>
            <w:r>
              <w:rPr>
                <w:sz w:val="11"/>
              </w:rPr>
              <w:t>Anual</w:t>
            </w:r>
          </w:p>
        </w:tc>
        <w:tc>
          <w:tcPr>
            <w:tcW w:w="725" w:type="dxa"/>
            <w:shd w:val="clear" w:color="auto" w:fill="EDEDED"/>
          </w:tcPr>
          <w:p>
            <w:pPr>
              <w:pStyle w:val="TableParagraph"/>
              <w:spacing w:before="83"/>
              <w:ind w:left="79" w:right="162"/>
              <w:rPr>
                <w:sz w:val="11"/>
              </w:rPr>
            </w:pPr>
            <w:r>
              <w:rPr>
                <w:sz w:val="11"/>
              </w:rPr>
              <w:t>Impacto Directo</w:t>
            </w:r>
          </w:p>
        </w:tc>
        <w:tc>
          <w:tcPr>
            <w:tcW w:w="2453" w:type="dxa"/>
            <w:shd w:val="clear" w:color="auto" w:fill="EDEDED"/>
          </w:tcPr>
          <w:p>
            <w:pPr>
              <w:pStyle w:val="TableParagraph"/>
              <w:spacing w:before="9"/>
              <w:rPr>
                <w:rFonts w:ascii="Times New Roman"/>
                <w:sz w:val="19"/>
              </w:rPr>
            </w:pPr>
          </w:p>
          <w:p>
            <w:pPr>
              <w:pStyle w:val="TableParagraph"/>
              <w:ind w:left="76"/>
              <w:rPr>
                <w:sz w:val="11"/>
              </w:rPr>
            </w:pPr>
            <w:r>
              <w:rPr>
                <w:sz w:val="11"/>
              </w:rPr>
              <w:t>TMCaMm= (DfCMm/PoTMJ) 100,000</w:t>
            </w:r>
          </w:p>
        </w:tc>
        <w:tc>
          <w:tcPr>
            <w:tcW w:w="2592" w:type="dxa"/>
            <w:shd w:val="clear" w:color="auto" w:fill="EDEDED"/>
          </w:tcPr>
          <w:p>
            <w:pPr>
              <w:pStyle w:val="TableParagraph"/>
              <w:spacing w:before="83"/>
              <w:ind w:left="76" w:right="116"/>
              <w:rPr>
                <w:sz w:val="11"/>
              </w:rPr>
            </w:pPr>
            <w:r>
              <w:rPr>
                <w:sz w:val="11"/>
              </w:rPr>
              <w:t>Secretaría de Salud, Gobierno de Jalisco, INEGI y datos de población estimados por el Consejo Nacional de Población (CONAPO), 2017</w:t>
            </w:r>
          </w:p>
        </w:tc>
      </w:tr>
      <w:tr>
        <w:trPr>
          <w:trHeight w:val="1279" w:hRule="atLeast"/>
        </w:trPr>
        <w:tc>
          <w:tcPr>
            <w:tcW w:w="1438" w:type="dxa"/>
          </w:tcPr>
          <w:p>
            <w:pPr>
              <w:pStyle w:val="TableParagraph"/>
              <w:spacing w:before="7"/>
              <w:rPr>
                <w:rFonts w:ascii="Times New Roman"/>
                <w:sz w:val="19"/>
              </w:rPr>
            </w:pPr>
          </w:p>
          <w:p>
            <w:pPr>
              <w:pStyle w:val="TableParagraph"/>
              <w:spacing w:line="499" w:lineRule="auto"/>
              <w:ind w:left="79" w:right="85"/>
              <w:rPr>
                <w:sz w:val="11"/>
              </w:rPr>
            </w:pPr>
            <w:r>
              <w:rPr>
                <w:sz w:val="11"/>
              </w:rPr>
              <w:t>Tasa de mortalidad por diabetes mellitus por cada cien mil</w:t>
            </w:r>
          </w:p>
          <w:p>
            <w:pPr>
              <w:pStyle w:val="TableParagraph"/>
              <w:spacing w:line="133" w:lineRule="exact"/>
              <w:ind w:left="79"/>
              <w:rPr>
                <w:sz w:val="11"/>
              </w:rPr>
            </w:pPr>
            <w:r>
              <w:rPr>
                <w:sz w:val="11"/>
              </w:rPr>
              <w:t>habitantes</w:t>
            </w:r>
          </w:p>
        </w:tc>
        <w:tc>
          <w:tcPr>
            <w:tcW w:w="579" w:type="dxa"/>
          </w:tcPr>
          <w:p>
            <w:pPr>
              <w:pStyle w:val="TableParagraph"/>
              <w:spacing w:before="81"/>
              <w:ind w:left="78"/>
              <w:rPr>
                <w:sz w:val="11"/>
              </w:rPr>
            </w:pPr>
            <w:r>
              <w:rPr>
                <w:sz w:val="11"/>
              </w:rPr>
              <w:t>Tasa</w:t>
            </w:r>
          </w:p>
        </w:tc>
        <w:tc>
          <w:tcPr>
            <w:tcW w:w="447" w:type="dxa"/>
          </w:tcPr>
          <w:p>
            <w:pPr>
              <w:pStyle w:val="TableParagraph"/>
              <w:spacing w:before="81"/>
              <w:ind w:right="70"/>
              <w:jc w:val="right"/>
              <w:rPr>
                <w:sz w:val="11"/>
              </w:rPr>
            </w:pPr>
            <w:r>
              <w:rPr>
                <w:sz w:val="11"/>
              </w:rPr>
              <w:t>71.83</w:t>
            </w:r>
          </w:p>
        </w:tc>
        <w:tc>
          <w:tcPr>
            <w:tcW w:w="582" w:type="dxa"/>
          </w:tcPr>
          <w:p>
            <w:pPr>
              <w:pStyle w:val="TableParagraph"/>
              <w:spacing w:before="81"/>
              <w:ind w:right="73"/>
              <w:jc w:val="right"/>
              <w:rPr>
                <w:sz w:val="11"/>
              </w:rPr>
            </w:pPr>
            <w:r>
              <w:rPr>
                <w:sz w:val="11"/>
              </w:rPr>
              <w:t>2017</w:t>
            </w:r>
          </w:p>
        </w:tc>
        <w:tc>
          <w:tcPr>
            <w:tcW w:w="845" w:type="dxa"/>
          </w:tcPr>
          <w:p>
            <w:pPr>
              <w:pStyle w:val="TableParagraph"/>
              <w:spacing w:before="81"/>
              <w:ind w:left="79"/>
              <w:rPr>
                <w:sz w:val="11"/>
              </w:rPr>
            </w:pPr>
            <w:r>
              <w:rPr>
                <w:sz w:val="11"/>
              </w:rPr>
              <w:t>Anual</w:t>
            </w:r>
          </w:p>
        </w:tc>
        <w:tc>
          <w:tcPr>
            <w:tcW w:w="725" w:type="dxa"/>
          </w:tcPr>
          <w:p>
            <w:pPr>
              <w:pStyle w:val="TableParagraph"/>
              <w:spacing w:line="244" w:lineRule="auto" w:before="81"/>
              <w:ind w:left="79" w:right="162"/>
              <w:rPr>
                <w:sz w:val="11"/>
              </w:rPr>
            </w:pPr>
            <w:r>
              <w:rPr>
                <w:sz w:val="11"/>
              </w:rPr>
              <w:t>Impacto Directo</w:t>
            </w:r>
          </w:p>
        </w:tc>
        <w:tc>
          <w:tcPr>
            <w:tcW w:w="2453" w:type="dxa"/>
          </w:tcPr>
          <w:p>
            <w:pPr>
              <w:pStyle w:val="TableParagraph"/>
              <w:spacing w:before="7"/>
              <w:rPr>
                <w:rFonts w:ascii="Times New Roman"/>
                <w:sz w:val="19"/>
              </w:rPr>
            </w:pPr>
          </w:p>
          <w:p>
            <w:pPr>
              <w:pStyle w:val="TableParagraph"/>
              <w:ind w:left="76"/>
              <w:rPr>
                <w:sz w:val="11"/>
              </w:rPr>
            </w:pPr>
            <w:r>
              <w:rPr>
                <w:sz w:val="11"/>
              </w:rPr>
              <w:t>TMDiMs= (DfDiMs/PoTJ) 100,000</w:t>
            </w:r>
          </w:p>
        </w:tc>
        <w:tc>
          <w:tcPr>
            <w:tcW w:w="2592" w:type="dxa"/>
          </w:tcPr>
          <w:p>
            <w:pPr>
              <w:pStyle w:val="TableParagraph"/>
              <w:spacing w:before="81"/>
              <w:ind w:left="76" w:right="116"/>
              <w:rPr>
                <w:sz w:val="11"/>
              </w:rPr>
            </w:pPr>
            <w:r>
              <w:rPr>
                <w:sz w:val="11"/>
              </w:rPr>
              <w:t>Secretaría de Salud, Gobierno de Jalisco, INEGI y datos de población estimados por el Consejo Nacional de Población (Conapo), 2017.</w:t>
            </w:r>
          </w:p>
        </w:tc>
      </w:tr>
      <w:tr>
        <w:trPr>
          <w:trHeight w:val="832" w:hRule="atLeast"/>
        </w:trPr>
        <w:tc>
          <w:tcPr>
            <w:tcW w:w="1438" w:type="dxa"/>
            <w:shd w:val="clear" w:color="auto" w:fill="EDEDED"/>
          </w:tcPr>
          <w:p>
            <w:pPr>
              <w:pStyle w:val="TableParagraph"/>
              <w:spacing w:before="83"/>
              <w:ind w:left="79" w:right="238"/>
              <w:rPr>
                <w:sz w:val="11"/>
              </w:rPr>
            </w:pPr>
            <w:r>
              <w:rPr>
                <w:sz w:val="11"/>
              </w:rPr>
              <w:t>Tasa de suicidios por cada 100 mil habitantes</w:t>
            </w:r>
          </w:p>
        </w:tc>
        <w:tc>
          <w:tcPr>
            <w:tcW w:w="579" w:type="dxa"/>
            <w:shd w:val="clear" w:color="auto" w:fill="EDEDED"/>
          </w:tcPr>
          <w:p>
            <w:pPr>
              <w:pStyle w:val="TableParagraph"/>
              <w:spacing w:before="83"/>
              <w:ind w:left="78"/>
              <w:rPr>
                <w:sz w:val="11"/>
              </w:rPr>
            </w:pPr>
            <w:r>
              <w:rPr>
                <w:sz w:val="11"/>
              </w:rPr>
              <w:t>Tasa</w:t>
            </w:r>
          </w:p>
        </w:tc>
        <w:tc>
          <w:tcPr>
            <w:tcW w:w="447" w:type="dxa"/>
            <w:shd w:val="clear" w:color="auto" w:fill="EDEDED"/>
          </w:tcPr>
          <w:p>
            <w:pPr>
              <w:pStyle w:val="TableParagraph"/>
              <w:spacing w:before="83"/>
              <w:ind w:right="70"/>
              <w:jc w:val="right"/>
              <w:rPr>
                <w:sz w:val="11"/>
              </w:rPr>
            </w:pPr>
            <w:r>
              <w:rPr>
                <w:sz w:val="11"/>
              </w:rPr>
              <w:t>4.23</w:t>
            </w:r>
          </w:p>
        </w:tc>
        <w:tc>
          <w:tcPr>
            <w:tcW w:w="582" w:type="dxa"/>
            <w:shd w:val="clear" w:color="auto" w:fill="EDEDED"/>
          </w:tcPr>
          <w:p>
            <w:pPr>
              <w:pStyle w:val="TableParagraph"/>
              <w:spacing w:before="83"/>
              <w:ind w:right="73"/>
              <w:jc w:val="right"/>
              <w:rPr>
                <w:sz w:val="11"/>
              </w:rPr>
            </w:pPr>
            <w:r>
              <w:rPr>
                <w:sz w:val="11"/>
              </w:rPr>
              <w:t>2017</w:t>
            </w:r>
          </w:p>
        </w:tc>
        <w:tc>
          <w:tcPr>
            <w:tcW w:w="845" w:type="dxa"/>
            <w:shd w:val="clear" w:color="auto" w:fill="EDEDED"/>
          </w:tcPr>
          <w:p>
            <w:pPr>
              <w:pStyle w:val="TableParagraph"/>
              <w:spacing w:before="83"/>
              <w:ind w:left="79"/>
              <w:rPr>
                <w:sz w:val="11"/>
              </w:rPr>
            </w:pPr>
            <w:r>
              <w:rPr>
                <w:sz w:val="11"/>
              </w:rPr>
              <w:t>Anual</w:t>
            </w:r>
          </w:p>
        </w:tc>
        <w:tc>
          <w:tcPr>
            <w:tcW w:w="725" w:type="dxa"/>
            <w:shd w:val="clear" w:color="auto" w:fill="EDEDED"/>
          </w:tcPr>
          <w:p>
            <w:pPr>
              <w:pStyle w:val="TableParagraph"/>
              <w:spacing w:before="83"/>
              <w:ind w:left="79" w:right="162"/>
              <w:rPr>
                <w:sz w:val="11"/>
              </w:rPr>
            </w:pPr>
            <w:r>
              <w:rPr>
                <w:sz w:val="11"/>
              </w:rPr>
              <w:t>Impacto Directo</w:t>
            </w:r>
          </w:p>
        </w:tc>
        <w:tc>
          <w:tcPr>
            <w:tcW w:w="2453" w:type="dxa"/>
            <w:shd w:val="clear" w:color="auto" w:fill="EDEDED"/>
          </w:tcPr>
          <w:p>
            <w:pPr>
              <w:pStyle w:val="TableParagraph"/>
              <w:spacing w:before="9"/>
              <w:rPr>
                <w:rFonts w:ascii="Times New Roman"/>
                <w:sz w:val="19"/>
              </w:rPr>
            </w:pPr>
          </w:p>
          <w:p>
            <w:pPr>
              <w:pStyle w:val="TableParagraph"/>
              <w:ind w:left="76"/>
              <w:rPr>
                <w:sz w:val="11"/>
              </w:rPr>
            </w:pPr>
            <w:r>
              <w:rPr>
                <w:sz w:val="11"/>
              </w:rPr>
              <w:t>TSd = [((∑_(j=1)^125Sdj)/PobTl)100,000]</w:t>
            </w:r>
          </w:p>
        </w:tc>
        <w:tc>
          <w:tcPr>
            <w:tcW w:w="2592" w:type="dxa"/>
            <w:shd w:val="clear" w:color="auto" w:fill="EDEDED"/>
          </w:tcPr>
          <w:p>
            <w:pPr>
              <w:pStyle w:val="TableParagraph"/>
              <w:spacing w:before="83"/>
              <w:ind w:left="76" w:right="116"/>
              <w:rPr>
                <w:sz w:val="11"/>
              </w:rPr>
            </w:pPr>
            <w:r>
              <w:rPr>
                <w:sz w:val="11"/>
              </w:rPr>
              <w:t>Secretaría de Salud, Gobierno de Jalisco, INEGI y datos de población estimados por el Consejo Nacional de Población (CONAPO), 2017</w:t>
            </w:r>
          </w:p>
        </w:tc>
      </w:tr>
      <w:tr>
        <w:trPr>
          <w:trHeight w:val="700" w:hRule="atLeast"/>
        </w:trPr>
        <w:tc>
          <w:tcPr>
            <w:tcW w:w="1438" w:type="dxa"/>
          </w:tcPr>
          <w:p>
            <w:pPr>
              <w:pStyle w:val="TableParagraph"/>
              <w:spacing w:before="81"/>
              <w:ind w:left="79" w:right="140"/>
              <w:rPr>
                <w:sz w:val="11"/>
              </w:rPr>
            </w:pPr>
            <w:r>
              <w:rPr>
                <w:sz w:val="11"/>
              </w:rPr>
              <w:t>Alumnos atendidos en educación especial</w:t>
            </w:r>
          </w:p>
        </w:tc>
        <w:tc>
          <w:tcPr>
            <w:tcW w:w="579" w:type="dxa"/>
          </w:tcPr>
          <w:p>
            <w:pPr>
              <w:pStyle w:val="TableParagraph"/>
              <w:spacing w:before="81"/>
              <w:ind w:left="78" w:right="63"/>
              <w:rPr>
                <w:sz w:val="11"/>
              </w:rPr>
            </w:pPr>
            <w:r>
              <w:rPr>
                <w:sz w:val="11"/>
              </w:rPr>
              <w:t>Alumno s</w:t>
            </w:r>
          </w:p>
        </w:tc>
        <w:tc>
          <w:tcPr>
            <w:tcW w:w="447" w:type="dxa"/>
          </w:tcPr>
          <w:p>
            <w:pPr>
              <w:pStyle w:val="TableParagraph"/>
              <w:spacing w:before="81"/>
              <w:ind w:right="70"/>
              <w:jc w:val="right"/>
              <w:rPr>
                <w:sz w:val="11"/>
              </w:rPr>
            </w:pPr>
            <w:r>
              <w:rPr>
                <w:sz w:val="11"/>
              </w:rPr>
              <w:t>209</w:t>
            </w:r>
          </w:p>
        </w:tc>
        <w:tc>
          <w:tcPr>
            <w:tcW w:w="582" w:type="dxa"/>
          </w:tcPr>
          <w:p>
            <w:pPr>
              <w:pStyle w:val="TableParagraph"/>
              <w:spacing w:before="81"/>
              <w:ind w:right="73"/>
              <w:jc w:val="right"/>
              <w:rPr>
                <w:sz w:val="11"/>
              </w:rPr>
            </w:pPr>
            <w:r>
              <w:rPr>
                <w:sz w:val="11"/>
              </w:rPr>
              <w:t>2017</w:t>
            </w:r>
          </w:p>
        </w:tc>
        <w:tc>
          <w:tcPr>
            <w:tcW w:w="845" w:type="dxa"/>
          </w:tcPr>
          <w:p>
            <w:pPr>
              <w:pStyle w:val="TableParagraph"/>
              <w:spacing w:before="81"/>
              <w:ind w:left="79"/>
              <w:rPr>
                <w:sz w:val="11"/>
              </w:rPr>
            </w:pPr>
            <w:r>
              <w:rPr>
                <w:sz w:val="11"/>
              </w:rPr>
              <w:t>Anual</w:t>
            </w:r>
          </w:p>
        </w:tc>
        <w:tc>
          <w:tcPr>
            <w:tcW w:w="725" w:type="dxa"/>
          </w:tcPr>
          <w:p>
            <w:pPr>
              <w:pStyle w:val="TableParagraph"/>
              <w:spacing w:before="81"/>
              <w:ind w:left="79"/>
              <w:rPr>
                <w:sz w:val="11"/>
              </w:rPr>
            </w:pPr>
            <w:r>
              <w:rPr>
                <w:sz w:val="11"/>
              </w:rPr>
              <w:t>Resultado</w:t>
            </w:r>
          </w:p>
        </w:tc>
        <w:tc>
          <w:tcPr>
            <w:tcW w:w="2453" w:type="dxa"/>
          </w:tcPr>
          <w:p>
            <w:pPr>
              <w:pStyle w:val="TableParagraph"/>
              <w:spacing w:before="6"/>
              <w:rPr>
                <w:rFonts w:ascii="Times New Roman"/>
                <w:sz w:val="19"/>
              </w:rPr>
            </w:pPr>
          </w:p>
          <w:p>
            <w:pPr>
              <w:pStyle w:val="TableParagraph"/>
              <w:ind w:left="76"/>
              <w:rPr>
                <w:sz w:val="11"/>
              </w:rPr>
            </w:pPr>
            <w:r>
              <w:rPr>
                <w:sz w:val="11"/>
              </w:rPr>
              <w:t>AIEE=∑_(j=1)^n CAMj+∑_(i=1)^n USAERi</w:t>
            </w:r>
          </w:p>
        </w:tc>
        <w:tc>
          <w:tcPr>
            <w:tcW w:w="2592" w:type="dxa"/>
          </w:tcPr>
          <w:p>
            <w:pPr>
              <w:pStyle w:val="TableParagraph"/>
              <w:spacing w:before="81"/>
              <w:ind w:left="76" w:right="470"/>
              <w:jc w:val="both"/>
              <w:rPr>
                <w:sz w:val="11"/>
              </w:rPr>
            </w:pPr>
            <w:r>
              <w:rPr>
                <w:sz w:val="11"/>
              </w:rPr>
              <w:t>Dirección de Estadística y Sistemas de Información. Secretaría de Educación Jalisco. Agosto 2018.</w:t>
            </w:r>
          </w:p>
        </w:tc>
      </w:tr>
      <w:tr>
        <w:trPr>
          <w:trHeight w:val="712" w:hRule="atLeast"/>
        </w:trPr>
        <w:tc>
          <w:tcPr>
            <w:tcW w:w="1438" w:type="dxa"/>
            <w:shd w:val="clear" w:color="auto" w:fill="EDEDED"/>
          </w:tcPr>
          <w:p>
            <w:pPr>
              <w:pStyle w:val="TableParagraph"/>
              <w:spacing w:before="83"/>
              <w:ind w:left="79" w:right="248"/>
              <w:rPr>
                <w:sz w:val="11"/>
              </w:rPr>
            </w:pPr>
            <w:r>
              <w:rPr>
                <w:sz w:val="11"/>
              </w:rPr>
              <w:t>Espacios educativos construidos, rehabilitados o equipados</w:t>
            </w:r>
          </w:p>
        </w:tc>
        <w:tc>
          <w:tcPr>
            <w:tcW w:w="579" w:type="dxa"/>
            <w:shd w:val="clear" w:color="auto" w:fill="EDEDED"/>
          </w:tcPr>
          <w:p>
            <w:pPr>
              <w:pStyle w:val="TableParagraph"/>
              <w:spacing w:before="83"/>
              <w:ind w:left="78" w:right="58"/>
              <w:rPr>
                <w:sz w:val="11"/>
              </w:rPr>
            </w:pPr>
            <w:r>
              <w:rPr>
                <w:sz w:val="11"/>
              </w:rPr>
              <w:t>Espacio s</w:t>
            </w:r>
          </w:p>
        </w:tc>
        <w:tc>
          <w:tcPr>
            <w:tcW w:w="447" w:type="dxa"/>
            <w:shd w:val="clear" w:color="auto" w:fill="EDEDED"/>
          </w:tcPr>
          <w:p>
            <w:pPr>
              <w:pStyle w:val="TableParagraph"/>
              <w:spacing w:before="83"/>
              <w:ind w:right="70"/>
              <w:jc w:val="right"/>
              <w:rPr>
                <w:sz w:val="11"/>
              </w:rPr>
            </w:pPr>
            <w:r>
              <w:rPr>
                <w:w w:val="100"/>
                <w:sz w:val="11"/>
              </w:rPr>
              <w:t>2</w:t>
            </w:r>
          </w:p>
        </w:tc>
        <w:tc>
          <w:tcPr>
            <w:tcW w:w="582" w:type="dxa"/>
            <w:shd w:val="clear" w:color="auto" w:fill="EDEDED"/>
          </w:tcPr>
          <w:p>
            <w:pPr>
              <w:pStyle w:val="TableParagraph"/>
              <w:spacing w:before="83"/>
              <w:ind w:right="73"/>
              <w:jc w:val="right"/>
              <w:rPr>
                <w:sz w:val="11"/>
              </w:rPr>
            </w:pPr>
            <w:r>
              <w:rPr>
                <w:sz w:val="11"/>
              </w:rPr>
              <w:t>2017</w:t>
            </w:r>
          </w:p>
        </w:tc>
        <w:tc>
          <w:tcPr>
            <w:tcW w:w="845" w:type="dxa"/>
            <w:shd w:val="clear" w:color="auto" w:fill="EDEDED"/>
          </w:tcPr>
          <w:p>
            <w:pPr>
              <w:pStyle w:val="TableParagraph"/>
              <w:spacing w:before="83"/>
              <w:ind w:left="79"/>
              <w:rPr>
                <w:sz w:val="11"/>
              </w:rPr>
            </w:pPr>
            <w:r>
              <w:rPr>
                <w:sz w:val="11"/>
              </w:rPr>
              <w:t>Mensual</w:t>
            </w:r>
          </w:p>
        </w:tc>
        <w:tc>
          <w:tcPr>
            <w:tcW w:w="725" w:type="dxa"/>
            <w:shd w:val="clear" w:color="auto" w:fill="EDEDED"/>
          </w:tcPr>
          <w:p>
            <w:pPr>
              <w:pStyle w:val="TableParagraph"/>
              <w:spacing w:before="83"/>
              <w:ind w:left="79"/>
              <w:rPr>
                <w:sz w:val="11"/>
              </w:rPr>
            </w:pPr>
            <w:r>
              <w:rPr>
                <w:sz w:val="11"/>
              </w:rPr>
              <w:t>Producto</w:t>
            </w:r>
          </w:p>
        </w:tc>
        <w:tc>
          <w:tcPr>
            <w:tcW w:w="2453" w:type="dxa"/>
            <w:shd w:val="clear" w:color="auto" w:fill="EDEDED"/>
          </w:tcPr>
          <w:p>
            <w:pPr>
              <w:pStyle w:val="TableParagraph"/>
              <w:spacing w:before="9"/>
              <w:rPr>
                <w:rFonts w:ascii="Times New Roman"/>
                <w:sz w:val="19"/>
              </w:rPr>
            </w:pPr>
          </w:p>
          <w:p>
            <w:pPr>
              <w:pStyle w:val="TableParagraph"/>
              <w:ind w:left="76"/>
              <w:rPr>
                <w:sz w:val="11"/>
              </w:rPr>
            </w:pPr>
            <w:r>
              <w:rPr>
                <w:sz w:val="11"/>
              </w:rPr>
              <w:t>EE = A+L+T+An</w:t>
            </w:r>
          </w:p>
        </w:tc>
        <w:tc>
          <w:tcPr>
            <w:tcW w:w="2592" w:type="dxa"/>
            <w:shd w:val="clear" w:color="auto" w:fill="EDEDED"/>
          </w:tcPr>
          <w:p>
            <w:pPr>
              <w:pStyle w:val="TableParagraph"/>
              <w:spacing w:before="83"/>
              <w:ind w:left="76" w:right="127"/>
              <w:jc w:val="both"/>
              <w:rPr>
                <w:sz w:val="11"/>
              </w:rPr>
            </w:pPr>
            <w:r>
              <w:rPr>
                <w:sz w:val="11"/>
              </w:rPr>
              <w:t>Secretaría de Educación Jalisco. Instituto de la Infraestructura Física Educativa del Estado de Jalisco (INFEJAL). Abril 2019.</w:t>
            </w:r>
          </w:p>
        </w:tc>
      </w:tr>
      <w:tr>
        <w:trPr>
          <w:trHeight w:val="991" w:hRule="atLeast"/>
        </w:trPr>
        <w:tc>
          <w:tcPr>
            <w:tcW w:w="1438" w:type="dxa"/>
          </w:tcPr>
          <w:p>
            <w:pPr>
              <w:pStyle w:val="TableParagraph"/>
              <w:spacing w:before="82"/>
              <w:ind w:left="79" w:right="250"/>
              <w:rPr>
                <w:sz w:val="11"/>
              </w:rPr>
            </w:pPr>
            <w:r>
              <w:rPr>
                <w:sz w:val="11"/>
              </w:rPr>
              <w:t>Grado promedio de escolaridad</w:t>
            </w:r>
          </w:p>
        </w:tc>
        <w:tc>
          <w:tcPr>
            <w:tcW w:w="579" w:type="dxa"/>
          </w:tcPr>
          <w:p>
            <w:pPr>
              <w:pStyle w:val="TableParagraph"/>
              <w:spacing w:before="82"/>
              <w:ind w:left="78" w:right="140"/>
              <w:jc w:val="both"/>
              <w:rPr>
                <w:sz w:val="11"/>
              </w:rPr>
            </w:pPr>
            <w:r>
              <w:rPr>
                <w:sz w:val="11"/>
              </w:rPr>
              <w:t>Grado Prome dio</w:t>
            </w:r>
          </w:p>
        </w:tc>
        <w:tc>
          <w:tcPr>
            <w:tcW w:w="447" w:type="dxa"/>
          </w:tcPr>
          <w:p>
            <w:pPr>
              <w:pStyle w:val="TableParagraph"/>
              <w:spacing w:before="82"/>
              <w:ind w:right="70"/>
              <w:jc w:val="right"/>
              <w:rPr>
                <w:sz w:val="11"/>
              </w:rPr>
            </w:pPr>
            <w:r>
              <w:rPr>
                <w:sz w:val="11"/>
              </w:rPr>
              <w:t>8.1</w:t>
            </w:r>
          </w:p>
        </w:tc>
        <w:tc>
          <w:tcPr>
            <w:tcW w:w="582" w:type="dxa"/>
          </w:tcPr>
          <w:p>
            <w:pPr>
              <w:pStyle w:val="TableParagraph"/>
              <w:spacing w:before="82"/>
              <w:ind w:right="73"/>
              <w:jc w:val="right"/>
              <w:rPr>
                <w:sz w:val="11"/>
              </w:rPr>
            </w:pPr>
            <w:r>
              <w:rPr>
                <w:sz w:val="11"/>
              </w:rPr>
              <w:t>2016</w:t>
            </w:r>
          </w:p>
        </w:tc>
        <w:tc>
          <w:tcPr>
            <w:tcW w:w="845" w:type="dxa"/>
          </w:tcPr>
          <w:p>
            <w:pPr>
              <w:pStyle w:val="TableParagraph"/>
              <w:spacing w:before="82"/>
              <w:ind w:left="79"/>
              <w:rPr>
                <w:sz w:val="11"/>
              </w:rPr>
            </w:pPr>
            <w:r>
              <w:rPr>
                <w:sz w:val="11"/>
              </w:rPr>
              <w:t>Anual</w:t>
            </w:r>
          </w:p>
        </w:tc>
        <w:tc>
          <w:tcPr>
            <w:tcW w:w="725" w:type="dxa"/>
          </w:tcPr>
          <w:p>
            <w:pPr>
              <w:pStyle w:val="TableParagraph"/>
              <w:spacing w:before="82"/>
              <w:ind w:left="79" w:right="162"/>
              <w:rPr>
                <w:sz w:val="11"/>
              </w:rPr>
            </w:pPr>
            <w:r>
              <w:rPr>
                <w:sz w:val="11"/>
              </w:rPr>
              <w:t>Impacto Directo</w:t>
            </w:r>
          </w:p>
        </w:tc>
        <w:tc>
          <w:tcPr>
            <w:tcW w:w="2453" w:type="dxa"/>
          </w:tcPr>
          <w:p>
            <w:pPr>
              <w:pStyle w:val="TableParagraph"/>
              <w:spacing w:before="7"/>
              <w:rPr>
                <w:rFonts w:ascii="Times New Roman"/>
                <w:sz w:val="19"/>
              </w:rPr>
            </w:pPr>
          </w:p>
          <w:p>
            <w:pPr>
              <w:pStyle w:val="TableParagraph"/>
              <w:spacing w:line="499" w:lineRule="auto"/>
              <w:ind w:left="76" w:right="59"/>
              <w:rPr>
                <w:sz w:val="11"/>
              </w:rPr>
            </w:pPr>
            <w:r>
              <w:rPr>
                <w:sz w:val="11"/>
              </w:rPr>
              <w:t>EM _(15 años o más)= (∑_(i=1)^(N_(15 años O más))G_i )/P_(15 años o más)</w:t>
            </w:r>
          </w:p>
        </w:tc>
        <w:tc>
          <w:tcPr>
            <w:tcW w:w="2592" w:type="dxa"/>
          </w:tcPr>
          <w:p>
            <w:pPr>
              <w:pStyle w:val="TableParagraph"/>
              <w:spacing w:before="82"/>
              <w:ind w:left="76" w:right="127"/>
              <w:rPr>
                <w:sz w:val="11"/>
              </w:rPr>
            </w:pPr>
            <w:r>
              <w:rPr>
                <w:sz w:val="11"/>
              </w:rPr>
              <w:t>Secretaría de Educación Pública (SEP). Sistema Nacional de Información Estadística Educativa (SNIEE). México: 2018.</w:t>
            </w:r>
          </w:p>
        </w:tc>
      </w:tr>
      <w:tr>
        <w:trPr>
          <w:trHeight w:val="1166" w:hRule="atLeast"/>
        </w:trPr>
        <w:tc>
          <w:tcPr>
            <w:tcW w:w="1438" w:type="dxa"/>
            <w:shd w:val="clear" w:color="auto" w:fill="EDEDED"/>
          </w:tcPr>
          <w:p>
            <w:pPr>
              <w:pStyle w:val="TableParagraph"/>
              <w:spacing w:before="6"/>
              <w:rPr>
                <w:rFonts w:ascii="Times New Roman"/>
                <w:sz w:val="19"/>
              </w:rPr>
            </w:pPr>
          </w:p>
          <w:p>
            <w:pPr>
              <w:pStyle w:val="TableParagraph"/>
              <w:ind w:left="79"/>
              <w:rPr>
                <w:sz w:val="11"/>
              </w:rPr>
            </w:pPr>
            <w:r>
              <w:rPr>
                <w:sz w:val="11"/>
              </w:rPr>
              <w:t>Población alfabetizada</w:t>
            </w:r>
          </w:p>
        </w:tc>
        <w:tc>
          <w:tcPr>
            <w:tcW w:w="579" w:type="dxa"/>
            <w:shd w:val="clear" w:color="auto" w:fill="EDEDED"/>
          </w:tcPr>
          <w:p>
            <w:pPr>
              <w:pStyle w:val="TableParagraph"/>
              <w:spacing w:before="81"/>
              <w:ind w:left="78" w:right="124"/>
              <w:rPr>
                <w:sz w:val="11"/>
              </w:rPr>
            </w:pPr>
            <w:r>
              <w:rPr>
                <w:sz w:val="11"/>
              </w:rPr>
              <w:t>Person as</w:t>
            </w:r>
          </w:p>
        </w:tc>
        <w:tc>
          <w:tcPr>
            <w:tcW w:w="447" w:type="dxa"/>
            <w:shd w:val="clear" w:color="auto" w:fill="EDEDED"/>
          </w:tcPr>
          <w:p>
            <w:pPr>
              <w:pStyle w:val="TableParagraph"/>
              <w:spacing w:before="81"/>
              <w:ind w:right="70"/>
              <w:jc w:val="right"/>
              <w:rPr>
                <w:sz w:val="11"/>
              </w:rPr>
            </w:pPr>
            <w:r>
              <w:rPr>
                <w:w w:val="100"/>
                <w:sz w:val="11"/>
              </w:rPr>
              <w:t>2</w:t>
            </w:r>
          </w:p>
        </w:tc>
        <w:tc>
          <w:tcPr>
            <w:tcW w:w="582" w:type="dxa"/>
            <w:shd w:val="clear" w:color="auto" w:fill="EDEDED"/>
          </w:tcPr>
          <w:p>
            <w:pPr>
              <w:pStyle w:val="TableParagraph"/>
              <w:spacing w:before="81"/>
              <w:ind w:right="73"/>
              <w:jc w:val="right"/>
              <w:rPr>
                <w:sz w:val="11"/>
              </w:rPr>
            </w:pPr>
            <w:r>
              <w:rPr>
                <w:sz w:val="11"/>
              </w:rPr>
              <w:t>2019</w:t>
            </w:r>
          </w:p>
        </w:tc>
        <w:tc>
          <w:tcPr>
            <w:tcW w:w="845" w:type="dxa"/>
            <w:shd w:val="clear" w:color="auto" w:fill="EDEDED"/>
          </w:tcPr>
          <w:p>
            <w:pPr>
              <w:pStyle w:val="TableParagraph"/>
              <w:spacing w:before="81"/>
              <w:ind w:left="79"/>
              <w:rPr>
                <w:sz w:val="11"/>
              </w:rPr>
            </w:pPr>
            <w:r>
              <w:rPr>
                <w:sz w:val="11"/>
              </w:rPr>
              <w:t>Mensual</w:t>
            </w:r>
          </w:p>
        </w:tc>
        <w:tc>
          <w:tcPr>
            <w:tcW w:w="725" w:type="dxa"/>
            <w:shd w:val="clear" w:color="auto" w:fill="EDEDED"/>
          </w:tcPr>
          <w:p>
            <w:pPr>
              <w:pStyle w:val="TableParagraph"/>
              <w:spacing w:before="81"/>
              <w:ind w:left="79"/>
              <w:rPr>
                <w:sz w:val="11"/>
              </w:rPr>
            </w:pPr>
            <w:r>
              <w:rPr>
                <w:sz w:val="11"/>
              </w:rPr>
              <w:t>Resultado</w:t>
            </w:r>
          </w:p>
        </w:tc>
        <w:tc>
          <w:tcPr>
            <w:tcW w:w="2453" w:type="dxa"/>
            <w:shd w:val="clear" w:color="auto" w:fill="EDEDED"/>
          </w:tcPr>
          <w:p>
            <w:pPr>
              <w:pStyle w:val="TableParagraph"/>
              <w:spacing w:before="6"/>
              <w:rPr>
                <w:rFonts w:ascii="Times New Roman"/>
                <w:sz w:val="19"/>
              </w:rPr>
            </w:pPr>
          </w:p>
          <w:p>
            <w:pPr>
              <w:pStyle w:val="TableParagraph"/>
              <w:ind w:left="76"/>
              <w:rPr>
                <w:sz w:val="11"/>
              </w:rPr>
            </w:pPr>
            <w:r>
              <w:rPr>
                <w:sz w:val="11"/>
              </w:rPr>
              <w:t>PA= ∑_(J=1)^125PAj</w:t>
            </w:r>
          </w:p>
        </w:tc>
        <w:tc>
          <w:tcPr>
            <w:tcW w:w="2592" w:type="dxa"/>
            <w:shd w:val="clear" w:color="auto" w:fill="EDEDED"/>
          </w:tcPr>
          <w:p>
            <w:pPr>
              <w:pStyle w:val="TableParagraph"/>
              <w:spacing w:before="81"/>
              <w:ind w:left="76" w:right="302" w:firstLine="31"/>
              <w:rPr>
                <w:sz w:val="11"/>
              </w:rPr>
            </w:pPr>
            <w:r>
              <w:rPr>
                <w:sz w:val="11"/>
              </w:rPr>
              <w:t>Instituto Estatal para la Educación de los Jóvenes y Adultos (INEEJAD). Abril, 2019</w:t>
            </w:r>
          </w:p>
        </w:tc>
      </w:tr>
    </w:tbl>
    <w:p>
      <w:pPr>
        <w:spacing w:after="0"/>
        <w:rPr>
          <w:sz w:val="11"/>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8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438"/>
        <w:gridCol w:w="579"/>
        <w:gridCol w:w="447"/>
        <w:gridCol w:w="582"/>
        <w:gridCol w:w="845"/>
        <w:gridCol w:w="725"/>
        <w:gridCol w:w="2453"/>
        <w:gridCol w:w="2592"/>
      </w:tblGrid>
      <w:tr>
        <w:trPr>
          <w:trHeight w:val="1278" w:hRule="atLeast"/>
        </w:trPr>
        <w:tc>
          <w:tcPr>
            <w:tcW w:w="1438" w:type="dxa"/>
          </w:tcPr>
          <w:p>
            <w:pPr>
              <w:pStyle w:val="TableParagraph"/>
              <w:spacing w:before="6"/>
              <w:rPr>
                <w:rFonts w:ascii="Times New Roman"/>
                <w:sz w:val="19"/>
              </w:rPr>
            </w:pPr>
          </w:p>
          <w:p>
            <w:pPr>
              <w:pStyle w:val="TableParagraph"/>
              <w:spacing w:line="499" w:lineRule="auto"/>
              <w:ind w:left="79" w:right="167"/>
              <w:rPr>
                <w:sz w:val="11"/>
              </w:rPr>
            </w:pPr>
            <w:r>
              <w:rPr>
                <w:sz w:val="11"/>
              </w:rPr>
              <w:t>Porcentaje de abandono escolar en educación media</w:t>
            </w:r>
          </w:p>
          <w:p>
            <w:pPr>
              <w:pStyle w:val="TableParagraph"/>
              <w:spacing w:line="133" w:lineRule="exact"/>
              <w:ind w:left="79"/>
              <w:rPr>
                <w:sz w:val="11"/>
              </w:rPr>
            </w:pPr>
            <w:r>
              <w:rPr>
                <w:sz w:val="11"/>
              </w:rPr>
              <w:t>superior</w:t>
            </w:r>
          </w:p>
        </w:tc>
        <w:tc>
          <w:tcPr>
            <w:tcW w:w="579" w:type="dxa"/>
          </w:tcPr>
          <w:p>
            <w:pPr>
              <w:pStyle w:val="TableParagraph"/>
              <w:spacing w:before="81"/>
              <w:ind w:left="78" w:right="58"/>
              <w:rPr>
                <w:sz w:val="11"/>
              </w:rPr>
            </w:pPr>
            <w:r>
              <w:rPr>
                <w:sz w:val="11"/>
              </w:rPr>
              <w:t>Porcent aje</w:t>
            </w:r>
          </w:p>
        </w:tc>
        <w:tc>
          <w:tcPr>
            <w:tcW w:w="447" w:type="dxa"/>
          </w:tcPr>
          <w:p>
            <w:pPr>
              <w:pStyle w:val="TableParagraph"/>
              <w:spacing w:before="81"/>
              <w:ind w:left="134" w:right="52"/>
              <w:jc w:val="center"/>
              <w:rPr>
                <w:sz w:val="11"/>
              </w:rPr>
            </w:pPr>
            <w:r>
              <w:rPr>
                <w:sz w:val="11"/>
              </w:rPr>
              <w:t>8.79</w:t>
            </w:r>
          </w:p>
        </w:tc>
        <w:tc>
          <w:tcPr>
            <w:tcW w:w="582" w:type="dxa"/>
          </w:tcPr>
          <w:p>
            <w:pPr>
              <w:pStyle w:val="TableParagraph"/>
              <w:spacing w:before="81"/>
              <w:ind w:right="73"/>
              <w:jc w:val="right"/>
              <w:rPr>
                <w:sz w:val="11"/>
              </w:rPr>
            </w:pPr>
            <w:r>
              <w:rPr>
                <w:sz w:val="11"/>
              </w:rPr>
              <w:t>2017</w:t>
            </w:r>
          </w:p>
        </w:tc>
        <w:tc>
          <w:tcPr>
            <w:tcW w:w="845" w:type="dxa"/>
          </w:tcPr>
          <w:p>
            <w:pPr>
              <w:pStyle w:val="TableParagraph"/>
              <w:spacing w:before="81"/>
              <w:ind w:left="79"/>
              <w:rPr>
                <w:sz w:val="11"/>
              </w:rPr>
            </w:pPr>
            <w:r>
              <w:rPr>
                <w:sz w:val="11"/>
              </w:rPr>
              <w:t>Anual</w:t>
            </w:r>
          </w:p>
        </w:tc>
        <w:tc>
          <w:tcPr>
            <w:tcW w:w="725" w:type="dxa"/>
          </w:tcPr>
          <w:p>
            <w:pPr>
              <w:pStyle w:val="TableParagraph"/>
              <w:spacing w:before="81"/>
              <w:ind w:left="79"/>
              <w:rPr>
                <w:sz w:val="11"/>
              </w:rPr>
            </w:pPr>
            <w:r>
              <w:rPr>
                <w:sz w:val="11"/>
              </w:rPr>
              <w:t>Resultado</w:t>
            </w:r>
          </w:p>
        </w:tc>
        <w:tc>
          <w:tcPr>
            <w:tcW w:w="2453" w:type="dxa"/>
          </w:tcPr>
          <w:p>
            <w:pPr>
              <w:pStyle w:val="TableParagraph"/>
              <w:spacing w:before="6"/>
              <w:rPr>
                <w:rFonts w:ascii="Times New Roman"/>
                <w:sz w:val="19"/>
              </w:rPr>
            </w:pPr>
          </w:p>
          <w:p>
            <w:pPr>
              <w:pStyle w:val="TableParagraph"/>
              <w:spacing w:line="499" w:lineRule="auto"/>
              <w:ind w:left="76" w:right="269"/>
              <w:rPr>
                <w:sz w:val="11"/>
              </w:rPr>
            </w:pPr>
            <w:r>
              <w:rPr>
                <w:sz w:val="11"/>
              </w:rPr>
              <w:t>(((_t^)MI ^MedioSup-(_t^)AEg ^(Medio Sup) )-((_t+1^)MI^MedioSup- (_t+1^)ANI_(1o )^MedioSup)</w:t>
            </w:r>
          </w:p>
          <w:p>
            <w:pPr>
              <w:pStyle w:val="TableParagraph"/>
              <w:spacing w:line="133" w:lineRule="exact"/>
              <w:ind w:left="76"/>
              <w:rPr>
                <w:sz w:val="11"/>
              </w:rPr>
            </w:pPr>
            <w:r>
              <w:rPr>
                <w:sz w:val="11"/>
              </w:rPr>
              <w:t>)/(_t^)MI^MedioSup X100</w:t>
            </w:r>
          </w:p>
        </w:tc>
        <w:tc>
          <w:tcPr>
            <w:tcW w:w="2592" w:type="dxa"/>
          </w:tcPr>
          <w:p>
            <w:pPr>
              <w:pStyle w:val="TableParagraph"/>
              <w:spacing w:before="81"/>
              <w:ind w:left="76" w:right="127"/>
              <w:rPr>
                <w:sz w:val="11"/>
              </w:rPr>
            </w:pPr>
            <w:r>
              <w:rPr>
                <w:sz w:val="11"/>
              </w:rPr>
              <w:t>Secretaría de Educación Pública (SEP). Sistema Nacional de Información Estadística Educativa (SNIEE). México: 2018</w:t>
            </w:r>
          </w:p>
        </w:tc>
      </w:tr>
      <w:tr>
        <w:trPr>
          <w:trHeight w:val="2148" w:hRule="atLeast"/>
        </w:trPr>
        <w:tc>
          <w:tcPr>
            <w:tcW w:w="1438" w:type="dxa"/>
            <w:tcBorders>
              <w:bottom w:val="single" w:sz="4" w:space="0" w:color="000000"/>
            </w:tcBorders>
            <w:shd w:val="clear" w:color="auto" w:fill="EDEDED"/>
          </w:tcPr>
          <w:p>
            <w:pPr>
              <w:pStyle w:val="TableParagraph"/>
              <w:spacing w:before="83"/>
              <w:ind w:left="79" w:right="167"/>
              <w:rPr>
                <w:sz w:val="11"/>
              </w:rPr>
            </w:pPr>
            <w:r>
              <w:rPr>
                <w:sz w:val="11"/>
              </w:rPr>
              <w:t>Porcentaje de abandono escolar en educación primaria</w:t>
            </w:r>
          </w:p>
        </w:tc>
        <w:tc>
          <w:tcPr>
            <w:tcW w:w="579" w:type="dxa"/>
            <w:tcBorders>
              <w:bottom w:val="single" w:sz="4" w:space="0" w:color="000000"/>
            </w:tcBorders>
            <w:shd w:val="clear" w:color="auto" w:fill="EDEDED"/>
          </w:tcPr>
          <w:p>
            <w:pPr>
              <w:pStyle w:val="TableParagraph"/>
              <w:spacing w:before="83"/>
              <w:ind w:left="78" w:right="58"/>
              <w:rPr>
                <w:sz w:val="11"/>
              </w:rPr>
            </w:pPr>
            <w:r>
              <w:rPr>
                <w:sz w:val="11"/>
              </w:rPr>
              <w:t>Porcent aje</w:t>
            </w:r>
          </w:p>
        </w:tc>
        <w:tc>
          <w:tcPr>
            <w:tcW w:w="447" w:type="dxa"/>
            <w:tcBorders>
              <w:bottom w:val="single" w:sz="4" w:space="0" w:color="000000"/>
            </w:tcBorders>
            <w:shd w:val="clear" w:color="auto" w:fill="EDEDED"/>
          </w:tcPr>
          <w:p>
            <w:pPr>
              <w:pStyle w:val="TableParagraph"/>
              <w:spacing w:before="83"/>
              <w:ind w:left="134" w:right="52"/>
              <w:jc w:val="center"/>
              <w:rPr>
                <w:sz w:val="11"/>
              </w:rPr>
            </w:pPr>
            <w:r>
              <w:rPr>
                <w:sz w:val="11"/>
              </w:rPr>
              <w:t>1.52</w:t>
            </w:r>
          </w:p>
        </w:tc>
        <w:tc>
          <w:tcPr>
            <w:tcW w:w="582" w:type="dxa"/>
            <w:tcBorders>
              <w:bottom w:val="single" w:sz="4" w:space="0" w:color="000000"/>
            </w:tcBorders>
            <w:shd w:val="clear" w:color="auto" w:fill="EDEDED"/>
          </w:tcPr>
          <w:p>
            <w:pPr>
              <w:pStyle w:val="TableParagraph"/>
              <w:spacing w:before="83"/>
              <w:ind w:right="73"/>
              <w:jc w:val="right"/>
              <w:rPr>
                <w:sz w:val="11"/>
              </w:rPr>
            </w:pPr>
            <w:r>
              <w:rPr>
                <w:sz w:val="11"/>
              </w:rPr>
              <w:t>2016</w:t>
            </w:r>
          </w:p>
        </w:tc>
        <w:tc>
          <w:tcPr>
            <w:tcW w:w="845" w:type="dxa"/>
            <w:tcBorders>
              <w:bottom w:val="single" w:sz="4" w:space="0" w:color="000000"/>
            </w:tcBorders>
            <w:shd w:val="clear" w:color="auto" w:fill="EDEDED"/>
          </w:tcPr>
          <w:p>
            <w:pPr>
              <w:pStyle w:val="TableParagraph"/>
              <w:spacing w:before="83"/>
              <w:ind w:left="79"/>
              <w:rPr>
                <w:sz w:val="11"/>
              </w:rPr>
            </w:pPr>
            <w:r>
              <w:rPr>
                <w:sz w:val="11"/>
              </w:rPr>
              <w:t>Anual</w:t>
            </w:r>
          </w:p>
        </w:tc>
        <w:tc>
          <w:tcPr>
            <w:tcW w:w="725" w:type="dxa"/>
            <w:tcBorders>
              <w:bottom w:val="single" w:sz="4" w:space="0" w:color="000000"/>
            </w:tcBorders>
            <w:shd w:val="clear" w:color="auto" w:fill="EDEDED"/>
          </w:tcPr>
          <w:p>
            <w:pPr>
              <w:pStyle w:val="TableParagraph"/>
              <w:spacing w:before="83"/>
              <w:ind w:left="79"/>
              <w:rPr>
                <w:sz w:val="11"/>
              </w:rPr>
            </w:pPr>
            <w:r>
              <w:rPr>
                <w:sz w:val="11"/>
              </w:rPr>
              <w:t>Resultado</w:t>
            </w:r>
          </w:p>
        </w:tc>
        <w:tc>
          <w:tcPr>
            <w:tcW w:w="2453" w:type="dxa"/>
            <w:tcBorders>
              <w:bottom w:val="single" w:sz="4" w:space="0" w:color="000000"/>
            </w:tcBorders>
            <w:shd w:val="clear" w:color="auto" w:fill="EDEDED"/>
          </w:tcPr>
          <w:p>
            <w:pPr>
              <w:pStyle w:val="TableParagraph"/>
              <w:spacing w:before="9"/>
              <w:rPr>
                <w:rFonts w:ascii="Times New Roman"/>
                <w:sz w:val="19"/>
              </w:rPr>
            </w:pPr>
          </w:p>
          <w:p>
            <w:pPr>
              <w:pStyle w:val="TableParagraph"/>
              <w:ind w:left="76"/>
              <w:rPr>
                <w:sz w:val="11"/>
              </w:rPr>
            </w:pPr>
            <w:r>
              <w:rPr>
                <w:sz w:val="11"/>
              </w:rPr>
              <w:t>(((_t^)MI ^PRIMARIA-(_t^)AEg ^PRIMARIA</w:t>
            </w:r>
          </w:p>
          <w:p>
            <w:pPr>
              <w:pStyle w:val="TableParagraph"/>
              <w:spacing w:before="8"/>
              <w:rPr>
                <w:rFonts w:ascii="Times New Roman"/>
                <w:sz w:val="12"/>
              </w:rPr>
            </w:pPr>
          </w:p>
          <w:p>
            <w:pPr>
              <w:pStyle w:val="TableParagraph"/>
              <w:ind w:left="76"/>
              <w:rPr>
                <w:sz w:val="11"/>
              </w:rPr>
            </w:pPr>
            <w:r>
              <w:rPr>
                <w:sz w:val="11"/>
              </w:rPr>
              <w:t>)-((_t+1^)MI^PRIMARIA-(_t+1^)ANI_(1o</w:t>
            </w:r>
          </w:p>
          <w:p>
            <w:pPr>
              <w:pStyle w:val="TableParagraph"/>
              <w:spacing w:before="5"/>
              <w:rPr>
                <w:rFonts w:ascii="Times New Roman"/>
                <w:sz w:val="12"/>
              </w:rPr>
            </w:pPr>
          </w:p>
          <w:p>
            <w:pPr>
              <w:pStyle w:val="TableParagraph"/>
              <w:ind w:left="76"/>
              <w:rPr>
                <w:sz w:val="11"/>
              </w:rPr>
            </w:pPr>
            <w:r>
              <w:rPr>
                <w:sz w:val="11"/>
              </w:rPr>
              <w:t>)^PRIMARIA) )/(_t^)MI^PRIMARIA</w:t>
            </w:r>
            <w:r>
              <w:rPr>
                <w:spacing w:val="-16"/>
                <w:sz w:val="11"/>
              </w:rPr>
              <w:t> </w:t>
            </w:r>
            <w:r>
              <w:rPr>
                <w:sz w:val="11"/>
              </w:rPr>
              <w:t>X100</w:t>
            </w:r>
          </w:p>
        </w:tc>
        <w:tc>
          <w:tcPr>
            <w:tcW w:w="2592" w:type="dxa"/>
            <w:tcBorders>
              <w:bottom w:val="single" w:sz="4" w:space="0" w:color="000000"/>
            </w:tcBorders>
            <w:shd w:val="clear" w:color="auto" w:fill="EDEDED"/>
          </w:tcPr>
          <w:p>
            <w:pPr>
              <w:pStyle w:val="TableParagraph"/>
              <w:spacing w:before="83"/>
              <w:ind w:left="76" w:right="127"/>
              <w:rPr>
                <w:sz w:val="11"/>
              </w:rPr>
            </w:pPr>
            <w:r>
              <w:rPr>
                <w:sz w:val="11"/>
              </w:rPr>
              <w:t>Secretaría de Educación Pública (SEP). Sistema Nacional de Información Estadística Educativa (SNIEE). México: 2018.</w:t>
            </w:r>
          </w:p>
        </w:tc>
      </w:tr>
      <w:tr>
        <w:trPr>
          <w:trHeight w:val="1276" w:hRule="atLeast"/>
        </w:trPr>
        <w:tc>
          <w:tcPr>
            <w:tcW w:w="1438" w:type="dxa"/>
            <w:tcBorders>
              <w:top w:val="single" w:sz="4" w:space="0" w:color="000000"/>
            </w:tcBorders>
          </w:tcPr>
          <w:p>
            <w:pPr>
              <w:pStyle w:val="TableParagraph"/>
              <w:spacing w:before="79"/>
              <w:ind w:left="79" w:right="111"/>
              <w:rPr>
                <w:sz w:val="11"/>
              </w:rPr>
            </w:pPr>
            <w:r>
              <w:rPr>
                <w:sz w:val="11"/>
              </w:rPr>
              <w:t>Porcentaje de abandono escolar en educación secundaria</w:t>
            </w:r>
          </w:p>
        </w:tc>
        <w:tc>
          <w:tcPr>
            <w:tcW w:w="579" w:type="dxa"/>
            <w:tcBorders>
              <w:top w:val="single" w:sz="4" w:space="0" w:color="000000"/>
            </w:tcBorders>
          </w:tcPr>
          <w:p>
            <w:pPr>
              <w:pStyle w:val="TableParagraph"/>
              <w:spacing w:before="79"/>
              <w:ind w:left="78" w:right="58"/>
              <w:rPr>
                <w:sz w:val="11"/>
              </w:rPr>
            </w:pPr>
            <w:r>
              <w:rPr>
                <w:sz w:val="11"/>
              </w:rPr>
              <w:t>Porcent aje</w:t>
            </w:r>
          </w:p>
        </w:tc>
        <w:tc>
          <w:tcPr>
            <w:tcW w:w="447" w:type="dxa"/>
            <w:tcBorders>
              <w:top w:val="single" w:sz="4" w:space="0" w:color="000000"/>
            </w:tcBorders>
          </w:tcPr>
          <w:p>
            <w:pPr>
              <w:pStyle w:val="TableParagraph"/>
              <w:spacing w:before="79"/>
              <w:ind w:left="134" w:right="52"/>
              <w:jc w:val="center"/>
              <w:rPr>
                <w:sz w:val="11"/>
              </w:rPr>
            </w:pPr>
            <w:r>
              <w:rPr>
                <w:sz w:val="11"/>
              </w:rPr>
              <w:t>3.95</w:t>
            </w:r>
          </w:p>
        </w:tc>
        <w:tc>
          <w:tcPr>
            <w:tcW w:w="582" w:type="dxa"/>
            <w:tcBorders>
              <w:top w:val="single" w:sz="4" w:space="0" w:color="000000"/>
            </w:tcBorders>
          </w:tcPr>
          <w:p>
            <w:pPr>
              <w:pStyle w:val="TableParagraph"/>
              <w:spacing w:before="79"/>
              <w:ind w:right="73"/>
              <w:jc w:val="right"/>
              <w:rPr>
                <w:sz w:val="11"/>
              </w:rPr>
            </w:pPr>
            <w:r>
              <w:rPr>
                <w:sz w:val="11"/>
              </w:rPr>
              <w:t>2017</w:t>
            </w:r>
          </w:p>
        </w:tc>
        <w:tc>
          <w:tcPr>
            <w:tcW w:w="845" w:type="dxa"/>
            <w:tcBorders>
              <w:top w:val="single" w:sz="4" w:space="0" w:color="000000"/>
            </w:tcBorders>
          </w:tcPr>
          <w:p>
            <w:pPr>
              <w:pStyle w:val="TableParagraph"/>
              <w:spacing w:before="79"/>
              <w:ind w:left="79"/>
              <w:rPr>
                <w:sz w:val="11"/>
              </w:rPr>
            </w:pPr>
            <w:r>
              <w:rPr>
                <w:sz w:val="11"/>
              </w:rPr>
              <w:t>Anual</w:t>
            </w:r>
          </w:p>
        </w:tc>
        <w:tc>
          <w:tcPr>
            <w:tcW w:w="725" w:type="dxa"/>
            <w:tcBorders>
              <w:top w:val="single" w:sz="4" w:space="0" w:color="000000"/>
            </w:tcBorders>
          </w:tcPr>
          <w:p>
            <w:pPr>
              <w:pStyle w:val="TableParagraph"/>
              <w:spacing w:before="79"/>
              <w:ind w:left="79"/>
              <w:rPr>
                <w:sz w:val="11"/>
              </w:rPr>
            </w:pPr>
            <w:r>
              <w:rPr>
                <w:sz w:val="11"/>
              </w:rPr>
              <w:t>Resultado</w:t>
            </w:r>
          </w:p>
        </w:tc>
        <w:tc>
          <w:tcPr>
            <w:tcW w:w="2453" w:type="dxa"/>
            <w:tcBorders>
              <w:top w:val="single" w:sz="4" w:space="0" w:color="000000"/>
            </w:tcBorders>
          </w:tcPr>
          <w:p>
            <w:pPr>
              <w:pStyle w:val="TableParagraph"/>
              <w:spacing w:before="4"/>
              <w:rPr>
                <w:rFonts w:ascii="Times New Roman"/>
                <w:sz w:val="19"/>
              </w:rPr>
            </w:pPr>
          </w:p>
          <w:p>
            <w:pPr>
              <w:pStyle w:val="TableParagraph"/>
              <w:ind w:left="76"/>
              <w:rPr>
                <w:sz w:val="11"/>
              </w:rPr>
            </w:pPr>
            <w:r>
              <w:rPr>
                <w:sz w:val="11"/>
              </w:rPr>
              <w:t>(((_t^)MI ^Secundaria-(_t^)AEg</w:t>
            </w:r>
          </w:p>
          <w:p>
            <w:pPr>
              <w:pStyle w:val="TableParagraph"/>
              <w:spacing w:before="8"/>
              <w:rPr>
                <w:rFonts w:ascii="Times New Roman"/>
                <w:sz w:val="12"/>
              </w:rPr>
            </w:pPr>
          </w:p>
          <w:p>
            <w:pPr>
              <w:pStyle w:val="TableParagraph"/>
              <w:spacing w:line="494" w:lineRule="auto"/>
              <w:ind w:left="76" w:right="294"/>
              <w:rPr>
                <w:sz w:val="11"/>
              </w:rPr>
            </w:pPr>
            <w:r>
              <w:rPr>
                <w:sz w:val="11"/>
              </w:rPr>
              <w:t>^Secundaria )-((_t+1^)MI^Secundaria- (_t+1^)ANI_(1o )^Secundaria)</w:t>
            </w:r>
          </w:p>
          <w:p>
            <w:pPr>
              <w:pStyle w:val="TableParagraph"/>
              <w:spacing w:before="4"/>
              <w:ind w:left="76"/>
              <w:rPr>
                <w:sz w:val="11"/>
              </w:rPr>
            </w:pPr>
            <w:r>
              <w:rPr>
                <w:sz w:val="11"/>
              </w:rPr>
              <w:t>)/(_t^)MI^Secundaria X100</w:t>
            </w:r>
          </w:p>
        </w:tc>
        <w:tc>
          <w:tcPr>
            <w:tcW w:w="2592" w:type="dxa"/>
            <w:tcBorders>
              <w:top w:val="single" w:sz="4" w:space="0" w:color="000000"/>
            </w:tcBorders>
          </w:tcPr>
          <w:p>
            <w:pPr>
              <w:pStyle w:val="TableParagraph"/>
              <w:spacing w:before="79"/>
              <w:ind w:left="76" w:right="127"/>
              <w:rPr>
                <w:sz w:val="11"/>
              </w:rPr>
            </w:pPr>
            <w:r>
              <w:rPr>
                <w:sz w:val="11"/>
              </w:rPr>
              <w:t>Secretaría de Educación Pública (SEP). Sistema Nacional de Información Estadística Educativa (SNIEE). México: 2018.</w:t>
            </w:r>
          </w:p>
        </w:tc>
      </w:tr>
      <w:tr>
        <w:trPr>
          <w:trHeight w:val="1571" w:hRule="atLeast"/>
        </w:trPr>
        <w:tc>
          <w:tcPr>
            <w:tcW w:w="1438" w:type="dxa"/>
            <w:shd w:val="clear" w:color="auto" w:fill="EDEDED"/>
          </w:tcPr>
          <w:p>
            <w:pPr>
              <w:pStyle w:val="TableParagraph"/>
              <w:spacing w:before="81"/>
              <w:ind w:left="79" w:right="167"/>
              <w:rPr>
                <w:sz w:val="11"/>
              </w:rPr>
            </w:pPr>
            <w:r>
              <w:rPr>
                <w:sz w:val="11"/>
              </w:rPr>
              <w:t>Porcentaje de abandono escolar en educación superior</w:t>
            </w:r>
          </w:p>
        </w:tc>
        <w:tc>
          <w:tcPr>
            <w:tcW w:w="579" w:type="dxa"/>
            <w:shd w:val="clear" w:color="auto" w:fill="EDEDED"/>
          </w:tcPr>
          <w:p>
            <w:pPr>
              <w:pStyle w:val="TableParagraph"/>
              <w:spacing w:before="81"/>
              <w:ind w:left="78" w:right="58"/>
              <w:rPr>
                <w:sz w:val="11"/>
              </w:rPr>
            </w:pPr>
            <w:r>
              <w:rPr>
                <w:sz w:val="11"/>
              </w:rPr>
              <w:t>Porcent aje</w:t>
            </w:r>
          </w:p>
        </w:tc>
        <w:tc>
          <w:tcPr>
            <w:tcW w:w="447" w:type="dxa"/>
            <w:shd w:val="clear" w:color="auto" w:fill="EDEDED"/>
          </w:tcPr>
          <w:p>
            <w:pPr>
              <w:pStyle w:val="TableParagraph"/>
              <w:spacing w:before="81"/>
              <w:ind w:left="74" w:right="52"/>
              <w:jc w:val="center"/>
              <w:rPr>
                <w:sz w:val="11"/>
              </w:rPr>
            </w:pPr>
            <w:r>
              <w:rPr>
                <w:sz w:val="11"/>
              </w:rPr>
              <w:t>26.92</w:t>
            </w:r>
          </w:p>
        </w:tc>
        <w:tc>
          <w:tcPr>
            <w:tcW w:w="582" w:type="dxa"/>
            <w:shd w:val="clear" w:color="auto" w:fill="EDEDED"/>
          </w:tcPr>
          <w:p>
            <w:pPr>
              <w:pStyle w:val="TableParagraph"/>
              <w:spacing w:before="81"/>
              <w:ind w:right="73"/>
              <w:jc w:val="right"/>
              <w:rPr>
                <w:sz w:val="11"/>
              </w:rPr>
            </w:pPr>
            <w:r>
              <w:rPr>
                <w:sz w:val="11"/>
              </w:rPr>
              <w:t>2013</w:t>
            </w:r>
          </w:p>
        </w:tc>
        <w:tc>
          <w:tcPr>
            <w:tcW w:w="845" w:type="dxa"/>
            <w:shd w:val="clear" w:color="auto" w:fill="EDEDED"/>
          </w:tcPr>
          <w:p>
            <w:pPr>
              <w:pStyle w:val="TableParagraph"/>
              <w:spacing w:before="81"/>
              <w:ind w:left="79"/>
              <w:rPr>
                <w:sz w:val="11"/>
              </w:rPr>
            </w:pPr>
            <w:r>
              <w:rPr>
                <w:sz w:val="11"/>
              </w:rPr>
              <w:t>Anual</w:t>
            </w:r>
          </w:p>
        </w:tc>
        <w:tc>
          <w:tcPr>
            <w:tcW w:w="725" w:type="dxa"/>
            <w:shd w:val="clear" w:color="auto" w:fill="EDEDED"/>
          </w:tcPr>
          <w:p>
            <w:pPr>
              <w:pStyle w:val="TableParagraph"/>
              <w:spacing w:before="81"/>
              <w:ind w:left="79"/>
              <w:rPr>
                <w:sz w:val="11"/>
              </w:rPr>
            </w:pPr>
            <w:r>
              <w:rPr>
                <w:sz w:val="11"/>
              </w:rPr>
              <w:t>Resultado</w:t>
            </w:r>
          </w:p>
        </w:tc>
        <w:tc>
          <w:tcPr>
            <w:tcW w:w="2453" w:type="dxa"/>
            <w:shd w:val="clear" w:color="auto" w:fill="EDEDED"/>
          </w:tcPr>
          <w:p>
            <w:pPr>
              <w:pStyle w:val="TableParagraph"/>
              <w:spacing w:before="6"/>
              <w:rPr>
                <w:rFonts w:ascii="Times New Roman"/>
                <w:sz w:val="19"/>
              </w:rPr>
            </w:pPr>
          </w:p>
          <w:p>
            <w:pPr>
              <w:pStyle w:val="TableParagraph"/>
              <w:ind w:left="76"/>
              <w:rPr>
                <w:sz w:val="11"/>
              </w:rPr>
            </w:pPr>
            <w:r>
              <w:rPr>
                <w:sz w:val="11"/>
              </w:rPr>
              <w:t>PAES= [((_t^)MI ^Superior-(_t^)AEg</w:t>
            </w:r>
          </w:p>
          <w:p>
            <w:pPr>
              <w:pStyle w:val="TableParagraph"/>
              <w:spacing w:before="8"/>
              <w:rPr>
                <w:rFonts w:ascii="Times New Roman"/>
                <w:sz w:val="12"/>
              </w:rPr>
            </w:pPr>
          </w:p>
          <w:p>
            <w:pPr>
              <w:pStyle w:val="TableParagraph"/>
              <w:spacing w:line="499" w:lineRule="auto"/>
              <w:ind w:left="76" w:right="661"/>
              <w:rPr>
                <w:sz w:val="11"/>
              </w:rPr>
            </w:pPr>
            <w:r>
              <w:rPr>
                <w:sz w:val="11"/>
              </w:rPr>
              <w:t>^Superior )-((_t+1^)MI^Superior- (_t+1^)ANI_(1o )^Superior)</w:t>
            </w:r>
          </w:p>
          <w:p>
            <w:pPr>
              <w:pStyle w:val="TableParagraph"/>
              <w:spacing w:line="133" w:lineRule="exact"/>
              <w:ind w:left="76"/>
              <w:rPr>
                <w:sz w:val="11"/>
              </w:rPr>
            </w:pPr>
            <w:r>
              <w:rPr>
                <w:sz w:val="11"/>
              </w:rPr>
              <w:t>)/(_t^)MI^Superior)] X100</w:t>
            </w:r>
          </w:p>
        </w:tc>
        <w:tc>
          <w:tcPr>
            <w:tcW w:w="2592" w:type="dxa"/>
            <w:shd w:val="clear" w:color="auto" w:fill="EDEDED"/>
          </w:tcPr>
          <w:p>
            <w:pPr>
              <w:pStyle w:val="TableParagraph"/>
              <w:spacing w:before="81"/>
              <w:ind w:left="76" w:right="127"/>
              <w:rPr>
                <w:sz w:val="11"/>
              </w:rPr>
            </w:pPr>
            <w:r>
              <w:rPr>
                <w:sz w:val="11"/>
              </w:rPr>
              <w:t>Secretaría de Educación Pública (SEP). Sistema Nacional de Información Estadística Educativa (SNIEE). 2017. México: 2018. (ULTIMO DATO DISPONIBLE).</w:t>
            </w:r>
          </w:p>
        </w:tc>
      </w:tr>
      <w:tr>
        <w:trPr>
          <w:trHeight w:val="986" w:hRule="atLeast"/>
        </w:trPr>
        <w:tc>
          <w:tcPr>
            <w:tcW w:w="1438" w:type="dxa"/>
          </w:tcPr>
          <w:p>
            <w:pPr>
              <w:pStyle w:val="TableParagraph"/>
              <w:spacing w:before="81"/>
              <w:ind w:left="79" w:right="245"/>
              <w:rPr>
                <w:sz w:val="11"/>
              </w:rPr>
            </w:pPr>
            <w:r>
              <w:rPr>
                <w:sz w:val="11"/>
              </w:rPr>
              <w:t>Porcentaje de alfabetización en 25 años y más</w:t>
            </w:r>
          </w:p>
        </w:tc>
        <w:tc>
          <w:tcPr>
            <w:tcW w:w="579" w:type="dxa"/>
          </w:tcPr>
          <w:p>
            <w:pPr>
              <w:pStyle w:val="TableParagraph"/>
              <w:spacing w:before="81"/>
              <w:ind w:left="78" w:right="58"/>
              <w:rPr>
                <w:sz w:val="11"/>
              </w:rPr>
            </w:pPr>
            <w:r>
              <w:rPr>
                <w:sz w:val="11"/>
              </w:rPr>
              <w:t>Porcent aje</w:t>
            </w:r>
          </w:p>
        </w:tc>
        <w:tc>
          <w:tcPr>
            <w:tcW w:w="447" w:type="dxa"/>
          </w:tcPr>
          <w:p>
            <w:pPr>
              <w:pStyle w:val="TableParagraph"/>
              <w:spacing w:before="81"/>
              <w:ind w:left="134" w:right="52"/>
              <w:jc w:val="center"/>
              <w:rPr>
                <w:sz w:val="11"/>
              </w:rPr>
            </w:pPr>
            <w:r>
              <w:rPr>
                <w:sz w:val="11"/>
              </w:rPr>
              <w:t>93.3</w:t>
            </w:r>
          </w:p>
        </w:tc>
        <w:tc>
          <w:tcPr>
            <w:tcW w:w="582" w:type="dxa"/>
          </w:tcPr>
          <w:p>
            <w:pPr>
              <w:pStyle w:val="TableParagraph"/>
              <w:spacing w:before="81"/>
              <w:ind w:right="73"/>
              <w:jc w:val="right"/>
              <w:rPr>
                <w:sz w:val="11"/>
              </w:rPr>
            </w:pPr>
            <w:r>
              <w:rPr>
                <w:sz w:val="11"/>
              </w:rPr>
              <w:t>2015</w:t>
            </w:r>
          </w:p>
        </w:tc>
        <w:tc>
          <w:tcPr>
            <w:tcW w:w="845" w:type="dxa"/>
          </w:tcPr>
          <w:p>
            <w:pPr>
              <w:pStyle w:val="TableParagraph"/>
              <w:spacing w:before="81"/>
              <w:ind w:left="79"/>
              <w:rPr>
                <w:sz w:val="11"/>
              </w:rPr>
            </w:pPr>
            <w:r>
              <w:rPr>
                <w:sz w:val="11"/>
              </w:rPr>
              <w:t>Quinquenal</w:t>
            </w:r>
          </w:p>
        </w:tc>
        <w:tc>
          <w:tcPr>
            <w:tcW w:w="725" w:type="dxa"/>
          </w:tcPr>
          <w:p>
            <w:pPr>
              <w:pStyle w:val="TableParagraph"/>
              <w:spacing w:before="81"/>
              <w:ind w:left="79" w:right="162"/>
              <w:rPr>
                <w:sz w:val="11"/>
              </w:rPr>
            </w:pPr>
            <w:r>
              <w:rPr>
                <w:sz w:val="11"/>
              </w:rPr>
              <w:t>Impacto Directo</w:t>
            </w:r>
          </w:p>
        </w:tc>
        <w:tc>
          <w:tcPr>
            <w:tcW w:w="2453" w:type="dxa"/>
          </w:tcPr>
          <w:p>
            <w:pPr>
              <w:pStyle w:val="TableParagraph"/>
              <w:spacing w:before="6"/>
              <w:rPr>
                <w:rFonts w:ascii="Times New Roman"/>
                <w:sz w:val="19"/>
              </w:rPr>
            </w:pPr>
          </w:p>
          <w:p>
            <w:pPr>
              <w:pStyle w:val="TableParagraph"/>
              <w:spacing w:line="499" w:lineRule="auto"/>
              <w:ind w:left="76" w:right="167"/>
              <w:rPr>
                <w:sz w:val="11"/>
              </w:rPr>
            </w:pPr>
            <w:r>
              <w:rPr>
                <w:sz w:val="11"/>
              </w:rPr>
              <w:t>TALF _(25 AÑOS O MÁS)=( Palf _(25 AÑOS O MÁS)/P_(25 AÑOS O MÁS) )*100</w:t>
            </w:r>
          </w:p>
        </w:tc>
        <w:tc>
          <w:tcPr>
            <w:tcW w:w="2592" w:type="dxa"/>
          </w:tcPr>
          <w:p>
            <w:pPr>
              <w:pStyle w:val="TableParagraph"/>
              <w:spacing w:before="81"/>
              <w:ind w:left="76"/>
              <w:rPr>
                <w:sz w:val="11"/>
              </w:rPr>
            </w:pPr>
            <w:r>
              <w:rPr>
                <w:sz w:val="11"/>
              </w:rPr>
              <w:t>Encuesta Intercensal, INEGI 2015.</w:t>
            </w:r>
          </w:p>
        </w:tc>
      </w:tr>
      <w:tr>
        <w:trPr>
          <w:trHeight w:val="1267" w:hRule="atLeast"/>
        </w:trPr>
        <w:tc>
          <w:tcPr>
            <w:tcW w:w="1438" w:type="dxa"/>
            <w:shd w:val="clear" w:color="auto" w:fill="EDEDED"/>
          </w:tcPr>
          <w:p>
            <w:pPr>
              <w:pStyle w:val="TableParagraph"/>
              <w:spacing w:before="81"/>
              <w:ind w:left="79" w:right="91"/>
              <w:rPr>
                <w:sz w:val="11"/>
              </w:rPr>
            </w:pPr>
            <w:r>
              <w:rPr>
                <w:sz w:val="11"/>
              </w:rPr>
              <w:t>Porcentaje de alumnos de media superior con niveles de dominio III y IV en la evaluación PLANEA, lenguaje y comunicación</w:t>
            </w:r>
          </w:p>
        </w:tc>
        <w:tc>
          <w:tcPr>
            <w:tcW w:w="579" w:type="dxa"/>
            <w:shd w:val="clear" w:color="auto" w:fill="EDEDED"/>
          </w:tcPr>
          <w:p>
            <w:pPr>
              <w:pStyle w:val="TableParagraph"/>
              <w:spacing w:before="81"/>
              <w:ind w:left="78" w:right="58"/>
              <w:rPr>
                <w:sz w:val="11"/>
              </w:rPr>
            </w:pPr>
            <w:r>
              <w:rPr>
                <w:sz w:val="11"/>
              </w:rPr>
              <w:t>Porcent aje</w:t>
            </w:r>
          </w:p>
        </w:tc>
        <w:tc>
          <w:tcPr>
            <w:tcW w:w="447" w:type="dxa"/>
            <w:shd w:val="clear" w:color="auto" w:fill="EDEDED"/>
          </w:tcPr>
          <w:p>
            <w:pPr>
              <w:pStyle w:val="TableParagraph"/>
              <w:spacing w:before="81"/>
              <w:ind w:left="74" w:right="52"/>
              <w:jc w:val="center"/>
              <w:rPr>
                <w:sz w:val="11"/>
              </w:rPr>
            </w:pPr>
            <w:r>
              <w:rPr>
                <w:sz w:val="11"/>
              </w:rPr>
              <w:t>55.95</w:t>
            </w:r>
          </w:p>
        </w:tc>
        <w:tc>
          <w:tcPr>
            <w:tcW w:w="582" w:type="dxa"/>
            <w:shd w:val="clear" w:color="auto" w:fill="EDEDED"/>
          </w:tcPr>
          <w:p>
            <w:pPr>
              <w:pStyle w:val="TableParagraph"/>
              <w:spacing w:before="81"/>
              <w:ind w:right="73"/>
              <w:jc w:val="right"/>
              <w:rPr>
                <w:sz w:val="11"/>
              </w:rPr>
            </w:pPr>
            <w:r>
              <w:rPr>
                <w:sz w:val="11"/>
              </w:rPr>
              <w:t>2016</w:t>
            </w:r>
          </w:p>
        </w:tc>
        <w:tc>
          <w:tcPr>
            <w:tcW w:w="845" w:type="dxa"/>
            <w:shd w:val="clear" w:color="auto" w:fill="EDEDED"/>
          </w:tcPr>
          <w:p>
            <w:pPr>
              <w:pStyle w:val="TableParagraph"/>
              <w:spacing w:before="81"/>
              <w:ind w:left="79"/>
              <w:rPr>
                <w:sz w:val="11"/>
              </w:rPr>
            </w:pPr>
            <w:r>
              <w:rPr>
                <w:sz w:val="11"/>
              </w:rPr>
              <w:t>Anual</w:t>
            </w:r>
          </w:p>
        </w:tc>
        <w:tc>
          <w:tcPr>
            <w:tcW w:w="725" w:type="dxa"/>
            <w:shd w:val="clear" w:color="auto" w:fill="EDEDED"/>
          </w:tcPr>
          <w:p>
            <w:pPr>
              <w:pStyle w:val="TableParagraph"/>
              <w:spacing w:before="81"/>
              <w:ind w:left="79"/>
              <w:rPr>
                <w:sz w:val="11"/>
              </w:rPr>
            </w:pPr>
            <w:r>
              <w:rPr>
                <w:sz w:val="11"/>
              </w:rPr>
              <w:t>Resultado</w:t>
            </w:r>
          </w:p>
        </w:tc>
        <w:tc>
          <w:tcPr>
            <w:tcW w:w="2453" w:type="dxa"/>
            <w:shd w:val="clear" w:color="auto" w:fill="EDEDED"/>
          </w:tcPr>
          <w:p>
            <w:pPr>
              <w:pStyle w:val="TableParagraph"/>
              <w:spacing w:before="6"/>
              <w:rPr>
                <w:rFonts w:ascii="Times New Roman"/>
                <w:sz w:val="19"/>
              </w:rPr>
            </w:pPr>
          </w:p>
          <w:p>
            <w:pPr>
              <w:pStyle w:val="TableParagraph"/>
              <w:ind w:left="76"/>
              <w:rPr>
                <w:sz w:val="11"/>
              </w:rPr>
            </w:pPr>
            <w:r>
              <w:rPr>
                <w:sz w:val="11"/>
              </w:rPr>
              <w:t>PAMS_IIIyIV_LyC=((AMS_III_LyC+AMS_IV_Ly</w:t>
            </w:r>
          </w:p>
          <w:p>
            <w:pPr>
              <w:pStyle w:val="TableParagraph"/>
              <w:spacing w:before="8"/>
              <w:rPr>
                <w:rFonts w:ascii="Times New Roman"/>
                <w:sz w:val="12"/>
              </w:rPr>
            </w:pPr>
          </w:p>
          <w:p>
            <w:pPr>
              <w:pStyle w:val="TableParagraph"/>
              <w:ind w:left="76"/>
              <w:rPr>
                <w:sz w:val="11"/>
              </w:rPr>
            </w:pPr>
            <w:r>
              <w:rPr>
                <w:sz w:val="11"/>
              </w:rPr>
              <w:t>C) /AMsELyC)*100</w:t>
            </w:r>
          </w:p>
        </w:tc>
        <w:tc>
          <w:tcPr>
            <w:tcW w:w="2592" w:type="dxa"/>
            <w:shd w:val="clear" w:color="auto" w:fill="EDEDED"/>
          </w:tcPr>
          <w:p>
            <w:pPr>
              <w:pStyle w:val="TableParagraph"/>
              <w:spacing w:before="81"/>
              <w:ind w:left="76" w:right="231" w:firstLine="31"/>
              <w:rPr>
                <w:sz w:val="11"/>
              </w:rPr>
            </w:pPr>
            <w:r>
              <w:rPr>
                <w:sz w:val="11"/>
              </w:rPr>
              <w:t>Secretaría de Educación Pública. Instituto Nacional para la evaluación de la Educación. México 2017</w:t>
            </w:r>
          </w:p>
        </w:tc>
      </w:tr>
      <w:tr>
        <w:trPr>
          <w:trHeight w:val="1770" w:hRule="atLeast"/>
        </w:trPr>
        <w:tc>
          <w:tcPr>
            <w:tcW w:w="1438" w:type="dxa"/>
          </w:tcPr>
          <w:p>
            <w:pPr>
              <w:pStyle w:val="TableParagraph"/>
              <w:spacing w:before="83"/>
              <w:ind w:left="79" w:right="91"/>
              <w:rPr>
                <w:sz w:val="11"/>
              </w:rPr>
            </w:pPr>
            <w:r>
              <w:rPr>
                <w:sz w:val="11"/>
              </w:rPr>
              <w:t>Porcentaje de alumnos de media superior con niveles de dominio III y IV en la evaluación PLANEA, matemáticas</w:t>
            </w:r>
          </w:p>
        </w:tc>
        <w:tc>
          <w:tcPr>
            <w:tcW w:w="579" w:type="dxa"/>
          </w:tcPr>
          <w:p>
            <w:pPr>
              <w:pStyle w:val="TableParagraph"/>
              <w:spacing w:before="83"/>
              <w:ind w:left="78" w:right="58"/>
              <w:rPr>
                <w:sz w:val="11"/>
              </w:rPr>
            </w:pPr>
            <w:r>
              <w:rPr>
                <w:sz w:val="11"/>
              </w:rPr>
              <w:t>Porcent aje</w:t>
            </w:r>
          </w:p>
        </w:tc>
        <w:tc>
          <w:tcPr>
            <w:tcW w:w="447" w:type="dxa"/>
          </w:tcPr>
          <w:p>
            <w:pPr>
              <w:pStyle w:val="TableParagraph"/>
              <w:spacing w:before="83"/>
              <w:ind w:left="74" w:right="52"/>
              <w:jc w:val="center"/>
              <w:rPr>
                <w:sz w:val="11"/>
              </w:rPr>
            </w:pPr>
            <w:r>
              <w:rPr>
                <w:sz w:val="11"/>
              </w:rPr>
              <w:t>52.38</w:t>
            </w:r>
          </w:p>
        </w:tc>
        <w:tc>
          <w:tcPr>
            <w:tcW w:w="582" w:type="dxa"/>
          </w:tcPr>
          <w:p>
            <w:pPr>
              <w:pStyle w:val="TableParagraph"/>
              <w:spacing w:before="83"/>
              <w:ind w:right="73"/>
              <w:jc w:val="right"/>
              <w:rPr>
                <w:sz w:val="11"/>
              </w:rPr>
            </w:pPr>
            <w:r>
              <w:rPr>
                <w:sz w:val="11"/>
              </w:rPr>
              <w:t>2015</w:t>
            </w:r>
          </w:p>
        </w:tc>
        <w:tc>
          <w:tcPr>
            <w:tcW w:w="845" w:type="dxa"/>
          </w:tcPr>
          <w:p>
            <w:pPr>
              <w:pStyle w:val="TableParagraph"/>
              <w:spacing w:before="83"/>
              <w:ind w:left="79"/>
              <w:rPr>
                <w:sz w:val="11"/>
              </w:rPr>
            </w:pPr>
            <w:r>
              <w:rPr>
                <w:sz w:val="11"/>
              </w:rPr>
              <w:t>Anual</w:t>
            </w:r>
          </w:p>
        </w:tc>
        <w:tc>
          <w:tcPr>
            <w:tcW w:w="725" w:type="dxa"/>
          </w:tcPr>
          <w:p>
            <w:pPr>
              <w:pStyle w:val="TableParagraph"/>
              <w:spacing w:before="83"/>
              <w:ind w:left="79"/>
              <w:rPr>
                <w:sz w:val="11"/>
              </w:rPr>
            </w:pPr>
            <w:r>
              <w:rPr>
                <w:sz w:val="11"/>
              </w:rPr>
              <w:t>Resultado</w:t>
            </w:r>
          </w:p>
        </w:tc>
        <w:tc>
          <w:tcPr>
            <w:tcW w:w="2453" w:type="dxa"/>
          </w:tcPr>
          <w:p>
            <w:pPr>
              <w:pStyle w:val="TableParagraph"/>
              <w:spacing w:before="9"/>
              <w:rPr>
                <w:rFonts w:ascii="Times New Roman"/>
                <w:sz w:val="19"/>
              </w:rPr>
            </w:pPr>
          </w:p>
          <w:p>
            <w:pPr>
              <w:pStyle w:val="TableParagraph"/>
              <w:ind w:left="76"/>
              <w:rPr>
                <w:sz w:val="11"/>
              </w:rPr>
            </w:pPr>
            <w:r>
              <w:rPr>
                <w:sz w:val="11"/>
              </w:rPr>
              <w:t>PAMS_IIIyIV_Mat=((AMS_III_Mat+AMS_IV_M</w:t>
            </w:r>
          </w:p>
          <w:p>
            <w:pPr>
              <w:pStyle w:val="TableParagraph"/>
              <w:spacing w:before="5"/>
              <w:rPr>
                <w:rFonts w:ascii="Times New Roman"/>
                <w:sz w:val="12"/>
              </w:rPr>
            </w:pPr>
          </w:p>
          <w:p>
            <w:pPr>
              <w:pStyle w:val="TableParagraph"/>
              <w:ind w:left="76"/>
              <w:rPr>
                <w:sz w:val="11"/>
              </w:rPr>
            </w:pPr>
            <w:r>
              <w:rPr>
                <w:sz w:val="11"/>
              </w:rPr>
              <w:t>at) /AMsEMat)*100</w:t>
            </w:r>
          </w:p>
        </w:tc>
        <w:tc>
          <w:tcPr>
            <w:tcW w:w="2592" w:type="dxa"/>
          </w:tcPr>
          <w:p>
            <w:pPr>
              <w:pStyle w:val="TableParagraph"/>
              <w:spacing w:before="83"/>
              <w:ind w:left="76" w:right="262"/>
              <w:rPr>
                <w:sz w:val="11"/>
              </w:rPr>
            </w:pPr>
            <w:r>
              <w:rPr>
                <w:sz w:val="11"/>
              </w:rPr>
              <w:t>Secretaría de Educación Pública. Instituto Nacional para la evaluación de la Educación. México: 2017.</w:t>
            </w:r>
          </w:p>
        </w:tc>
      </w:tr>
      <w:tr>
        <w:trPr>
          <w:trHeight w:val="1041" w:hRule="atLeast"/>
        </w:trPr>
        <w:tc>
          <w:tcPr>
            <w:tcW w:w="1438" w:type="dxa"/>
            <w:shd w:val="clear" w:color="auto" w:fill="EDEDED"/>
          </w:tcPr>
          <w:p>
            <w:pPr>
              <w:pStyle w:val="TableParagraph"/>
              <w:spacing w:before="82"/>
              <w:ind w:left="79" w:right="89"/>
              <w:rPr>
                <w:sz w:val="11"/>
              </w:rPr>
            </w:pPr>
            <w:r>
              <w:rPr>
                <w:sz w:val="11"/>
              </w:rPr>
              <w:t>Porcentaje de alumnos de primaria con niveles de dominio III y IV en la evaluación PLANEA, lenguaje y comunicación</w:t>
            </w:r>
          </w:p>
        </w:tc>
        <w:tc>
          <w:tcPr>
            <w:tcW w:w="579" w:type="dxa"/>
            <w:shd w:val="clear" w:color="auto" w:fill="EDEDED"/>
          </w:tcPr>
          <w:p>
            <w:pPr>
              <w:pStyle w:val="TableParagraph"/>
              <w:spacing w:before="82"/>
              <w:ind w:left="78" w:right="58"/>
              <w:rPr>
                <w:sz w:val="11"/>
              </w:rPr>
            </w:pPr>
            <w:r>
              <w:rPr>
                <w:sz w:val="11"/>
              </w:rPr>
              <w:t>Porcent aje</w:t>
            </w:r>
          </w:p>
        </w:tc>
        <w:tc>
          <w:tcPr>
            <w:tcW w:w="447" w:type="dxa"/>
            <w:shd w:val="clear" w:color="auto" w:fill="EDEDED"/>
          </w:tcPr>
          <w:p>
            <w:pPr>
              <w:pStyle w:val="TableParagraph"/>
              <w:spacing w:before="82"/>
              <w:ind w:left="74" w:right="52"/>
              <w:jc w:val="center"/>
              <w:rPr>
                <w:sz w:val="11"/>
              </w:rPr>
            </w:pPr>
            <w:r>
              <w:rPr>
                <w:sz w:val="11"/>
              </w:rPr>
              <w:t>14.25</w:t>
            </w:r>
          </w:p>
        </w:tc>
        <w:tc>
          <w:tcPr>
            <w:tcW w:w="582" w:type="dxa"/>
            <w:shd w:val="clear" w:color="auto" w:fill="EDEDED"/>
          </w:tcPr>
          <w:p>
            <w:pPr>
              <w:pStyle w:val="TableParagraph"/>
              <w:spacing w:before="82"/>
              <w:ind w:right="73"/>
              <w:jc w:val="right"/>
              <w:rPr>
                <w:sz w:val="11"/>
              </w:rPr>
            </w:pPr>
            <w:r>
              <w:rPr>
                <w:sz w:val="11"/>
              </w:rPr>
              <w:t>2018</w:t>
            </w:r>
          </w:p>
        </w:tc>
        <w:tc>
          <w:tcPr>
            <w:tcW w:w="845" w:type="dxa"/>
            <w:shd w:val="clear" w:color="auto" w:fill="EDEDED"/>
          </w:tcPr>
          <w:p>
            <w:pPr>
              <w:pStyle w:val="TableParagraph"/>
              <w:spacing w:before="82"/>
              <w:ind w:left="79"/>
              <w:rPr>
                <w:sz w:val="11"/>
              </w:rPr>
            </w:pPr>
            <w:r>
              <w:rPr>
                <w:sz w:val="11"/>
              </w:rPr>
              <w:t>Anual</w:t>
            </w:r>
          </w:p>
        </w:tc>
        <w:tc>
          <w:tcPr>
            <w:tcW w:w="725" w:type="dxa"/>
            <w:shd w:val="clear" w:color="auto" w:fill="EDEDED"/>
          </w:tcPr>
          <w:p>
            <w:pPr>
              <w:pStyle w:val="TableParagraph"/>
              <w:spacing w:before="82"/>
              <w:ind w:left="79"/>
              <w:rPr>
                <w:sz w:val="11"/>
              </w:rPr>
            </w:pPr>
            <w:r>
              <w:rPr>
                <w:sz w:val="11"/>
              </w:rPr>
              <w:t>Resultado</w:t>
            </w:r>
          </w:p>
        </w:tc>
        <w:tc>
          <w:tcPr>
            <w:tcW w:w="2453" w:type="dxa"/>
            <w:shd w:val="clear" w:color="auto" w:fill="EDEDED"/>
          </w:tcPr>
          <w:p>
            <w:pPr>
              <w:pStyle w:val="TableParagraph"/>
              <w:spacing w:before="7"/>
              <w:rPr>
                <w:rFonts w:ascii="Times New Roman"/>
                <w:sz w:val="19"/>
              </w:rPr>
            </w:pPr>
          </w:p>
          <w:p>
            <w:pPr>
              <w:pStyle w:val="TableParagraph"/>
              <w:ind w:left="76"/>
              <w:rPr>
                <w:sz w:val="11"/>
              </w:rPr>
            </w:pPr>
            <w:r>
              <w:rPr>
                <w:sz w:val="11"/>
              </w:rPr>
              <w:t>PAP_IIIyIV_LyC=((AP_III_LyC+AP_IV_LyC)</w:t>
            </w:r>
          </w:p>
          <w:p>
            <w:pPr>
              <w:pStyle w:val="TableParagraph"/>
              <w:spacing w:before="8"/>
              <w:rPr>
                <w:rFonts w:ascii="Times New Roman"/>
                <w:sz w:val="12"/>
              </w:rPr>
            </w:pPr>
          </w:p>
          <w:p>
            <w:pPr>
              <w:pStyle w:val="TableParagraph"/>
              <w:ind w:left="76"/>
              <w:rPr>
                <w:sz w:val="11"/>
              </w:rPr>
            </w:pPr>
            <w:r>
              <w:rPr>
                <w:sz w:val="11"/>
              </w:rPr>
              <w:t>/APELyC)*100</w:t>
            </w:r>
          </w:p>
        </w:tc>
        <w:tc>
          <w:tcPr>
            <w:tcW w:w="2592" w:type="dxa"/>
            <w:shd w:val="clear" w:color="auto" w:fill="EDEDED"/>
          </w:tcPr>
          <w:p>
            <w:pPr>
              <w:pStyle w:val="TableParagraph"/>
              <w:spacing w:before="82"/>
              <w:ind w:left="76" w:right="223"/>
              <w:rPr>
                <w:sz w:val="11"/>
              </w:rPr>
            </w:pPr>
            <w:r>
              <w:rPr>
                <w:sz w:val="11"/>
              </w:rPr>
              <w:t>Instituto Nacional para la Evaluación de la Educación 2018</w:t>
            </w:r>
          </w:p>
        </w:tc>
      </w:tr>
    </w:tbl>
    <w:p>
      <w:pPr>
        <w:spacing w:after="0"/>
        <w:rPr>
          <w:sz w:val="11"/>
        </w:rPr>
        <w:sectPr>
          <w:footerReference w:type="default" r:id="rId66"/>
          <w:pgSz w:w="12240" w:h="15840"/>
          <w:pgMar w:footer="1142" w:header="178" w:top="1120" w:bottom="1340" w:left="460" w:right="220"/>
          <w:pgNumType w:start="150"/>
        </w:sectPr>
      </w:pPr>
    </w:p>
    <w:p>
      <w:pPr>
        <w:pStyle w:val="BodyText"/>
        <w:rPr>
          <w:rFonts w:ascii="Times New Roman"/>
          <w:sz w:val="20"/>
        </w:rPr>
      </w:pPr>
    </w:p>
    <w:p>
      <w:pPr>
        <w:pStyle w:val="BodyText"/>
        <w:spacing w:before="9" w:after="1"/>
        <w:rPr>
          <w:rFonts w:ascii="Times New Roman"/>
          <w:sz w:val="23"/>
        </w:rPr>
      </w:pPr>
    </w:p>
    <w:tbl>
      <w:tblPr>
        <w:tblW w:w="0" w:type="auto"/>
        <w:jc w:val="left"/>
        <w:tblInd w:w="8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438"/>
        <w:gridCol w:w="579"/>
        <w:gridCol w:w="447"/>
        <w:gridCol w:w="582"/>
        <w:gridCol w:w="845"/>
        <w:gridCol w:w="725"/>
        <w:gridCol w:w="2453"/>
        <w:gridCol w:w="2592"/>
      </w:tblGrid>
      <w:tr>
        <w:trPr>
          <w:trHeight w:val="1490" w:hRule="atLeast"/>
        </w:trPr>
        <w:tc>
          <w:tcPr>
            <w:tcW w:w="1438" w:type="dxa"/>
          </w:tcPr>
          <w:p>
            <w:pPr>
              <w:pStyle w:val="TableParagraph"/>
              <w:spacing w:before="81"/>
              <w:ind w:left="79" w:right="89"/>
              <w:rPr>
                <w:sz w:val="11"/>
              </w:rPr>
            </w:pPr>
            <w:r>
              <w:rPr>
                <w:sz w:val="11"/>
              </w:rPr>
              <w:t>Porcentaje de alumnos de primaria con niveles de dominio III y IV en la evaluación PLANEA, matemáticas</w:t>
            </w:r>
          </w:p>
        </w:tc>
        <w:tc>
          <w:tcPr>
            <w:tcW w:w="579" w:type="dxa"/>
          </w:tcPr>
          <w:p>
            <w:pPr>
              <w:pStyle w:val="TableParagraph"/>
              <w:spacing w:before="81"/>
              <w:ind w:left="78" w:right="58"/>
              <w:rPr>
                <w:sz w:val="11"/>
              </w:rPr>
            </w:pPr>
            <w:r>
              <w:rPr>
                <w:sz w:val="11"/>
              </w:rPr>
              <w:t>Porcent aje</w:t>
            </w:r>
          </w:p>
        </w:tc>
        <w:tc>
          <w:tcPr>
            <w:tcW w:w="447" w:type="dxa"/>
          </w:tcPr>
          <w:p>
            <w:pPr>
              <w:pStyle w:val="TableParagraph"/>
              <w:spacing w:before="81"/>
              <w:ind w:left="74" w:right="52"/>
              <w:jc w:val="center"/>
              <w:rPr>
                <w:sz w:val="11"/>
              </w:rPr>
            </w:pPr>
            <w:r>
              <w:rPr>
                <w:sz w:val="11"/>
              </w:rPr>
              <w:t>20.92</w:t>
            </w:r>
          </w:p>
        </w:tc>
        <w:tc>
          <w:tcPr>
            <w:tcW w:w="582" w:type="dxa"/>
          </w:tcPr>
          <w:p>
            <w:pPr>
              <w:pStyle w:val="TableParagraph"/>
              <w:spacing w:before="81"/>
              <w:ind w:right="73"/>
              <w:jc w:val="right"/>
              <w:rPr>
                <w:sz w:val="11"/>
              </w:rPr>
            </w:pPr>
            <w:r>
              <w:rPr>
                <w:sz w:val="11"/>
              </w:rPr>
              <w:t>2018</w:t>
            </w:r>
          </w:p>
        </w:tc>
        <w:tc>
          <w:tcPr>
            <w:tcW w:w="845" w:type="dxa"/>
          </w:tcPr>
          <w:p>
            <w:pPr>
              <w:pStyle w:val="TableParagraph"/>
              <w:spacing w:before="81"/>
              <w:ind w:left="79"/>
              <w:rPr>
                <w:sz w:val="11"/>
              </w:rPr>
            </w:pPr>
            <w:r>
              <w:rPr>
                <w:sz w:val="11"/>
              </w:rPr>
              <w:t>Anual</w:t>
            </w:r>
          </w:p>
        </w:tc>
        <w:tc>
          <w:tcPr>
            <w:tcW w:w="725" w:type="dxa"/>
          </w:tcPr>
          <w:p>
            <w:pPr>
              <w:pStyle w:val="TableParagraph"/>
              <w:spacing w:before="81"/>
              <w:ind w:left="79"/>
              <w:rPr>
                <w:sz w:val="11"/>
              </w:rPr>
            </w:pPr>
            <w:r>
              <w:rPr>
                <w:sz w:val="11"/>
              </w:rPr>
              <w:t>Resultado</w:t>
            </w:r>
          </w:p>
        </w:tc>
        <w:tc>
          <w:tcPr>
            <w:tcW w:w="2453" w:type="dxa"/>
          </w:tcPr>
          <w:p>
            <w:pPr>
              <w:pStyle w:val="TableParagraph"/>
              <w:spacing w:before="6"/>
              <w:rPr>
                <w:rFonts w:ascii="Times New Roman"/>
                <w:sz w:val="19"/>
              </w:rPr>
            </w:pPr>
          </w:p>
          <w:p>
            <w:pPr>
              <w:pStyle w:val="TableParagraph"/>
              <w:ind w:left="76"/>
              <w:rPr>
                <w:sz w:val="11"/>
              </w:rPr>
            </w:pPr>
            <w:r>
              <w:rPr>
                <w:sz w:val="11"/>
              </w:rPr>
              <w:t>PAP_IIIyIV_Mat=((AP_III_Mat+AP_IV_Mat)</w:t>
            </w:r>
          </w:p>
          <w:p>
            <w:pPr>
              <w:pStyle w:val="TableParagraph"/>
              <w:spacing w:before="8"/>
              <w:rPr>
                <w:rFonts w:ascii="Times New Roman"/>
                <w:sz w:val="12"/>
              </w:rPr>
            </w:pPr>
          </w:p>
          <w:p>
            <w:pPr>
              <w:pStyle w:val="TableParagraph"/>
              <w:ind w:left="76"/>
              <w:rPr>
                <w:sz w:val="11"/>
              </w:rPr>
            </w:pPr>
            <w:r>
              <w:rPr>
                <w:sz w:val="11"/>
              </w:rPr>
              <w:t>/APEMat)*100</w:t>
            </w:r>
          </w:p>
        </w:tc>
        <w:tc>
          <w:tcPr>
            <w:tcW w:w="2592" w:type="dxa"/>
          </w:tcPr>
          <w:p>
            <w:pPr>
              <w:pStyle w:val="TableParagraph"/>
              <w:spacing w:before="81"/>
              <w:ind w:left="76" w:right="180" w:firstLine="31"/>
              <w:rPr>
                <w:sz w:val="11"/>
              </w:rPr>
            </w:pPr>
            <w:r>
              <w:rPr>
                <w:sz w:val="11"/>
              </w:rPr>
              <w:t>Instituto Nacional para la evaluación de la Educación. Diciembre 2018</w:t>
            </w:r>
          </w:p>
        </w:tc>
      </w:tr>
      <w:tr>
        <w:trPr>
          <w:trHeight w:val="1766" w:hRule="atLeast"/>
        </w:trPr>
        <w:tc>
          <w:tcPr>
            <w:tcW w:w="1438" w:type="dxa"/>
            <w:shd w:val="clear" w:color="auto" w:fill="EDEDED"/>
          </w:tcPr>
          <w:p>
            <w:pPr>
              <w:pStyle w:val="TableParagraph"/>
              <w:spacing w:before="83"/>
              <w:ind w:left="79" w:right="91"/>
              <w:rPr>
                <w:sz w:val="11"/>
              </w:rPr>
            </w:pPr>
            <w:r>
              <w:rPr>
                <w:sz w:val="11"/>
              </w:rPr>
              <w:t>Porcentaje de alumnos de secundaria con niveles de dominio III y IV en la evaluación PLANEA, lenguaje y comunicación</w:t>
            </w:r>
          </w:p>
        </w:tc>
        <w:tc>
          <w:tcPr>
            <w:tcW w:w="579" w:type="dxa"/>
            <w:shd w:val="clear" w:color="auto" w:fill="EDEDED"/>
          </w:tcPr>
          <w:p>
            <w:pPr>
              <w:pStyle w:val="TableParagraph"/>
              <w:spacing w:before="83"/>
              <w:ind w:left="78" w:right="58"/>
              <w:rPr>
                <w:sz w:val="11"/>
              </w:rPr>
            </w:pPr>
            <w:r>
              <w:rPr>
                <w:sz w:val="11"/>
              </w:rPr>
              <w:t>Porcent aje</w:t>
            </w:r>
          </w:p>
        </w:tc>
        <w:tc>
          <w:tcPr>
            <w:tcW w:w="447" w:type="dxa"/>
            <w:shd w:val="clear" w:color="auto" w:fill="EDEDED"/>
          </w:tcPr>
          <w:p>
            <w:pPr>
              <w:pStyle w:val="TableParagraph"/>
              <w:spacing w:before="83"/>
              <w:ind w:left="74" w:right="52"/>
              <w:jc w:val="center"/>
              <w:rPr>
                <w:sz w:val="11"/>
              </w:rPr>
            </w:pPr>
            <w:r>
              <w:rPr>
                <w:sz w:val="11"/>
              </w:rPr>
              <w:t>35.86</w:t>
            </w:r>
          </w:p>
        </w:tc>
        <w:tc>
          <w:tcPr>
            <w:tcW w:w="582" w:type="dxa"/>
            <w:shd w:val="clear" w:color="auto" w:fill="EDEDED"/>
          </w:tcPr>
          <w:p>
            <w:pPr>
              <w:pStyle w:val="TableParagraph"/>
              <w:spacing w:before="83"/>
              <w:ind w:right="73"/>
              <w:jc w:val="right"/>
              <w:rPr>
                <w:sz w:val="11"/>
              </w:rPr>
            </w:pPr>
            <w:r>
              <w:rPr>
                <w:sz w:val="11"/>
              </w:rPr>
              <w:t>2017</w:t>
            </w:r>
          </w:p>
        </w:tc>
        <w:tc>
          <w:tcPr>
            <w:tcW w:w="845" w:type="dxa"/>
            <w:shd w:val="clear" w:color="auto" w:fill="EDEDED"/>
          </w:tcPr>
          <w:p>
            <w:pPr>
              <w:pStyle w:val="TableParagraph"/>
              <w:spacing w:before="83"/>
              <w:ind w:left="79"/>
              <w:rPr>
                <w:sz w:val="11"/>
              </w:rPr>
            </w:pPr>
            <w:r>
              <w:rPr>
                <w:sz w:val="11"/>
              </w:rPr>
              <w:t>Anual</w:t>
            </w:r>
          </w:p>
        </w:tc>
        <w:tc>
          <w:tcPr>
            <w:tcW w:w="725" w:type="dxa"/>
            <w:shd w:val="clear" w:color="auto" w:fill="EDEDED"/>
          </w:tcPr>
          <w:p>
            <w:pPr>
              <w:pStyle w:val="TableParagraph"/>
              <w:spacing w:before="83"/>
              <w:ind w:left="79"/>
              <w:rPr>
                <w:sz w:val="11"/>
              </w:rPr>
            </w:pPr>
            <w:r>
              <w:rPr>
                <w:sz w:val="11"/>
              </w:rPr>
              <w:t>Resultado</w:t>
            </w:r>
          </w:p>
        </w:tc>
        <w:tc>
          <w:tcPr>
            <w:tcW w:w="2453" w:type="dxa"/>
            <w:shd w:val="clear" w:color="auto" w:fill="EDEDED"/>
          </w:tcPr>
          <w:p>
            <w:pPr>
              <w:pStyle w:val="TableParagraph"/>
              <w:spacing w:line="135" w:lineRule="exact" w:before="83"/>
              <w:ind w:left="76"/>
              <w:rPr>
                <w:sz w:val="11"/>
              </w:rPr>
            </w:pPr>
            <w:r>
              <w:rPr>
                <w:sz w:val="11"/>
              </w:rPr>
              <w:t>PAS_IIIyIV_LyC=((AS_III_LyC+AS_IV_LyC)</w:t>
            </w:r>
          </w:p>
          <w:p>
            <w:pPr>
              <w:pStyle w:val="TableParagraph"/>
              <w:spacing w:line="135" w:lineRule="exact"/>
              <w:ind w:left="76"/>
              <w:rPr>
                <w:sz w:val="11"/>
              </w:rPr>
            </w:pPr>
            <w:r>
              <w:rPr>
                <w:sz w:val="11"/>
              </w:rPr>
              <w:t>/ASELyC)*100</w:t>
            </w:r>
          </w:p>
        </w:tc>
        <w:tc>
          <w:tcPr>
            <w:tcW w:w="2592" w:type="dxa"/>
            <w:shd w:val="clear" w:color="auto" w:fill="EDEDED"/>
          </w:tcPr>
          <w:p>
            <w:pPr>
              <w:pStyle w:val="TableParagraph"/>
              <w:spacing w:before="83"/>
              <w:ind w:left="76" w:right="262"/>
              <w:rPr>
                <w:sz w:val="11"/>
              </w:rPr>
            </w:pPr>
            <w:r>
              <w:rPr>
                <w:sz w:val="11"/>
              </w:rPr>
              <w:t>Secretaría de Educación Pública. Instituto Nacional para la evaluación de la Educación. México: 2018.</w:t>
            </w:r>
          </w:p>
        </w:tc>
      </w:tr>
      <w:tr>
        <w:trPr>
          <w:trHeight w:val="1493" w:hRule="atLeast"/>
        </w:trPr>
        <w:tc>
          <w:tcPr>
            <w:tcW w:w="1438" w:type="dxa"/>
          </w:tcPr>
          <w:p>
            <w:pPr>
              <w:pStyle w:val="TableParagraph"/>
              <w:spacing w:before="84"/>
              <w:ind w:left="79" w:right="91"/>
              <w:rPr>
                <w:sz w:val="11"/>
              </w:rPr>
            </w:pPr>
            <w:r>
              <w:rPr>
                <w:sz w:val="11"/>
              </w:rPr>
              <w:t>Porcentaje de alumnos de secundaria con niveles de dominio III y IV en la evaluación PLANEA, matemáticas</w:t>
            </w:r>
          </w:p>
        </w:tc>
        <w:tc>
          <w:tcPr>
            <w:tcW w:w="579" w:type="dxa"/>
          </w:tcPr>
          <w:p>
            <w:pPr>
              <w:pStyle w:val="TableParagraph"/>
              <w:spacing w:before="84"/>
              <w:ind w:left="78" w:right="58"/>
              <w:rPr>
                <w:sz w:val="11"/>
              </w:rPr>
            </w:pPr>
            <w:r>
              <w:rPr>
                <w:sz w:val="11"/>
              </w:rPr>
              <w:t>Porcent aje</w:t>
            </w:r>
          </w:p>
        </w:tc>
        <w:tc>
          <w:tcPr>
            <w:tcW w:w="447" w:type="dxa"/>
          </w:tcPr>
          <w:p>
            <w:pPr>
              <w:pStyle w:val="TableParagraph"/>
              <w:spacing w:before="84"/>
              <w:ind w:left="74" w:right="52"/>
              <w:jc w:val="center"/>
              <w:rPr>
                <w:sz w:val="11"/>
              </w:rPr>
            </w:pPr>
            <w:r>
              <w:rPr>
                <w:sz w:val="11"/>
              </w:rPr>
              <w:t>24.81</w:t>
            </w:r>
          </w:p>
        </w:tc>
        <w:tc>
          <w:tcPr>
            <w:tcW w:w="582" w:type="dxa"/>
          </w:tcPr>
          <w:p>
            <w:pPr>
              <w:pStyle w:val="TableParagraph"/>
              <w:spacing w:before="84"/>
              <w:ind w:right="73"/>
              <w:jc w:val="right"/>
              <w:rPr>
                <w:sz w:val="11"/>
              </w:rPr>
            </w:pPr>
            <w:r>
              <w:rPr>
                <w:sz w:val="11"/>
              </w:rPr>
              <w:t>2017</w:t>
            </w:r>
          </w:p>
        </w:tc>
        <w:tc>
          <w:tcPr>
            <w:tcW w:w="845" w:type="dxa"/>
          </w:tcPr>
          <w:p>
            <w:pPr>
              <w:pStyle w:val="TableParagraph"/>
              <w:spacing w:before="84"/>
              <w:ind w:left="79"/>
              <w:rPr>
                <w:sz w:val="11"/>
              </w:rPr>
            </w:pPr>
            <w:r>
              <w:rPr>
                <w:sz w:val="11"/>
              </w:rPr>
              <w:t>Anual</w:t>
            </w:r>
          </w:p>
        </w:tc>
        <w:tc>
          <w:tcPr>
            <w:tcW w:w="725" w:type="dxa"/>
          </w:tcPr>
          <w:p>
            <w:pPr>
              <w:pStyle w:val="TableParagraph"/>
              <w:spacing w:before="84"/>
              <w:ind w:left="79"/>
              <w:rPr>
                <w:sz w:val="11"/>
              </w:rPr>
            </w:pPr>
            <w:r>
              <w:rPr>
                <w:sz w:val="11"/>
              </w:rPr>
              <w:t>Resultado</w:t>
            </w:r>
          </w:p>
        </w:tc>
        <w:tc>
          <w:tcPr>
            <w:tcW w:w="2453" w:type="dxa"/>
          </w:tcPr>
          <w:p>
            <w:pPr>
              <w:pStyle w:val="TableParagraph"/>
              <w:spacing w:before="9"/>
              <w:rPr>
                <w:rFonts w:ascii="Times New Roman"/>
                <w:sz w:val="19"/>
              </w:rPr>
            </w:pPr>
          </w:p>
          <w:p>
            <w:pPr>
              <w:pStyle w:val="TableParagraph"/>
              <w:ind w:left="76"/>
              <w:rPr>
                <w:sz w:val="11"/>
              </w:rPr>
            </w:pPr>
            <w:r>
              <w:rPr>
                <w:sz w:val="11"/>
              </w:rPr>
              <w:t>PAS_IIIyIV_Mat=((AS_III_Mat+AS_IV_Mat)</w:t>
            </w:r>
          </w:p>
          <w:p>
            <w:pPr>
              <w:pStyle w:val="TableParagraph"/>
              <w:spacing w:before="6"/>
              <w:rPr>
                <w:rFonts w:ascii="Times New Roman"/>
                <w:sz w:val="12"/>
              </w:rPr>
            </w:pPr>
          </w:p>
          <w:p>
            <w:pPr>
              <w:pStyle w:val="TableParagraph"/>
              <w:ind w:left="76"/>
              <w:rPr>
                <w:sz w:val="11"/>
              </w:rPr>
            </w:pPr>
            <w:r>
              <w:rPr>
                <w:sz w:val="11"/>
              </w:rPr>
              <w:t>/ASEMat)*100</w:t>
            </w:r>
          </w:p>
        </w:tc>
        <w:tc>
          <w:tcPr>
            <w:tcW w:w="2592" w:type="dxa"/>
          </w:tcPr>
          <w:p>
            <w:pPr>
              <w:pStyle w:val="TableParagraph"/>
              <w:spacing w:before="84"/>
              <w:ind w:left="76" w:right="262"/>
              <w:rPr>
                <w:sz w:val="11"/>
              </w:rPr>
            </w:pPr>
            <w:r>
              <w:rPr>
                <w:sz w:val="11"/>
              </w:rPr>
              <w:t>Secretaría de Educación Pública. Instituto Nacional para la evaluación de la Educación. México: 2018.</w:t>
            </w:r>
          </w:p>
        </w:tc>
      </w:tr>
      <w:tr>
        <w:trPr>
          <w:trHeight w:val="1002" w:hRule="atLeast"/>
        </w:trPr>
        <w:tc>
          <w:tcPr>
            <w:tcW w:w="1438" w:type="dxa"/>
            <w:shd w:val="clear" w:color="auto" w:fill="EDEDED"/>
          </w:tcPr>
          <w:p>
            <w:pPr>
              <w:pStyle w:val="TableParagraph"/>
              <w:spacing w:before="81"/>
              <w:ind w:left="79" w:right="554"/>
              <w:rPr>
                <w:sz w:val="11"/>
              </w:rPr>
            </w:pPr>
            <w:r>
              <w:rPr>
                <w:sz w:val="11"/>
              </w:rPr>
              <w:t>Porcentaje de Analfabetismo</w:t>
            </w:r>
          </w:p>
        </w:tc>
        <w:tc>
          <w:tcPr>
            <w:tcW w:w="579" w:type="dxa"/>
            <w:shd w:val="clear" w:color="auto" w:fill="EDEDED"/>
          </w:tcPr>
          <w:p>
            <w:pPr>
              <w:pStyle w:val="TableParagraph"/>
              <w:spacing w:before="81"/>
              <w:ind w:left="78" w:right="58"/>
              <w:rPr>
                <w:sz w:val="11"/>
              </w:rPr>
            </w:pPr>
            <w:r>
              <w:rPr>
                <w:sz w:val="11"/>
              </w:rPr>
              <w:t>Porcent aje</w:t>
            </w:r>
          </w:p>
        </w:tc>
        <w:tc>
          <w:tcPr>
            <w:tcW w:w="447" w:type="dxa"/>
            <w:shd w:val="clear" w:color="auto" w:fill="EDEDED"/>
          </w:tcPr>
          <w:p>
            <w:pPr>
              <w:pStyle w:val="TableParagraph"/>
              <w:spacing w:before="81"/>
              <w:ind w:left="134" w:right="52"/>
              <w:jc w:val="center"/>
              <w:rPr>
                <w:sz w:val="11"/>
              </w:rPr>
            </w:pPr>
            <w:r>
              <w:rPr>
                <w:sz w:val="11"/>
              </w:rPr>
              <w:t>4.53</w:t>
            </w:r>
          </w:p>
        </w:tc>
        <w:tc>
          <w:tcPr>
            <w:tcW w:w="582" w:type="dxa"/>
            <w:shd w:val="clear" w:color="auto" w:fill="EDEDED"/>
          </w:tcPr>
          <w:p>
            <w:pPr>
              <w:pStyle w:val="TableParagraph"/>
              <w:spacing w:before="81"/>
              <w:ind w:right="73"/>
              <w:jc w:val="right"/>
              <w:rPr>
                <w:sz w:val="11"/>
              </w:rPr>
            </w:pPr>
            <w:r>
              <w:rPr>
                <w:sz w:val="11"/>
              </w:rPr>
              <w:t>2016</w:t>
            </w:r>
          </w:p>
        </w:tc>
        <w:tc>
          <w:tcPr>
            <w:tcW w:w="845" w:type="dxa"/>
            <w:shd w:val="clear" w:color="auto" w:fill="EDEDED"/>
          </w:tcPr>
          <w:p>
            <w:pPr>
              <w:pStyle w:val="TableParagraph"/>
              <w:spacing w:before="81"/>
              <w:ind w:left="79"/>
              <w:rPr>
                <w:sz w:val="11"/>
              </w:rPr>
            </w:pPr>
            <w:r>
              <w:rPr>
                <w:sz w:val="11"/>
              </w:rPr>
              <w:t>Anual</w:t>
            </w:r>
          </w:p>
        </w:tc>
        <w:tc>
          <w:tcPr>
            <w:tcW w:w="725" w:type="dxa"/>
            <w:shd w:val="clear" w:color="auto" w:fill="EDEDED"/>
          </w:tcPr>
          <w:p>
            <w:pPr>
              <w:pStyle w:val="TableParagraph"/>
              <w:spacing w:before="81"/>
              <w:ind w:left="79" w:right="88"/>
              <w:rPr>
                <w:sz w:val="11"/>
              </w:rPr>
            </w:pPr>
            <w:r>
              <w:rPr>
                <w:sz w:val="11"/>
              </w:rPr>
              <w:t>Quinquen al</w:t>
            </w:r>
          </w:p>
        </w:tc>
        <w:tc>
          <w:tcPr>
            <w:tcW w:w="2453" w:type="dxa"/>
            <w:shd w:val="clear" w:color="auto" w:fill="EDEDED"/>
          </w:tcPr>
          <w:p>
            <w:pPr>
              <w:pStyle w:val="TableParagraph"/>
              <w:spacing w:before="6"/>
              <w:rPr>
                <w:rFonts w:ascii="Times New Roman"/>
                <w:sz w:val="19"/>
              </w:rPr>
            </w:pPr>
          </w:p>
          <w:p>
            <w:pPr>
              <w:pStyle w:val="TableParagraph"/>
              <w:spacing w:line="499" w:lineRule="auto"/>
              <w:ind w:left="76" w:right="550"/>
              <w:rPr>
                <w:sz w:val="11"/>
              </w:rPr>
            </w:pPr>
            <w:r>
              <w:rPr>
                <w:sz w:val="11"/>
              </w:rPr>
              <w:t>TsAnf = [((∑_(j=1)^125PoAnf_(15+) j))/((∑_(j=1)^125PoTl_(15+) j) )] 100</w:t>
            </w:r>
          </w:p>
        </w:tc>
        <w:tc>
          <w:tcPr>
            <w:tcW w:w="2592" w:type="dxa"/>
            <w:shd w:val="clear" w:color="auto" w:fill="EDEDED"/>
          </w:tcPr>
          <w:p>
            <w:pPr>
              <w:pStyle w:val="TableParagraph"/>
              <w:spacing w:before="81"/>
              <w:ind w:left="107"/>
              <w:rPr>
                <w:sz w:val="11"/>
              </w:rPr>
            </w:pPr>
            <w:r>
              <w:rPr>
                <w:sz w:val="11"/>
              </w:rPr>
              <w:t>INEGI, Encuesta Intercensal 2015.</w:t>
            </w:r>
          </w:p>
        </w:tc>
      </w:tr>
      <w:tr>
        <w:trPr>
          <w:trHeight w:val="988" w:hRule="atLeast"/>
        </w:trPr>
        <w:tc>
          <w:tcPr>
            <w:tcW w:w="1438" w:type="dxa"/>
          </w:tcPr>
          <w:p>
            <w:pPr>
              <w:pStyle w:val="TableParagraph"/>
              <w:spacing w:before="81"/>
              <w:ind w:left="79" w:right="330"/>
              <w:rPr>
                <w:sz w:val="11"/>
              </w:rPr>
            </w:pPr>
            <w:r>
              <w:rPr>
                <w:sz w:val="11"/>
              </w:rPr>
              <w:t>Porcentaje de cobertura en educación media superior de 15 a 17 años</w:t>
            </w:r>
          </w:p>
        </w:tc>
        <w:tc>
          <w:tcPr>
            <w:tcW w:w="579" w:type="dxa"/>
          </w:tcPr>
          <w:p>
            <w:pPr>
              <w:pStyle w:val="TableParagraph"/>
              <w:spacing w:before="81"/>
              <w:ind w:left="78" w:right="58"/>
              <w:rPr>
                <w:sz w:val="11"/>
              </w:rPr>
            </w:pPr>
            <w:r>
              <w:rPr>
                <w:sz w:val="11"/>
              </w:rPr>
              <w:t>Porcent aje</w:t>
            </w:r>
          </w:p>
        </w:tc>
        <w:tc>
          <w:tcPr>
            <w:tcW w:w="447" w:type="dxa"/>
          </w:tcPr>
          <w:p>
            <w:pPr>
              <w:pStyle w:val="TableParagraph"/>
              <w:spacing w:before="81"/>
              <w:ind w:left="74" w:right="52"/>
              <w:jc w:val="center"/>
              <w:rPr>
                <w:sz w:val="11"/>
              </w:rPr>
            </w:pPr>
            <w:r>
              <w:rPr>
                <w:sz w:val="11"/>
              </w:rPr>
              <w:t>73.16</w:t>
            </w:r>
          </w:p>
        </w:tc>
        <w:tc>
          <w:tcPr>
            <w:tcW w:w="582" w:type="dxa"/>
          </w:tcPr>
          <w:p>
            <w:pPr>
              <w:pStyle w:val="TableParagraph"/>
              <w:spacing w:before="81"/>
              <w:ind w:right="73"/>
              <w:jc w:val="right"/>
              <w:rPr>
                <w:sz w:val="11"/>
              </w:rPr>
            </w:pPr>
            <w:r>
              <w:rPr>
                <w:sz w:val="11"/>
              </w:rPr>
              <w:t>2017</w:t>
            </w:r>
          </w:p>
        </w:tc>
        <w:tc>
          <w:tcPr>
            <w:tcW w:w="845" w:type="dxa"/>
          </w:tcPr>
          <w:p>
            <w:pPr>
              <w:pStyle w:val="TableParagraph"/>
              <w:spacing w:before="81"/>
              <w:ind w:left="79"/>
              <w:rPr>
                <w:sz w:val="11"/>
              </w:rPr>
            </w:pPr>
            <w:r>
              <w:rPr>
                <w:sz w:val="11"/>
              </w:rPr>
              <w:t>Anual</w:t>
            </w:r>
          </w:p>
        </w:tc>
        <w:tc>
          <w:tcPr>
            <w:tcW w:w="725" w:type="dxa"/>
          </w:tcPr>
          <w:p>
            <w:pPr>
              <w:pStyle w:val="TableParagraph"/>
              <w:spacing w:before="81"/>
              <w:ind w:left="79"/>
              <w:rPr>
                <w:sz w:val="11"/>
              </w:rPr>
            </w:pPr>
            <w:r>
              <w:rPr>
                <w:sz w:val="11"/>
              </w:rPr>
              <w:t>Resultado</w:t>
            </w:r>
          </w:p>
        </w:tc>
        <w:tc>
          <w:tcPr>
            <w:tcW w:w="2453" w:type="dxa"/>
          </w:tcPr>
          <w:p>
            <w:pPr>
              <w:pStyle w:val="TableParagraph"/>
              <w:spacing w:before="81"/>
              <w:ind w:left="76" w:right="270"/>
              <w:rPr>
                <w:sz w:val="11"/>
              </w:rPr>
            </w:pPr>
            <w:r>
              <w:rPr>
                <w:sz w:val="11"/>
              </w:rPr>
              <w:t>Secretaría de Educación Pública (SEP). Sistema Nacional de Información Estadística Educativa (SNIEE). México: 2018.</w:t>
            </w:r>
          </w:p>
        </w:tc>
        <w:tc>
          <w:tcPr>
            <w:tcW w:w="2592" w:type="dxa"/>
          </w:tcPr>
          <w:p>
            <w:pPr>
              <w:pStyle w:val="TableParagraph"/>
              <w:spacing w:before="81"/>
              <w:ind w:left="76" w:right="127"/>
              <w:rPr>
                <w:sz w:val="11"/>
              </w:rPr>
            </w:pPr>
            <w:r>
              <w:rPr>
                <w:sz w:val="11"/>
              </w:rPr>
              <w:t>Secretaría de Educación Pública (SEP). Sistema Nacional de Información Estadística Educativa (SNIEE). México: 2018.</w:t>
            </w:r>
          </w:p>
        </w:tc>
      </w:tr>
      <w:tr>
        <w:trPr>
          <w:trHeight w:val="989" w:hRule="atLeast"/>
        </w:trPr>
        <w:tc>
          <w:tcPr>
            <w:tcW w:w="1438" w:type="dxa"/>
            <w:shd w:val="clear" w:color="auto" w:fill="EDEDED"/>
          </w:tcPr>
          <w:p>
            <w:pPr>
              <w:pStyle w:val="TableParagraph"/>
              <w:spacing w:before="81"/>
              <w:ind w:left="79" w:right="111"/>
              <w:rPr>
                <w:sz w:val="11"/>
              </w:rPr>
            </w:pPr>
            <w:r>
              <w:rPr>
                <w:sz w:val="11"/>
              </w:rPr>
              <w:t>Porcentaje de cobertura en educación secundaria de 12 a 14</w:t>
            </w:r>
          </w:p>
        </w:tc>
        <w:tc>
          <w:tcPr>
            <w:tcW w:w="579" w:type="dxa"/>
            <w:shd w:val="clear" w:color="auto" w:fill="EDEDED"/>
          </w:tcPr>
          <w:p>
            <w:pPr>
              <w:pStyle w:val="TableParagraph"/>
              <w:spacing w:before="81"/>
              <w:ind w:left="78" w:right="58"/>
              <w:rPr>
                <w:sz w:val="11"/>
              </w:rPr>
            </w:pPr>
            <w:r>
              <w:rPr>
                <w:sz w:val="11"/>
              </w:rPr>
              <w:t>Porcent aje</w:t>
            </w:r>
          </w:p>
        </w:tc>
        <w:tc>
          <w:tcPr>
            <w:tcW w:w="447" w:type="dxa"/>
            <w:shd w:val="clear" w:color="auto" w:fill="EDEDED"/>
          </w:tcPr>
          <w:p>
            <w:pPr>
              <w:pStyle w:val="TableParagraph"/>
              <w:spacing w:before="81"/>
              <w:ind w:left="74" w:right="52"/>
              <w:jc w:val="center"/>
              <w:rPr>
                <w:sz w:val="11"/>
              </w:rPr>
            </w:pPr>
            <w:r>
              <w:rPr>
                <w:sz w:val="11"/>
              </w:rPr>
              <w:t>86.37</w:t>
            </w:r>
          </w:p>
        </w:tc>
        <w:tc>
          <w:tcPr>
            <w:tcW w:w="582" w:type="dxa"/>
            <w:shd w:val="clear" w:color="auto" w:fill="EDEDED"/>
          </w:tcPr>
          <w:p>
            <w:pPr>
              <w:pStyle w:val="TableParagraph"/>
              <w:spacing w:before="81"/>
              <w:ind w:right="73"/>
              <w:jc w:val="right"/>
              <w:rPr>
                <w:sz w:val="11"/>
              </w:rPr>
            </w:pPr>
            <w:r>
              <w:rPr>
                <w:sz w:val="11"/>
              </w:rPr>
              <w:t>2017</w:t>
            </w:r>
          </w:p>
        </w:tc>
        <w:tc>
          <w:tcPr>
            <w:tcW w:w="845" w:type="dxa"/>
            <w:shd w:val="clear" w:color="auto" w:fill="EDEDED"/>
          </w:tcPr>
          <w:p>
            <w:pPr>
              <w:pStyle w:val="TableParagraph"/>
              <w:spacing w:before="81"/>
              <w:ind w:left="79"/>
              <w:rPr>
                <w:sz w:val="11"/>
              </w:rPr>
            </w:pPr>
            <w:r>
              <w:rPr>
                <w:sz w:val="11"/>
              </w:rPr>
              <w:t>Anual</w:t>
            </w:r>
          </w:p>
        </w:tc>
        <w:tc>
          <w:tcPr>
            <w:tcW w:w="725" w:type="dxa"/>
            <w:shd w:val="clear" w:color="auto" w:fill="EDEDED"/>
          </w:tcPr>
          <w:p>
            <w:pPr>
              <w:pStyle w:val="TableParagraph"/>
              <w:spacing w:before="81"/>
              <w:ind w:left="79"/>
              <w:rPr>
                <w:sz w:val="11"/>
              </w:rPr>
            </w:pPr>
            <w:r>
              <w:rPr>
                <w:sz w:val="11"/>
              </w:rPr>
              <w:t>Resultado</w:t>
            </w:r>
          </w:p>
        </w:tc>
        <w:tc>
          <w:tcPr>
            <w:tcW w:w="2453" w:type="dxa"/>
            <w:shd w:val="clear" w:color="auto" w:fill="EDEDED"/>
          </w:tcPr>
          <w:p>
            <w:pPr>
              <w:pStyle w:val="TableParagraph"/>
              <w:spacing w:before="7"/>
              <w:rPr>
                <w:rFonts w:ascii="Times New Roman"/>
                <w:sz w:val="19"/>
              </w:rPr>
            </w:pPr>
          </w:p>
          <w:p>
            <w:pPr>
              <w:pStyle w:val="TableParagraph"/>
              <w:spacing w:line="499" w:lineRule="auto"/>
              <w:ind w:left="76" w:right="578"/>
              <w:rPr>
                <w:sz w:val="11"/>
              </w:rPr>
            </w:pPr>
            <w:r>
              <w:rPr>
                <w:sz w:val="11"/>
              </w:rPr>
              <w:t>PNC_secundariar^t= ((PM_(12-14, secundaria)^t)/P_(12-14) )*100</w:t>
            </w:r>
          </w:p>
        </w:tc>
        <w:tc>
          <w:tcPr>
            <w:tcW w:w="2592" w:type="dxa"/>
            <w:shd w:val="clear" w:color="auto" w:fill="EDEDED"/>
          </w:tcPr>
          <w:p>
            <w:pPr>
              <w:pStyle w:val="TableParagraph"/>
              <w:spacing w:before="81"/>
              <w:ind w:left="76" w:right="127" w:firstLine="31"/>
              <w:rPr>
                <w:sz w:val="11"/>
              </w:rPr>
            </w:pPr>
            <w:r>
              <w:rPr>
                <w:sz w:val="11"/>
              </w:rPr>
              <w:t>Secretaría de Educación Pública (SEP). Sistema Nacional de Información Estadística Educativa (SNIEE). México: 2018.</w:t>
            </w:r>
          </w:p>
        </w:tc>
      </w:tr>
      <w:tr>
        <w:trPr>
          <w:trHeight w:val="1130" w:hRule="atLeast"/>
        </w:trPr>
        <w:tc>
          <w:tcPr>
            <w:tcW w:w="1438" w:type="dxa"/>
          </w:tcPr>
          <w:p>
            <w:pPr>
              <w:pStyle w:val="TableParagraph"/>
              <w:spacing w:before="81"/>
              <w:ind w:left="79" w:right="132"/>
              <w:rPr>
                <w:sz w:val="11"/>
              </w:rPr>
            </w:pPr>
            <w:r>
              <w:rPr>
                <w:sz w:val="11"/>
              </w:rPr>
              <w:t>Porcentaje de cobertura en educación superior sin posgrado de 18 a 22 años</w:t>
            </w:r>
          </w:p>
        </w:tc>
        <w:tc>
          <w:tcPr>
            <w:tcW w:w="579" w:type="dxa"/>
          </w:tcPr>
          <w:p>
            <w:pPr>
              <w:pStyle w:val="TableParagraph"/>
              <w:spacing w:before="81"/>
              <w:ind w:left="78" w:right="58"/>
              <w:rPr>
                <w:sz w:val="11"/>
              </w:rPr>
            </w:pPr>
            <w:r>
              <w:rPr>
                <w:sz w:val="11"/>
              </w:rPr>
              <w:t>Porcent aje</w:t>
            </w:r>
          </w:p>
        </w:tc>
        <w:tc>
          <w:tcPr>
            <w:tcW w:w="447" w:type="dxa"/>
          </w:tcPr>
          <w:p>
            <w:pPr>
              <w:pStyle w:val="TableParagraph"/>
              <w:spacing w:before="81"/>
              <w:ind w:left="134" w:right="52"/>
              <w:jc w:val="center"/>
              <w:rPr>
                <w:sz w:val="11"/>
              </w:rPr>
            </w:pPr>
            <w:r>
              <w:rPr>
                <w:sz w:val="11"/>
              </w:rPr>
              <w:t>1.12</w:t>
            </w:r>
          </w:p>
        </w:tc>
        <w:tc>
          <w:tcPr>
            <w:tcW w:w="582" w:type="dxa"/>
          </w:tcPr>
          <w:p>
            <w:pPr>
              <w:pStyle w:val="TableParagraph"/>
              <w:spacing w:before="81"/>
              <w:ind w:right="73"/>
              <w:jc w:val="right"/>
              <w:rPr>
                <w:sz w:val="11"/>
              </w:rPr>
            </w:pPr>
            <w:r>
              <w:rPr>
                <w:sz w:val="11"/>
              </w:rPr>
              <w:t>2012</w:t>
            </w:r>
          </w:p>
        </w:tc>
        <w:tc>
          <w:tcPr>
            <w:tcW w:w="845" w:type="dxa"/>
          </w:tcPr>
          <w:p>
            <w:pPr>
              <w:pStyle w:val="TableParagraph"/>
              <w:spacing w:before="81"/>
              <w:ind w:left="79"/>
              <w:rPr>
                <w:sz w:val="11"/>
              </w:rPr>
            </w:pPr>
            <w:r>
              <w:rPr>
                <w:sz w:val="11"/>
              </w:rPr>
              <w:t>Anual</w:t>
            </w:r>
          </w:p>
        </w:tc>
        <w:tc>
          <w:tcPr>
            <w:tcW w:w="725" w:type="dxa"/>
          </w:tcPr>
          <w:p>
            <w:pPr>
              <w:pStyle w:val="TableParagraph"/>
              <w:spacing w:before="81"/>
              <w:ind w:left="79"/>
              <w:rPr>
                <w:sz w:val="11"/>
              </w:rPr>
            </w:pPr>
            <w:r>
              <w:rPr>
                <w:sz w:val="11"/>
              </w:rPr>
              <w:t>Resultado</w:t>
            </w:r>
          </w:p>
        </w:tc>
        <w:tc>
          <w:tcPr>
            <w:tcW w:w="2453" w:type="dxa"/>
          </w:tcPr>
          <w:p>
            <w:pPr>
              <w:pStyle w:val="TableParagraph"/>
              <w:spacing w:before="6"/>
              <w:rPr>
                <w:rFonts w:ascii="Times New Roman"/>
                <w:sz w:val="19"/>
              </w:rPr>
            </w:pPr>
          </w:p>
          <w:p>
            <w:pPr>
              <w:pStyle w:val="TableParagraph"/>
              <w:spacing w:line="499" w:lineRule="auto"/>
              <w:ind w:left="76" w:right="796"/>
              <w:rPr>
                <w:sz w:val="11"/>
              </w:rPr>
            </w:pPr>
            <w:r>
              <w:rPr>
                <w:sz w:val="11"/>
              </w:rPr>
              <w:t>PNC_superior^t= ((PM_(18-22, superior)^t)/P_(18-22) )*100</w:t>
            </w:r>
          </w:p>
        </w:tc>
        <w:tc>
          <w:tcPr>
            <w:tcW w:w="2592" w:type="dxa"/>
          </w:tcPr>
          <w:p>
            <w:pPr>
              <w:pStyle w:val="TableParagraph"/>
              <w:spacing w:before="81"/>
              <w:ind w:left="76" w:right="127" w:firstLine="31"/>
              <w:rPr>
                <w:sz w:val="11"/>
              </w:rPr>
            </w:pPr>
            <w:r>
              <w:rPr>
                <w:sz w:val="11"/>
              </w:rPr>
              <w:t>Secretaría de Educación Pública (SEP). Sistema Nacional de Información Estadística Educativa (SNIEE). 2017. México: 2018. (ÚLTIMO DATO DISPONIBLE)</w:t>
            </w:r>
          </w:p>
        </w:tc>
      </w:tr>
      <w:tr>
        <w:trPr>
          <w:trHeight w:val="1771" w:hRule="atLeast"/>
        </w:trPr>
        <w:tc>
          <w:tcPr>
            <w:tcW w:w="1438" w:type="dxa"/>
            <w:shd w:val="clear" w:color="auto" w:fill="EDEDED"/>
          </w:tcPr>
          <w:p>
            <w:pPr>
              <w:pStyle w:val="TableParagraph"/>
              <w:spacing w:before="81"/>
              <w:ind w:left="79" w:right="201"/>
              <w:rPr>
                <w:sz w:val="11"/>
              </w:rPr>
            </w:pPr>
            <w:r>
              <w:rPr>
                <w:sz w:val="11"/>
              </w:rPr>
              <w:t>Porcentaje de cobertura preescolar de 3 a 5 años</w:t>
            </w:r>
          </w:p>
        </w:tc>
        <w:tc>
          <w:tcPr>
            <w:tcW w:w="579" w:type="dxa"/>
            <w:shd w:val="clear" w:color="auto" w:fill="EDEDED"/>
          </w:tcPr>
          <w:p>
            <w:pPr>
              <w:pStyle w:val="TableParagraph"/>
              <w:spacing w:before="81"/>
              <w:ind w:left="78" w:right="58"/>
              <w:rPr>
                <w:sz w:val="11"/>
              </w:rPr>
            </w:pPr>
            <w:r>
              <w:rPr>
                <w:sz w:val="11"/>
              </w:rPr>
              <w:t>Porcent aje</w:t>
            </w:r>
          </w:p>
        </w:tc>
        <w:tc>
          <w:tcPr>
            <w:tcW w:w="447" w:type="dxa"/>
            <w:shd w:val="clear" w:color="auto" w:fill="EDEDED"/>
          </w:tcPr>
          <w:p>
            <w:pPr>
              <w:pStyle w:val="TableParagraph"/>
              <w:spacing w:before="81"/>
              <w:ind w:left="134" w:right="52"/>
              <w:jc w:val="center"/>
              <w:rPr>
                <w:sz w:val="11"/>
              </w:rPr>
            </w:pPr>
            <w:r>
              <w:rPr>
                <w:sz w:val="11"/>
              </w:rPr>
              <w:t>59.1</w:t>
            </w:r>
          </w:p>
        </w:tc>
        <w:tc>
          <w:tcPr>
            <w:tcW w:w="582" w:type="dxa"/>
            <w:shd w:val="clear" w:color="auto" w:fill="EDEDED"/>
          </w:tcPr>
          <w:p>
            <w:pPr>
              <w:pStyle w:val="TableParagraph"/>
              <w:spacing w:before="81"/>
              <w:ind w:right="73"/>
              <w:jc w:val="right"/>
              <w:rPr>
                <w:sz w:val="11"/>
              </w:rPr>
            </w:pPr>
            <w:r>
              <w:rPr>
                <w:sz w:val="11"/>
              </w:rPr>
              <w:t>2017</w:t>
            </w:r>
          </w:p>
        </w:tc>
        <w:tc>
          <w:tcPr>
            <w:tcW w:w="845" w:type="dxa"/>
            <w:shd w:val="clear" w:color="auto" w:fill="EDEDED"/>
          </w:tcPr>
          <w:p>
            <w:pPr>
              <w:pStyle w:val="TableParagraph"/>
              <w:spacing w:before="81"/>
              <w:ind w:left="79"/>
              <w:rPr>
                <w:sz w:val="11"/>
              </w:rPr>
            </w:pPr>
            <w:r>
              <w:rPr>
                <w:sz w:val="11"/>
              </w:rPr>
              <w:t>Anual</w:t>
            </w:r>
          </w:p>
        </w:tc>
        <w:tc>
          <w:tcPr>
            <w:tcW w:w="725" w:type="dxa"/>
            <w:shd w:val="clear" w:color="auto" w:fill="EDEDED"/>
          </w:tcPr>
          <w:p>
            <w:pPr>
              <w:pStyle w:val="TableParagraph"/>
              <w:spacing w:before="81"/>
              <w:ind w:left="79"/>
              <w:rPr>
                <w:sz w:val="11"/>
              </w:rPr>
            </w:pPr>
            <w:r>
              <w:rPr>
                <w:sz w:val="11"/>
              </w:rPr>
              <w:t>Resultado</w:t>
            </w:r>
          </w:p>
        </w:tc>
        <w:tc>
          <w:tcPr>
            <w:tcW w:w="2453" w:type="dxa"/>
            <w:shd w:val="clear" w:color="auto" w:fill="EDEDED"/>
          </w:tcPr>
          <w:p>
            <w:pPr>
              <w:pStyle w:val="TableParagraph"/>
              <w:spacing w:before="6"/>
              <w:rPr>
                <w:rFonts w:ascii="Times New Roman"/>
                <w:sz w:val="19"/>
              </w:rPr>
            </w:pPr>
          </w:p>
          <w:p>
            <w:pPr>
              <w:pStyle w:val="TableParagraph"/>
              <w:spacing w:line="499" w:lineRule="auto"/>
              <w:ind w:left="76" w:right="770"/>
              <w:rPr>
                <w:sz w:val="11"/>
              </w:rPr>
            </w:pPr>
            <w:r>
              <w:rPr>
                <w:sz w:val="11"/>
              </w:rPr>
              <w:t>PNC_preescolar^t= ((PM_(3-5, preescolar)^t)/P_(3-5) )*100</w:t>
            </w:r>
          </w:p>
        </w:tc>
        <w:tc>
          <w:tcPr>
            <w:tcW w:w="2592" w:type="dxa"/>
            <w:shd w:val="clear" w:color="auto" w:fill="EDEDED"/>
          </w:tcPr>
          <w:p>
            <w:pPr>
              <w:pStyle w:val="TableParagraph"/>
              <w:spacing w:before="81"/>
              <w:ind w:left="76" w:right="127"/>
              <w:rPr>
                <w:sz w:val="11"/>
              </w:rPr>
            </w:pPr>
            <w:r>
              <w:rPr>
                <w:sz w:val="11"/>
              </w:rPr>
              <w:t>Secretaría de Educación Pública (SEP). Sistema Nacional de Información Estadística Educativa (SNIEE). México: 2018.</w:t>
            </w:r>
          </w:p>
        </w:tc>
      </w:tr>
    </w:tbl>
    <w:p>
      <w:pPr>
        <w:spacing w:after="0"/>
        <w:rPr>
          <w:sz w:val="11"/>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8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438"/>
        <w:gridCol w:w="579"/>
        <w:gridCol w:w="447"/>
        <w:gridCol w:w="582"/>
        <w:gridCol w:w="845"/>
        <w:gridCol w:w="725"/>
        <w:gridCol w:w="2453"/>
        <w:gridCol w:w="2592"/>
      </w:tblGrid>
      <w:tr>
        <w:trPr>
          <w:trHeight w:val="2431" w:hRule="atLeast"/>
        </w:trPr>
        <w:tc>
          <w:tcPr>
            <w:tcW w:w="1438" w:type="dxa"/>
          </w:tcPr>
          <w:p>
            <w:pPr>
              <w:pStyle w:val="TableParagraph"/>
              <w:spacing w:before="81"/>
              <w:ind w:left="79" w:right="344"/>
              <w:rPr>
                <w:sz w:val="11"/>
              </w:rPr>
            </w:pPr>
            <w:r>
              <w:rPr>
                <w:sz w:val="11"/>
              </w:rPr>
              <w:t>Porcentaje de eficiencia terminal media superior</w:t>
            </w:r>
          </w:p>
        </w:tc>
        <w:tc>
          <w:tcPr>
            <w:tcW w:w="579" w:type="dxa"/>
          </w:tcPr>
          <w:p>
            <w:pPr>
              <w:pStyle w:val="TableParagraph"/>
              <w:spacing w:before="81"/>
              <w:ind w:left="78" w:right="58"/>
              <w:rPr>
                <w:sz w:val="11"/>
              </w:rPr>
            </w:pPr>
            <w:r>
              <w:rPr>
                <w:sz w:val="11"/>
              </w:rPr>
              <w:t>Porcent aje</w:t>
            </w:r>
          </w:p>
        </w:tc>
        <w:tc>
          <w:tcPr>
            <w:tcW w:w="447" w:type="dxa"/>
          </w:tcPr>
          <w:p>
            <w:pPr>
              <w:pStyle w:val="TableParagraph"/>
              <w:spacing w:before="81"/>
              <w:ind w:left="74" w:right="52"/>
              <w:jc w:val="center"/>
              <w:rPr>
                <w:sz w:val="11"/>
              </w:rPr>
            </w:pPr>
            <w:r>
              <w:rPr>
                <w:sz w:val="11"/>
              </w:rPr>
              <w:t>74.18</w:t>
            </w:r>
          </w:p>
        </w:tc>
        <w:tc>
          <w:tcPr>
            <w:tcW w:w="582" w:type="dxa"/>
          </w:tcPr>
          <w:p>
            <w:pPr>
              <w:pStyle w:val="TableParagraph"/>
              <w:spacing w:before="81"/>
              <w:ind w:right="73"/>
              <w:jc w:val="right"/>
              <w:rPr>
                <w:sz w:val="11"/>
              </w:rPr>
            </w:pPr>
            <w:r>
              <w:rPr>
                <w:sz w:val="11"/>
              </w:rPr>
              <w:t>2017</w:t>
            </w:r>
          </w:p>
        </w:tc>
        <w:tc>
          <w:tcPr>
            <w:tcW w:w="845" w:type="dxa"/>
          </w:tcPr>
          <w:p>
            <w:pPr>
              <w:pStyle w:val="TableParagraph"/>
              <w:spacing w:before="81"/>
              <w:ind w:left="79"/>
              <w:rPr>
                <w:sz w:val="11"/>
              </w:rPr>
            </w:pPr>
            <w:r>
              <w:rPr>
                <w:sz w:val="11"/>
              </w:rPr>
              <w:t>Anual</w:t>
            </w:r>
          </w:p>
        </w:tc>
        <w:tc>
          <w:tcPr>
            <w:tcW w:w="725" w:type="dxa"/>
          </w:tcPr>
          <w:p>
            <w:pPr>
              <w:pStyle w:val="TableParagraph"/>
              <w:spacing w:before="81"/>
              <w:ind w:left="79"/>
              <w:rPr>
                <w:sz w:val="11"/>
              </w:rPr>
            </w:pPr>
            <w:r>
              <w:rPr>
                <w:sz w:val="11"/>
              </w:rPr>
              <w:t>Resultado</w:t>
            </w:r>
          </w:p>
        </w:tc>
        <w:tc>
          <w:tcPr>
            <w:tcW w:w="2453" w:type="dxa"/>
          </w:tcPr>
          <w:p>
            <w:pPr>
              <w:pStyle w:val="TableParagraph"/>
              <w:spacing w:before="6"/>
              <w:rPr>
                <w:rFonts w:ascii="Times New Roman"/>
                <w:sz w:val="19"/>
              </w:rPr>
            </w:pPr>
          </w:p>
          <w:p>
            <w:pPr>
              <w:pStyle w:val="TableParagraph"/>
              <w:ind w:left="76"/>
              <w:rPr>
                <w:sz w:val="11"/>
              </w:rPr>
            </w:pPr>
            <w:r>
              <w:rPr>
                <w:sz w:val="11"/>
              </w:rPr>
              <w:t>EFMS= (_t^)AEg ^bg3 /(_t-2^)ANI _(1o</w:t>
            </w:r>
          </w:p>
          <w:p>
            <w:pPr>
              <w:pStyle w:val="TableParagraph"/>
              <w:spacing w:before="8"/>
              <w:rPr>
                <w:rFonts w:ascii="Times New Roman"/>
                <w:sz w:val="12"/>
              </w:rPr>
            </w:pPr>
          </w:p>
          <w:p>
            <w:pPr>
              <w:pStyle w:val="TableParagraph"/>
              <w:ind w:left="76"/>
              <w:rPr>
                <w:sz w:val="11"/>
              </w:rPr>
            </w:pPr>
            <w:r>
              <w:rPr>
                <w:sz w:val="11"/>
              </w:rPr>
              <w:t>)^bg -(_t-2^)ANI _(1o )^(bg 2) +(_t^)AEg</w:t>
            </w:r>
          </w:p>
          <w:p>
            <w:pPr>
              <w:pStyle w:val="TableParagraph"/>
              <w:spacing w:before="8"/>
              <w:rPr>
                <w:rFonts w:ascii="Times New Roman"/>
                <w:sz w:val="12"/>
              </w:rPr>
            </w:pPr>
          </w:p>
          <w:p>
            <w:pPr>
              <w:pStyle w:val="TableParagraph"/>
              <w:ind w:left="76"/>
              <w:rPr>
                <w:sz w:val="11"/>
              </w:rPr>
            </w:pPr>
            <w:r>
              <w:rPr>
                <w:sz w:val="11"/>
              </w:rPr>
              <w:t>^bg2 /(_t-1^)ANI _(1o )^bg2 +(_t^)AEg</w:t>
            </w:r>
          </w:p>
          <w:p>
            <w:pPr>
              <w:pStyle w:val="TableParagraph"/>
              <w:spacing w:before="6"/>
              <w:rPr>
                <w:rFonts w:ascii="Times New Roman"/>
                <w:sz w:val="12"/>
              </w:rPr>
            </w:pPr>
          </w:p>
          <w:p>
            <w:pPr>
              <w:pStyle w:val="TableParagraph"/>
              <w:ind w:left="76"/>
              <w:rPr>
                <w:sz w:val="11"/>
              </w:rPr>
            </w:pPr>
            <w:r>
              <w:rPr>
                <w:sz w:val="11"/>
              </w:rPr>
              <w:t>^prof /(_t-2^)ANI _(1o )^prof</w:t>
            </w:r>
          </w:p>
        </w:tc>
        <w:tc>
          <w:tcPr>
            <w:tcW w:w="2592" w:type="dxa"/>
          </w:tcPr>
          <w:p>
            <w:pPr>
              <w:pStyle w:val="TableParagraph"/>
              <w:spacing w:before="81"/>
              <w:ind w:left="76" w:right="127"/>
              <w:rPr>
                <w:sz w:val="11"/>
              </w:rPr>
            </w:pPr>
            <w:r>
              <w:rPr>
                <w:sz w:val="11"/>
              </w:rPr>
              <w:t>Secretaría de Educación Pública (SEP). Sistema Nacional de Información Estadística Educativa (SNIEE). México:2018.</w:t>
            </w:r>
          </w:p>
        </w:tc>
      </w:tr>
      <w:tr>
        <w:trPr>
          <w:trHeight w:val="1579" w:hRule="atLeast"/>
        </w:trPr>
        <w:tc>
          <w:tcPr>
            <w:tcW w:w="1438" w:type="dxa"/>
            <w:shd w:val="clear" w:color="auto" w:fill="EDEDED"/>
          </w:tcPr>
          <w:p>
            <w:pPr>
              <w:pStyle w:val="TableParagraph"/>
              <w:spacing w:before="81"/>
              <w:ind w:left="79" w:right="79"/>
              <w:rPr>
                <w:sz w:val="11"/>
              </w:rPr>
            </w:pPr>
            <w:r>
              <w:rPr>
                <w:sz w:val="11"/>
              </w:rPr>
              <w:t>Porcentaje de la población mayor de 15 años con rezago educativo</w:t>
            </w:r>
          </w:p>
        </w:tc>
        <w:tc>
          <w:tcPr>
            <w:tcW w:w="579" w:type="dxa"/>
            <w:shd w:val="clear" w:color="auto" w:fill="EDEDED"/>
          </w:tcPr>
          <w:p>
            <w:pPr>
              <w:pStyle w:val="TableParagraph"/>
              <w:spacing w:before="81"/>
              <w:ind w:left="78" w:right="58"/>
              <w:rPr>
                <w:sz w:val="11"/>
              </w:rPr>
            </w:pPr>
            <w:r>
              <w:rPr>
                <w:sz w:val="11"/>
              </w:rPr>
              <w:t>Porcent aje</w:t>
            </w:r>
          </w:p>
        </w:tc>
        <w:tc>
          <w:tcPr>
            <w:tcW w:w="447" w:type="dxa"/>
            <w:shd w:val="clear" w:color="auto" w:fill="EDEDED"/>
          </w:tcPr>
          <w:p>
            <w:pPr>
              <w:pStyle w:val="TableParagraph"/>
              <w:spacing w:before="81"/>
              <w:ind w:left="74" w:right="52"/>
              <w:jc w:val="center"/>
              <w:rPr>
                <w:sz w:val="11"/>
              </w:rPr>
            </w:pPr>
            <w:r>
              <w:rPr>
                <w:sz w:val="11"/>
              </w:rPr>
              <w:t>46.39</w:t>
            </w:r>
          </w:p>
        </w:tc>
        <w:tc>
          <w:tcPr>
            <w:tcW w:w="582" w:type="dxa"/>
            <w:shd w:val="clear" w:color="auto" w:fill="EDEDED"/>
          </w:tcPr>
          <w:p>
            <w:pPr>
              <w:pStyle w:val="TableParagraph"/>
              <w:spacing w:before="81"/>
              <w:ind w:right="73"/>
              <w:jc w:val="right"/>
              <w:rPr>
                <w:sz w:val="11"/>
              </w:rPr>
            </w:pPr>
            <w:r>
              <w:rPr>
                <w:sz w:val="11"/>
              </w:rPr>
              <w:t>2016</w:t>
            </w:r>
          </w:p>
        </w:tc>
        <w:tc>
          <w:tcPr>
            <w:tcW w:w="845" w:type="dxa"/>
            <w:shd w:val="clear" w:color="auto" w:fill="EDEDED"/>
          </w:tcPr>
          <w:p>
            <w:pPr>
              <w:pStyle w:val="TableParagraph"/>
              <w:spacing w:before="81"/>
              <w:ind w:left="79"/>
              <w:rPr>
                <w:sz w:val="11"/>
              </w:rPr>
            </w:pPr>
            <w:r>
              <w:rPr>
                <w:sz w:val="11"/>
              </w:rPr>
              <w:t>Anual</w:t>
            </w:r>
          </w:p>
        </w:tc>
        <w:tc>
          <w:tcPr>
            <w:tcW w:w="725" w:type="dxa"/>
            <w:shd w:val="clear" w:color="auto" w:fill="EDEDED"/>
          </w:tcPr>
          <w:p>
            <w:pPr>
              <w:pStyle w:val="TableParagraph"/>
              <w:spacing w:before="81"/>
              <w:ind w:left="79" w:right="162"/>
              <w:rPr>
                <w:sz w:val="11"/>
              </w:rPr>
            </w:pPr>
            <w:r>
              <w:rPr>
                <w:sz w:val="11"/>
              </w:rPr>
              <w:t>Impacto Directo</w:t>
            </w:r>
          </w:p>
        </w:tc>
        <w:tc>
          <w:tcPr>
            <w:tcW w:w="2453" w:type="dxa"/>
            <w:shd w:val="clear" w:color="auto" w:fill="EDEDED"/>
          </w:tcPr>
          <w:p>
            <w:pPr>
              <w:pStyle w:val="TableParagraph"/>
              <w:spacing w:before="6"/>
              <w:rPr>
                <w:rFonts w:ascii="Times New Roman"/>
                <w:sz w:val="19"/>
              </w:rPr>
            </w:pPr>
          </w:p>
          <w:p>
            <w:pPr>
              <w:pStyle w:val="TableParagraph"/>
              <w:spacing w:line="499" w:lineRule="auto"/>
              <w:ind w:left="76" w:right="107"/>
              <w:rPr>
                <w:sz w:val="11"/>
              </w:rPr>
            </w:pPr>
            <w:r>
              <w:rPr>
                <w:sz w:val="11"/>
              </w:rPr>
              <w:t>PR _(15 AÑOS Y MÁS)=(( PA _(15 AÑOS Y MÁS)+ PSP _(15 AÑOS Y MÁS)+ PSS _(15 AÑOS Y MÁS))/ PT _(15 AÑOS Y MÁS) )*100</w:t>
            </w:r>
          </w:p>
        </w:tc>
        <w:tc>
          <w:tcPr>
            <w:tcW w:w="2592" w:type="dxa"/>
            <w:shd w:val="clear" w:color="auto" w:fill="EDEDED"/>
          </w:tcPr>
          <w:p>
            <w:pPr>
              <w:pStyle w:val="TableParagraph"/>
              <w:spacing w:before="81"/>
              <w:ind w:left="76" w:right="164" w:firstLine="31"/>
              <w:rPr>
                <w:sz w:val="11"/>
              </w:rPr>
            </w:pPr>
            <w:r>
              <w:rPr>
                <w:sz w:val="11"/>
              </w:rPr>
              <w:t>Instituto Nacional para la Educación de los Adultos (INEA). Instituto Estatal para la Educación de Jóvenes y Adultos (INEEJAD). México: 2018.</w:t>
            </w:r>
          </w:p>
        </w:tc>
      </w:tr>
      <w:tr>
        <w:trPr>
          <w:trHeight w:val="955" w:hRule="atLeast"/>
        </w:trPr>
        <w:tc>
          <w:tcPr>
            <w:tcW w:w="1438" w:type="dxa"/>
          </w:tcPr>
          <w:p>
            <w:pPr>
              <w:pStyle w:val="TableParagraph"/>
              <w:spacing w:before="83"/>
              <w:ind w:left="79" w:right="364"/>
              <w:rPr>
                <w:sz w:val="11"/>
              </w:rPr>
            </w:pPr>
            <w:r>
              <w:rPr>
                <w:sz w:val="11"/>
              </w:rPr>
              <w:t>Porcentaje de reprobación en educación media superior</w:t>
            </w:r>
          </w:p>
        </w:tc>
        <w:tc>
          <w:tcPr>
            <w:tcW w:w="579" w:type="dxa"/>
          </w:tcPr>
          <w:p>
            <w:pPr>
              <w:pStyle w:val="TableParagraph"/>
              <w:spacing w:before="83"/>
              <w:ind w:left="78" w:right="58"/>
              <w:rPr>
                <w:sz w:val="11"/>
              </w:rPr>
            </w:pPr>
            <w:r>
              <w:rPr>
                <w:sz w:val="11"/>
              </w:rPr>
              <w:t>Porcent aje</w:t>
            </w:r>
          </w:p>
        </w:tc>
        <w:tc>
          <w:tcPr>
            <w:tcW w:w="447" w:type="dxa"/>
          </w:tcPr>
          <w:p>
            <w:pPr>
              <w:pStyle w:val="TableParagraph"/>
              <w:spacing w:before="83"/>
              <w:ind w:left="134" w:right="52"/>
              <w:jc w:val="center"/>
              <w:rPr>
                <w:sz w:val="11"/>
              </w:rPr>
            </w:pPr>
            <w:r>
              <w:rPr>
                <w:sz w:val="11"/>
              </w:rPr>
              <w:t>28.5</w:t>
            </w:r>
          </w:p>
        </w:tc>
        <w:tc>
          <w:tcPr>
            <w:tcW w:w="582" w:type="dxa"/>
          </w:tcPr>
          <w:p>
            <w:pPr>
              <w:pStyle w:val="TableParagraph"/>
              <w:spacing w:before="83"/>
              <w:ind w:right="73"/>
              <w:jc w:val="right"/>
              <w:rPr>
                <w:sz w:val="11"/>
              </w:rPr>
            </w:pPr>
            <w:r>
              <w:rPr>
                <w:sz w:val="11"/>
              </w:rPr>
              <w:t>2017</w:t>
            </w:r>
          </w:p>
        </w:tc>
        <w:tc>
          <w:tcPr>
            <w:tcW w:w="845" w:type="dxa"/>
          </w:tcPr>
          <w:p>
            <w:pPr>
              <w:pStyle w:val="TableParagraph"/>
              <w:spacing w:before="83"/>
              <w:ind w:left="79"/>
              <w:rPr>
                <w:sz w:val="11"/>
              </w:rPr>
            </w:pPr>
            <w:r>
              <w:rPr>
                <w:sz w:val="11"/>
              </w:rPr>
              <w:t>Anual</w:t>
            </w:r>
          </w:p>
        </w:tc>
        <w:tc>
          <w:tcPr>
            <w:tcW w:w="725" w:type="dxa"/>
          </w:tcPr>
          <w:p>
            <w:pPr>
              <w:pStyle w:val="TableParagraph"/>
              <w:spacing w:before="83"/>
              <w:ind w:left="79"/>
              <w:rPr>
                <w:sz w:val="11"/>
              </w:rPr>
            </w:pPr>
            <w:r>
              <w:rPr>
                <w:sz w:val="11"/>
              </w:rPr>
              <w:t>Resultado</w:t>
            </w:r>
          </w:p>
        </w:tc>
        <w:tc>
          <w:tcPr>
            <w:tcW w:w="2453" w:type="dxa"/>
          </w:tcPr>
          <w:p>
            <w:pPr>
              <w:pStyle w:val="TableParagraph"/>
              <w:spacing w:before="9"/>
              <w:rPr>
                <w:rFonts w:ascii="Times New Roman"/>
                <w:sz w:val="19"/>
              </w:rPr>
            </w:pPr>
          </w:p>
          <w:p>
            <w:pPr>
              <w:pStyle w:val="TableParagraph"/>
              <w:ind w:left="76"/>
              <w:rPr>
                <w:sz w:val="11"/>
              </w:rPr>
            </w:pPr>
            <w:r>
              <w:rPr>
                <w:sz w:val="11"/>
              </w:rPr>
              <w:t>PMS=((_t^)AR_MS/(_t^)MF_MS )*100</w:t>
            </w:r>
          </w:p>
        </w:tc>
        <w:tc>
          <w:tcPr>
            <w:tcW w:w="2592" w:type="dxa"/>
          </w:tcPr>
          <w:p>
            <w:pPr>
              <w:pStyle w:val="TableParagraph"/>
              <w:spacing w:before="83"/>
              <w:ind w:left="76" w:right="127"/>
              <w:rPr>
                <w:sz w:val="11"/>
              </w:rPr>
            </w:pPr>
            <w:r>
              <w:rPr>
                <w:sz w:val="11"/>
              </w:rPr>
              <w:t>Secretaría de Educación Pública (SEP). Sistema Nacional de Información Estadística Educativa (SNIEE). México: 2018.</w:t>
            </w:r>
          </w:p>
        </w:tc>
      </w:tr>
      <w:tr>
        <w:trPr>
          <w:trHeight w:val="739" w:hRule="atLeast"/>
        </w:trPr>
        <w:tc>
          <w:tcPr>
            <w:tcW w:w="1438" w:type="dxa"/>
            <w:shd w:val="clear" w:color="auto" w:fill="EDEDED"/>
          </w:tcPr>
          <w:p>
            <w:pPr>
              <w:pStyle w:val="TableParagraph"/>
              <w:spacing w:before="83"/>
              <w:ind w:left="79" w:right="272"/>
              <w:rPr>
                <w:sz w:val="11"/>
              </w:rPr>
            </w:pPr>
            <w:r>
              <w:rPr>
                <w:sz w:val="11"/>
              </w:rPr>
              <w:t>Porcentaje de reprobación en educación primaria</w:t>
            </w:r>
          </w:p>
        </w:tc>
        <w:tc>
          <w:tcPr>
            <w:tcW w:w="579" w:type="dxa"/>
            <w:shd w:val="clear" w:color="auto" w:fill="EDEDED"/>
          </w:tcPr>
          <w:p>
            <w:pPr>
              <w:pStyle w:val="TableParagraph"/>
              <w:spacing w:before="83"/>
              <w:ind w:left="78" w:right="58"/>
              <w:rPr>
                <w:sz w:val="11"/>
              </w:rPr>
            </w:pPr>
            <w:r>
              <w:rPr>
                <w:sz w:val="11"/>
              </w:rPr>
              <w:t>Porcent aje</w:t>
            </w:r>
          </w:p>
        </w:tc>
        <w:tc>
          <w:tcPr>
            <w:tcW w:w="447" w:type="dxa"/>
            <w:shd w:val="clear" w:color="auto" w:fill="EDEDED"/>
          </w:tcPr>
          <w:p>
            <w:pPr>
              <w:pStyle w:val="TableParagraph"/>
              <w:spacing w:before="83"/>
              <w:ind w:left="134" w:right="52"/>
              <w:jc w:val="center"/>
              <w:rPr>
                <w:sz w:val="11"/>
              </w:rPr>
            </w:pPr>
            <w:r>
              <w:rPr>
                <w:sz w:val="11"/>
              </w:rPr>
              <w:t>0.33</w:t>
            </w:r>
          </w:p>
        </w:tc>
        <w:tc>
          <w:tcPr>
            <w:tcW w:w="582" w:type="dxa"/>
            <w:shd w:val="clear" w:color="auto" w:fill="EDEDED"/>
          </w:tcPr>
          <w:p>
            <w:pPr>
              <w:pStyle w:val="TableParagraph"/>
              <w:spacing w:before="83"/>
              <w:ind w:right="73"/>
              <w:jc w:val="right"/>
              <w:rPr>
                <w:sz w:val="11"/>
              </w:rPr>
            </w:pPr>
            <w:r>
              <w:rPr>
                <w:sz w:val="11"/>
              </w:rPr>
              <w:t>2017</w:t>
            </w:r>
          </w:p>
        </w:tc>
        <w:tc>
          <w:tcPr>
            <w:tcW w:w="845" w:type="dxa"/>
            <w:shd w:val="clear" w:color="auto" w:fill="EDEDED"/>
          </w:tcPr>
          <w:p>
            <w:pPr>
              <w:pStyle w:val="TableParagraph"/>
              <w:spacing w:before="83"/>
              <w:ind w:left="79"/>
              <w:rPr>
                <w:sz w:val="11"/>
              </w:rPr>
            </w:pPr>
            <w:r>
              <w:rPr>
                <w:sz w:val="11"/>
              </w:rPr>
              <w:t>Anual</w:t>
            </w:r>
          </w:p>
        </w:tc>
        <w:tc>
          <w:tcPr>
            <w:tcW w:w="725" w:type="dxa"/>
            <w:shd w:val="clear" w:color="auto" w:fill="EDEDED"/>
          </w:tcPr>
          <w:p>
            <w:pPr>
              <w:pStyle w:val="TableParagraph"/>
              <w:spacing w:before="83"/>
              <w:ind w:left="79"/>
              <w:rPr>
                <w:sz w:val="11"/>
              </w:rPr>
            </w:pPr>
            <w:r>
              <w:rPr>
                <w:sz w:val="11"/>
              </w:rPr>
              <w:t>Resultado</w:t>
            </w:r>
          </w:p>
        </w:tc>
        <w:tc>
          <w:tcPr>
            <w:tcW w:w="2453" w:type="dxa"/>
            <w:shd w:val="clear" w:color="auto" w:fill="EDEDED"/>
          </w:tcPr>
          <w:p>
            <w:pPr>
              <w:pStyle w:val="TableParagraph"/>
              <w:spacing w:before="9"/>
              <w:rPr>
                <w:rFonts w:ascii="Times New Roman"/>
                <w:sz w:val="19"/>
              </w:rPr>
            </w:pPr>
          </w:p>
          <w:p>
            <w:pPr>
              <w:pStyle w:val="TableParagraph"/>
              <w:ind w:left="76"/>
              <w:rPr>
                <w:sz w:val="11"/>
              </w:rPr>
            </w:pPr>
            <w:r>
              <w:rPr>
                <w:sz w:val="11"/>
              </w:rPr>
              <w:t>RP=( (_t^)AR _P/ (_t^)MF _P )*100</w:t>
            </w:r>
          </w:p>
        </w:tc>
        <w:tc>
          <w:tcPr>
            <w:tcW w:w="2592" w:type="dxa"/>
            <w:shd w:val="clear" w:color="auto" w:fill="EDEDED"/>
          </w:tcPr>
          <w:p>
            <w:pPr>
              <w:pStyle w:val="TableParagraph"/>
              <w:spacing w:before="83"/>
              <w:ind w:left="76" w:right="127"/>
              <w:rPr>
                <w:sz w:val="11"/>
              </w:rPr>
            </w:pPr>
            <w:r>
              <w:rPr>
                <w:sz w:val="11"/>
              </w:rPr>
              <w:t>Secretaría de Educación Pública (SEP). Sistema Nacional de Información Estadística Educativa (SNIEE). México: 2018.</w:t>
            </w:r>
          </w:p>
        </w:tc>
      </w:tr>
      <w:tr>
        <w:trPr>
          <w:trHeight w:val="1771" w:hRule="atLeast"/>
        </w:trPr>
        <w:tc>
          <w:tcPr>
            <w:tcW w:w="1438" w:type="dxa"/>
          </w:tcPr>
          <w:p>
            <w:pPr>
              <w:pStyle w:val="TableParagraph"/>
              <w:spacing w:before="81"/>
              <w:ind w:left="79" w:right="111"/>
              <w:rPr>
                <w:sz w:val="11"/>
              </w:rPr>
            </w:pPr>
            <w:r>
              <w:rPr>
                <w:sz w:val="11"/>
              </w:rPr>
              <w:t>Porcentaje de reprobación en educación secundaria</w:t>
            </w:r>
          </w:p>
        </w:tc>
        <w:tc>
          <w:tcPr>
            <w:tcW w:w="579" w:type="dxa"/>
          </w:tcPr>
          <w:p>
            <w:pPr>
              <w:pStyle w:val="TableParagraph"/>
              <w:spacing w:before="81"/>
              <w:ind w:left="78" w:right="58"/>
              <w:rPr>
                <w:sz w:val="11"/>
              </w:rPr>
            </w:pPr>
            <w:r>
              <w:rPr>
                <w:sz w:val="11"/>
              </w:rPr>
              <w:t>Porcent aje</w:t>
            </w:r>
          </w:p>
        </w:tc>
        <w:tc>
          <w:tcPr>
            <w:tcW w:w="447" w:type="dxa"/>
          </w:tcPr>
          <w:p>
            <w:pPr>
              <w:pStyle w:val="TableParagraph"/>
              <w:spacing w:before="81"/>
              <w:ind w:left="134" w:right="52"/>
              <w:jc w:val="center"/>
              <w:rPr>
                <w:sz w:val="11"/>
              </w:rPr>
            </w:pPr>
            <w:r>
              <w:rPr>
                <w:sz w:val="11"/>
              </w:rPr>
              <w:t>0.59</w:t>
            </w:r>
          </w:p>
        </w:tc>
        <w:tc>
          <w:tcPr>
            <w:tcW w:w="582" w:type="dxa"/>
          </w:tcPr>
          <w:p>
            <w:pPr>
              <w:pStyle w:val="TableParagraph"/>
              <w:spacing w:before="81"/>
              <w:ind w:right="73"/>
              <w:jc w:val="right"/>
              <w:rPr>
                <w:sz w:val="11"/>
              </w:rPr>
            </w:pPr>
            <w:r>
              <w:rPr>
                <w:sz w:val="11"/>
              </w:rPr>
              <w:t>2015</w:t>
            </w:r>
          </w:p>
        </w:tc>
        <w:tc>
          <w:tcPr>
            <w:tcW w:w="845" w:type="dxa"/>
          </w:tcPr>
          <w:p>
            <w:pPr>
              <w:pStyle w:val="TableParagraph"/>
              <w:spacing w:before="81"/>
              <w:ind w:left="79"/>
              <w:rPr>
                <w:sz w:val="11"/>
              </w:rPr>
            </w:pPr>
            <w:r>
              <w:rPr>
                <w:sz w:val="11"/>
              </w:rPr>
              <w:t>Anual</w:t>
            </w:r>
          </w:p>
        </w:tc>
        <w:tc>
          <w:tcPr>
            <w:tcW w:w="725" w:type="dxa"/>
          </w:tcPr>
          <w:p>
            <w:pPr>
              <w:pStyle w:val="TableParagraph"/>
              <w:spacing w:before="81"/>
              <w:ind w:left="79"/>
              <w:rPr>
                <w:sz w:val="11"/>
              </w:rPr>
            </w:pPr>
            <w:r>
              <w:rPr>
                <w:sz w:val="11"/>
              </w:rPr>
              <w:t>Resultado</w:t>
            </w:r>
          </w:p>
        </w:tc>
        <w:tc>
          <w:tcPr>
            <w:tcW w:w="2453" w:type="dxa"/>
          </w:tcPr>
          <w:p>
            <w:pPr>
              <w:pStyle w:val="TableParagraph"/>
              <w:spacing w:before="6"/>
              <w:rPr>
                <w:rFonts w:ascii="Times New Roman"/>
                <w:sz w:val="19"/>
              </w:rPr>
            </w:pPr>
          </w:p>
          <w:p>
            <w:pPr>
              <w:pStyle w:val="TableParagraph"/>
              <w:ind w:left="76"/>
              <w:rPr>
                <w:sz w:val="11"/>
              </w:rPr>
            </w:pPr>
            <w:r>
              <w:rPr>
                <w:sz w:val="11"/>
              </w:rPr>
              <w:t>PS=((_t^)AR_S/(_t^)MF_S )*100</w:t>
            </w:r>
          </w:p>
        </w:tc>
        <w:tc>
          <w:tcPr>
            <w:tcW w:w="2592" w:type="dxa"/>
          </w:tcPr>
          <w:p>
            <w:pPr>
              <w:pStyle w:val="TableParagraph"/>
              <w:spacing w:before="81"/>
              <w:ind w:left="76" w:right="127"/>
              <w:rPr>
                <w:sz w:val="11"/>
              </w:rPr>
            </w:pPr>
            <w:r>
              <w:rPr>
                <w:sz w:val="11"/>
              </w:rPr>
              <w:t>Secretaría de Educación Pública (SEP). Sistema Nacional de Información Estadística Educativa (SNIEE). México: 2018.</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3"/>
        <w:tabs>
          <w:tab w:pos="10428" w:val="left" w:leader="none"/>
        </w:tabs>
        <w:spacing w:before="188"/>
        <w:ind w:left="872"/>
        <w:jc w:val="left"/>
        <w:rPr>
          <w:rFonts w:ascii="Corbel" w:hAnsi="Corbel"/>
        </w:rPr>
      </w:pPr>
      <w:r>
        <w:rPr>
          <w:rFonts w:ascii="Corbel" w:hAnsi="Corbel"/>
          <w:spacing w:val="-20"/>
          <w:shd w:fill="C2D59B" w:color="auto" w:val="clear"/>
        </w:rPr>
        <w:t> </w:t>
      </w:r>
      <w:r>
        <w:rPr>
          <w:rFonts w:ascii="Corbel" w:hAnsi="Corbel"/>
          <w:shd w:fill="C2D59B" w:color="auto" w:val="clear"/>
        </w:rPr>
        <w:t>DESARROLLO</w:t>
      </w:r>
      <w:r>
        <w:rPr>
          <w:rFonts w:ascii="Corbel" w:hAnsi="Corbel"/>
          <w:spacing w:val="-12"/>
          <w:shd w:fill="C2D59B" w:color="auto" w:val="clear"/>
        </w:rPr>
        <w:t> </w:t>
      </w:r>
      <w:r>
        <w:rPr>
          <w:rFonts w:ascii="Corbel" w:hAnsi="Corbel"/>
          <w:shd w:fill="C2D59B" w:color="auto" w:val="clear"/>
        </w:rPr>
        <w:t>ECONÓMICO:</w:t>
        <w:tab/>
      </w:r>
    </w:p>
    <w:p>
      <w:pPr>
        <w:pStyle w:val="BodyText"/>
        <w:rPr>
          <w:rFonts w:ascii="Corbel"/>
          <w:sz w:val="20"/>
        </w:rPr>
      </w:pPr>
    </w:p>
    <w:p>
      <w:pPr>
        <w:pStyle w:val="BodyText"/>
        <w:spacing w:before="1" w:after="1"/>
        <w:rPr>
          <w:rFonts w:ascii="Corbel"/>
          <w:sz w:val="19"/>
        </w:rPr>
      </w:pPr>
    </w:p>
    <w:tbl>
      <w:tblPr>
        <w:tblW w:w="0" w:type="auto"/>
        <w:jc w:val="left"/>
        <w:tblInd w:w="8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26"/>
        <w:gridCol w:w="856"/>
        <w:gridCol w:w="710"/>
        <w:gridCol w:w="761"/>
        <w:gridCol w:w="938"/>
        <w:gridCol w:w="789"/>
        <w:gridCol w:w="2745"/>
        <w:gridCol w:w="1929"/>
      </w:tblGrid>
      <w:tr>
        <w:trPr>
          <w:trHeight w:val="991" w:hRule="atLeast"/>
        </w:trPr>
        <w:tc>
          <w:tcPr>
            <w:tcW w:w="926" w:type="dxa"/>
          </w:tcPr>
          <w:p>
            <w:pPr>
              <w:pStyle w:val="TableParagraph"/>
              <w:spacing w:before="81"/>
              <w:ind w:left="79" w:right="132"/>
              <w:rPr>
                <w:sz w:val="11"/>
              </w:rPr>
            </w:pPr>
            <w:r>
              <w:rPr>
                <w:sz w:val="11"/>
              </w:rPr>
              <w:t>NOMBRE DEL INDICADOR</w:t>
            </w:r>
          </w:p>
        </w:tc>
        <w:tc>
          <w:tcPr>
            <w:tcW w:w="856" w:type="dxa"/>
          </w:tcPr>
          <w:p>
            <w:pPr>
              <w:pStyle w:val="TableParagraph"/>
              <w:spacing w:before="81"/>
              <w:ind w:left="79"/>
              <w:rPr>
                <w:sz w:val="11"/>
              </w:rPr>
            </w:pPr>
            <w:r>
              <w:rPr>
                <w:sz w:val="11"/>
              </w:rPr>
              <w:t>UNIDAD DE MEDIDA</w:t>
            </w:r>
          </w:p>
        </w:tc>
        <w:tc>
          <w:tcPr>
            <w:tcW w:w="710" w:type="dxa"/>
          </w:tcPr>
          <w:p>
            <w:pPr>
              <w:pStyle w:val="TableParagraph"/>
              <w:spacing w:before="81"/>
              <w:ind w:left="82" w:right="158"/>
              <w:rPr>
                <w:sz w:val="11"/>
              </w:rPr>
            </w:pPr>
            <w:r>
              <w:rPr>
                <w:sz w:val="11"/>
              </w:rPr>
              <w:t>VALOR VIGENTE</w:t>
            </w:r>
          </w:p>
        </w:tc>
        <w:tc>
          <w:tcPr>
            <w:tcW w:w="761" w:type="dxa"/>
          </w:tcPr>
          <w:p>
            <w:pPr>
              <w:pStyle w:val="TableParagraph"/>
              <w:spacing w:before="81"/>
              <w:ind w:left="80" w:right="54"/>
              <w:rPr>
                <w:sz w:val="11"/>
              </w:rPr>
            </w:pPr>
            <w:r>
              <w:rPr>
                <w:sz w:val="11"/>
              </w:rPr>
              <w:t>ULTIMO AÑO DISPONIBLE</w:t>
            </w:r>
          </w:p>
        </w:tc>
        <w:tc>
          <w:tcPr>
            <w:tcW w:w="938" w:type="dxa"/>
          </w:tcPr>
          <w:p>
            <w:pPr>
              <w:pStyle w:val="TableParagraph"/>
              <w:spacing w:before="81"/>
              <w:ind w:left="83"/>
              <w:rPr>
                <w:sz w:val="11"/>
              </w:rPr>
            </w:pPr>
            <w:r>
              <w:rPr>
                <w:sz w:val="11"/>
              </w:rPr>
              <w:t>PERIODICIDAD</w:t>
            </w:r>
          </w:p>
        </w:tc>
        <w:tc>
          <w:tcPr>
            <w:tcW w:w="789" w:type="dxa"/>
          </w:tcPr>
          <w:p>
            <w:pPr>
              <w:pStyle w:val="TableParagraph"/>
              <w:spacing w:before="81"/>
              <w:ind w:left="83" w:right="53"/>
              <w:rPr>
                <w:sz w:val="11"/>
              </w:rPr>
            </w:pPr>
            <w:r>
              <w:rPr>
                <w:sz w:val="11"/>
              </w:rPr>
              <w:t>TIPO DE INDICADOR</w:t>
            </w:r>
          </w:p>
        </w:tc>
        <w:tc>
          <w:tcPr>
            <w:tcW w:w="2745" w:type="dxa"/>
          </w:tcPr>
          <w:p>
            <w:pPr>
              <w:pStyle w:val="TableParagraph"/>
              <w:spacing w:before="81"/>
              <w:ind w:left="82"/>
              <w:rPr>
                <w:sz w:val="11"/>
              </w:rPr>
            </w:pPr>
            <w:r>
              <w:rPr>
                <w:sz w:val="11"/>
              </w:rPr>
              <w:t>FORMULA</w:t>
            </w:r>
          </w:p>
        </w:tc>
        <w:tc>
          <w:tcPr>
            <w:tcW w:w="1929" w:type="dxa"/>
          </w:tcPr>
          <w:p>
            <w:pPr>
              <w:pStyle w:val="TableParagraph"/>
              <w:spacing w:before="81"/>
              <w:ind w:left="85"/>
              <w:rPr>
                <w:sz w:val="11"/>
              </w:rPr>
            </w:pPr>
            <w:r>
              <w:rPr>
                <w:sz w:val="11"/>
              </w:rPr>
              <w:t>FUENTE</w:t>
            </w:r>
          </w:p>
        </w:tc>
      </w:tr>
      <w:tr>
        <w:trPr>
          <w:trHeight w:val="972" w:hRule="atLeast"/>
        </w:trPr>
        <w:tc>
          <w:tcPr>
            <w:tcW w:w="926" w:type="dxa"/>
            <w:shd w:val="clear" w:color="auto" w:fill="EDEDED"/>
          </w:tcPr>
          <w:p>
            <w:pPr>
              <w:pStyle w:val="TableParagraph"/>
              <w:spacing w:before="83"/>
              <w:ind w:left="79" w:right="131"/>
              <w:rPr>
                <w:sz w:val="11"/>
              </w:rPr>
            </w:pPr>
            <w:r>
              <w:rPr>
                <w:sz w:val="11"/>
              </w:rPr>
              <w:t>Caminos rurales rehabilitados respecto al total estatal</w:t>
            </w:r>
          </w:p>
        </w:tc>
        <w:tc>
          <w:tcPr>
            <w:tcW w:w="856" w:type="dxa"/>
            <w:shd w:val="clear" w:color="auto" w:fill="EDEDED"/>
          </w:tcPr>
          <w:p>
            <w:pPr>
              <w:pStyle w:val="TableParagraph"/>
              <w:spacing w:before="83"/>
              <w:ind w:left="79"/>
              <w:rPr>
                <w:sz w:val="11"/>
              </w:rPr>
            </w:pPr>
            <w:r>
              <w:rPr>
                <w:sz w:val="11"/>
              </w:rPr>
              <w:t>Porcentaje</w:t>
            </w:r>
          </w:p>
        </w:tc>
        <w:tc>
          <w:tcPr>
            <w:tcW w:w="710" w:type="dxa"/>
            <w:shd w:val="clear" w:color="auto" w:fill="EDEDED"/>
          </w:tcPr>
          <w:p>
            <w:pPr>
              <w:pStyle w:val="TableParagraph"/>
              <w:spacing w:before="83"/>
              <w:ind w:right="69"/>
              <w:jc w:val="right"/>
              <w:rPr>
                <w:sz w:val="11"/>
              </w:rPr>
            </w:pPr>
            <w:r>
              <w:rPr>
                <w:sz w:val="11"/>
              </w:rPr>
              <w:t>61.91</w:t>
            </w:r>
          </w:p>
        </w:tc>
        <w:tc>
          <w:tcPr>
            <w:tcW w:w="761" w:type="dxa"/>
            <w:shd w:val="clear" w:color="auto" w:fill="EDEDED"/>
          </w:tcPr>
          <w:p>
            <w:pPr>
              <w:pStyle w:val="TableParagraph"/>
              <w:spacing w:before="83"/>
              <w:ind w:right="69"/>
              <w:jc w:val="right"/>
              <w:rPr>
                <w:sz w:val="11"/>
              </w:rPr>
            </w:pPr>
            <w:r>
              <w:rPr>
                <w:sz w:val="11"/>
              </w:rPr>
              <w:t>2010</w:t>
            </w:r>
          </w:p>
        </w:tc>
        <w:tc>
          <w:tcPr>
            <w:tcW w:w="938" w:type="dxa"/>
            <w:shd w:val="clear" w:color="auto" w:fill="EDEDED"/>
          </w:tcPr>
          <w:p>
            <w:pPr>
              <w:pStyle w:val="TableParagraph"/>
              <w:spacing w:before="83"/>
              <w:ind w:left="83"/>
              <w:rPr>
                <w:sz w:val="11"/>
              </w:rPr>
            </w:pPr>
            <w:r>
              <w:rPr>
                <w:sz w:val="11"/>
              </w:rPr>
              <w:t>Mensual</w:t>
            </w:r>
          </w:p>
        </w:tc>
        <w:tc>
          <w:tcPr>
            <w:tcW w:w="789" w:type="dxa"/>
            <w:shd w:val="clear" w:color="auto" w:fill="EDEDED"/>
          </w:tcPr>
          <w:p>
            <w:pPr>
              <w:pStyle w:val="TableParagraph"/>
              <w:spacing w:before="83"/>
              <w:ind w:left="83"/>
              <w:rPr>
                <w:sz w:val="11"/>
              </w:rPr>
            </w:pPr>
            <w:r>
              <w:rPr>
                <w:sz w:val="11"/>
              </w:rPr>
              <w:t>Resultado</w:t>
            </w:r>
          </w:p>
        </w:tc>
        <w:tc>
          <w:tcPr>
            <w:tcW w:w="2745" w:type="dxa"/>
            <w:shd w:val="clear" w:color="auto" w:fill="EDEDED"/>
          </w:tcPr>
          <w:p>
            <w:pPr>
              <w:pStyle w:val="TableParagraph"/>
              <w:spacing w:before="83"/>
              <w:ind w:left="82"/>
              <w:rPr>
                <w:sz w:val="11"/>
              </w:rPr>
            </w:pPr>
            <w:r>
              <w:rPr>
                <w:sz w:val="11"/>
              </w:rPr>
              <w:t>CRR = [(KCRR/KTRECR)100]</w:t>
            </w:r>
          </w:p>
        </w:tc>
        <w:tc>
          <w:tcPr>
            <w:tcW w:w="1929" w:type="dxa"/>
            <w:shd w:val="clear" w:color="auto" w:fill="EDEDED"/>
          </w:tcPr>
          <w:p>
            <w:pPr>
              <w:pStyle w:val="TableParagraph"/>
              <w:spacing w:before="83"/>
              <w:ind w:left="85" w:right="216"/>
              <w:rPr>
                <w:sz w:val="11"/>
              </w:rPr>
            </w:pPr>
            <w:r>
              <w:rPr>
                <w:sz w:val="11"/>
              </w:rPr>
              <w:t>Secretaría de Desarrollo Rural, Gobierno de Jalisco, 2019.</w:t>
            </w:r>
          </w:p>
        </w:tc>
      </w:tr>
      <w:tr>
        <w:trPr>
          <w:trHeight w:val="1293" w:hRule="atLeast"/>
        </w:trPr>
        <w:tc>
          <w:tcPr>
            <w:tcW w:w="926" w:type="dxa"/>
          </w:tcPr>
          <w:p>
            <w:pPr>
              <w:pStyle w:val="TableParagraph"/>
              <w:spacing w:before="81"/>
              <w:ind w:left="79" w:right="138"/>
              <w:rPr>
                <w:sz w:val="11"/>
              </w:rPr>
            </w:pPr>
            <w:r>
              <w:rPr>
                <w:sz w:val="11"/>
              </w:rPr>
              <w:t>Hectáreas bajo esquema de cultivo protegido</w:t>
            </w:r>
          </w:p>
        </w:tc>
        <w:tc>
          <w:tcPr>
            <w:tcW w:w="856" w:type="dxa"/>
          </w:tcPr>
          <w:p>
            <w:pPr>
              <w:pStyle w:val="TableParagraph"/>
              <w:spacing w:before="81"/>
              <w:ind w:left="79"/>
              <w:rPr>
                <w:sz w:val="11"/>
              </w:rPr>
            </w:pPr>
            <w:r>
              <w:rPr>
                <w:sz w:val="11"/>
              </w:rPr>
              <w:t>Hectáreas</w:t>
            </w:r>
          </w:p>
        </w:tc>
        <w:tc>
          <w:tcPr>
            <w:tcW w:w="710" w:type="dxa"/>
          </w:tcPr>
          <w:p>
            <w:pPr>
              <w:pStyle w:val="TableParagraph"/>
              <w:spacing w:before="81"/>
              <w:ind w:right="69"/>
              <w:jc w:val="right"/>
              <w:rPr>
                <w:sz w:val="11"/>
              </w:rPr>
            </w:pPr>
            <w:r>
              <w:rPr>
                <w:sz w:val="11"/>
              </w:rPr>
              <w:t>0.498</w:t>
            </w:r>
          </w:p>
        </w:tc>
        <w:tc>
          <w:tcPr>
            <w:tcW w:w="761" w:type="dxa"/>
          </w:tcPr>
          <w:p>
            <w:pPr>
              <w:pStyle w:val="TableParagraph"/>
              <w:spacing w:before="81"/>
              <w:ind w:right="69"/>
              <w:jc w:val="right"/>
              <w:rPr>
                <w:sz w:val="11"/>
              </w:rPr>
            </w:pPr>
            <w:r>
              <w:rPr>
                <w:sz w:val="11"/>
              </w:rPr>
              <w:t>2011</w:t>
            </w:r>
          </w:p>
        </w:tc>
        <w:tc>
          <w:tcPr>
            <w:tcW w:w="938" w:type="dxa"/>
          </w:tcPr>
          <w:p>
            <w:pPr>
              <w:pStyle w:val="TableParagraph"/>
              <w:spacing w:before="81"/>
              <w:ind w:left="83"/>
              <w:rPr>
                <w:sz w:val="11"/>
              </w:rPr>
            </w:pPr>
            <w:r>
              <w:rPr>
                <w:sz w:val="11"/>
              </w:rPr>
              <w:t>Anual</w:t>
            </w:r>
          </w:p>
        </w:tc>
        <w:tc>
          <w:tcPr>
            <w:tcW w:w="789" w:type="dxa"/>
          </w:tcPr>
          <w:p>
            <w:pPr>
              <w:pStyle w:val="TableParagraph"/>
              <w:spacing w:before="81"/>
              <w:ind w:left="83"/>
              <w:rPr>
                <w:sz w:val="11"/>
              </w:rPr>
            </w:pPr>
            <w:r>
              <w:rPr>
                <w:sz w:val="11"/>
              </w:rPr>
              <w:t>Resultado</w:t>
            </w:r>
          </w:p>
        </w:tc>
        <w:tc>
          <w:tcPr>
            <w:tcW w:w="2745" w:type="dxa"/>
          </w:tcPr>
          <w:p>
            <w:pPr>
              <w:pStyle w:val="TableParagraph"/>
              <w:spacing w:before="5"/>
              <w:rPr>
                <w:rFonts w:ascii="Corbel"/>
                <w:sz w:val="18"/>
              </w:rPr>
            </w:pPr>
          </w:p>
          <w:p>
            <w:pPr>
              <w:pStyle w:val="TableParagraph"/>
              <w:ind w:left="82"/>
              <w:rPr>
                <w:sz w:val="11"/>
              </w:rPr>
            </w:pPr>
            <w:r>
              <w:rPr>
                <w:sz w:val="11"/>
              </w:rPr>
              <w:t>C= ∑_(i=1)^125Cj</w:t>
            </w:r>
          </w:p>
        </w:tc>
        <w:tc>
          <w:tcPr>
            <w:tcW w:w="1929" w:type="dxa"/>
          </w:tcPr>
          <w:p>
            <w:pPr>
              <w:pStyle w:val="TableParagraph"/>
              <w:spacing w:before="81"/>
              <w:ind w:left="85" w:right="75"/>
              <w:rPr>
                <w:sz w:val="11"/>
              </w:rPr>
            </w:pPr>
            <w:r>
              <w:rPr>
                <w:sz w:val="11"/>
              </w:rPr>
              <w:t>OEIDRUS, Padrón de Invernaderos 2018 y Dirección General de Fomento Agropecuario Hortofrutícola; Secretaría de Desarrollo Rural y Fideicomiso de Riesgo Compartido (Firco), México 2018 (con datos 2017).</w:t>
            </w:r>
          </w:p>
        </w:tc>
      </w:tr>
    </w:tbl>
    <w:p>
      <w:pPr>
        <w:spacing w:after="0"/>
        <w:rPr>
          <w:sz w:val="11"/>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8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26"/>
        <w:gridCol w:w="856"/>
        <w:gridCol w:w="710"/>
        <w:gridCol w:w="761"/>
        <w:gridCol w:w="938"/>
        <w:gridCol w:w="789"/>
        <w:gridCol w:w="2745"/>
        <w:gridCol w:w="1929"/>
      </w:tblGrid>
      <w:tr>
        <w:trPr>
          <w:trHeight w:val="971" w:hRule="atLeast"/>
        </w:trPr>
        <w:tc>
          <w:tcPr>
            <w:tcW w:w="926" w:type="dxa"/>
            <w:shd w:val="clear" w:color="auto" w:fill="EDEDED"/>
          </w:tcPr>
          <w:p>
            <w:pPr>
              <w:pStyle w:val="TableParagraph"/>
              <w:spacing w:before="81"/>
              <w:ind w:left="79" w:right="79"/>
              <w:rPr>
                <w:sz w:val="11"/>
              </w:rPr>
            </w:pPr>
            <w:r>
              <w:rPr>
                <w:sz w:val="11"/>
              </w:rPr>
              <w:t>Hectáreas con actividad agropecuaria aseguradas</w:t>
            </w:r>
          </w:p>
        </w:tc>
        <w:tc>
          <w:tcPr>
            <w:tcW w:w="856" w:type="dxa"/>
            <w:shd w:val="clear" w:color="auto" w:fill="EDEDED"/>
          </w:tcPr>
          <w:p>
            <w:pPr>
              <w:pStyle w:val="TableParagraph"/>
              <w:spacing w:before="81"/>
              <w:ind w:left="79"/>
              <w:rPr>
                <w:sz w:val="11"/>
              </w:rPr>
            </w:pPr>
            <w:r>
              <w:rPr>
                <w:sz w:val="11"/>
              </w:rPr>
              <w:t>Hectáreas</w:t>
            </w:r>
          </w:p>
        </w:tc>
        <w:tc>
          <w:tcPr>
            <w:tcW w:w="710" w:type="dxa"/>
            <w:shd w:val="clear" w:color="auto" w:fill="EDEDED"/>
          </w:tcPr>
          <w:p>
            <w:pPr>
              <w:pStyle w:val="TableParagraph"/>
              <w:spacing w:before="81"/>
              <w:ind w:right="69"/>
              <w:jc w:val="right"/>
              <w:rPr>
                <w:sz w:val="11"/>
              </w:rPr>
            </w:pPr>
            <w:r>
              <w:rPr>
                <w:sz w:val="11"/>
              </w:rPr>
              <w:t>120</w:t>
            </w:r>
          </w:p>
        </w:tc>
        <w:tc>
          <w:tcPr>
            <w:tcW w:w="761" w:type="dxa"/>
            <w:shd w:val="clear" w:color="auto" w:fill="EDEDED"/>
          </w:tcPr>
          <w:p>
            <w:pPr>
              <w:pStyle w:val="TableParagraph"/>
              <w:spacing w:before="81"/>
              <w:ind w:right="69"/>
              <w:jc w:val="right"/>
              <w:rPr>
                <w:sz w:val="11"/>
              </w:rPr>
            </w:pPr>
            <w:r>
              <w:rPr>
                <w:sz w:val="11"/>
              </w:rPr>
              <w:t>2010</w:t>
            </w:r>
          </w:p>
        </w:tc>
        <w:tc>
          <w:tcPr>
            <w:tcW w:w="938" w:type="dxa"/>
            <w:shd w:val="clear" w:color="auto" w:fill="EDEDED"/>
          </w:tcPr>
          <w:p>
            <w:pPr>
              <w:pStyle w:val="TableParagraph"/>
              <w:spacing w:before="81"/>
              <w:ind w:left="83"/>
              <w:rPr>
                <w:sz w:val="11"/>
              </w:rPr>
            </w:pPr>
            <w:r>
              <w:rPr>
                <w:sz w:val="11"/>
              </w:rPr>
              <w:t>Mensual</w:t>
            </w:r>
          </w:p>
        </w:tc>
        <w:tc>
          <w:tcPr>
            <w:tcW w:w="789" w:type="dxa"/>
            <w:shd w:val="clear" w:color="auto" w:fill="EDEDED"/>
          </w:tcPr>
          <w:p>
            <w:pPr>
              <w:pStyle w:val="TableParagraph"/>
              <w:spacing w:before="81"/>
              <w:ind w:left="83"/>
              <w:rPr>
                <w:sz w:val="11"/>
              </w:rPr>
            </w:pPr>
            <w:r>
              <w:rPr>
                <w:sz w:val="11"/>
              </w:rPr>
              <w:t>Resultado</w:t>
            </w:r>
          </w:p>
        </w:tc>
        <w:tc>
          <w:tcPr>
            <w:tcW w:w="2745" w:type="dxa"/>
            <w:shd w:val="clear" w:color="auto" w:fill="EDEDED"/>
          </w:tcPr>
          <w:p>
            <w:pPr>
              <w:pStyle w:val="TableParagraph"/>
              <w:spacing w:before="81"/>
              <w:ind w:left="82"/>
              <w:rPr>
                <w:sz w:val="11"/>
              </w:rPr>
            </w:pPr>
            <w:r>
              <w:rPr>
                <w:sz w:val="11"/>
              </w:rPr>
              <w:t>A= ∑_(i=1)^125Aj</w:t>
            </w:r>
          </w:p>
        </w:tc>
        <w:tc>
          <w:tcPr>
            <w:tcW w:w="1929" w:type="dxa"/>
            <w:shd w:val="clear" w:color="auto" w:fill="EDEDED"/>
          </w:tcPr>
          <w:p>
            <w:pPr>
              <w:pStyle w:val="TableParagraph"/>
              <w:spacing w:before="81"/>
              <w:ind w:left="85" w:right="179"/>
              <w:rPr>
                <w:sz w:val="11"/>
              </w:rPr>
            </w:pPr>
            <w:r>
              <w:rPr>
                <w:sz w:val="11"/>
              </w:rPr>
              <w:t>OEIDRUS, Distritos de Desarrollo Rural, SAGARPA, México, 2018.</w:t>
            </w:r>
          </w:p>
        </w:tc>
      </w:tr>
      <w:tr>
        <w:trPr>
          <w:trHeight w:val="717" w:hRule="atLeast"/>
        </w:trPr>
        <w:tc>
          <w:tcPr>
            <w:tcW w:w="926" w:type="dxa"/>
          </w:tcPr>
          <w:p>
            <w:pPr>
              <w:pStyle w:val="TableParagraph"/>
              <w:spacing w:before="81"/>
              <w:ind w:left="79" w:right="202"/>
              <w:rPr>
                <w:sz w:val="11"/>
              </w:rPr>
            </w:pPr>
            <w:r>
              <w:rPr>
                <w:sz w:val="11"/>
              </w:rPr>
              <w:t>Hectáreas con riego tecnificado</w:t>
            </w:r>
          </w:p>
        </w:tc>
        <w:tc>
          <w:tcPr>
            <w:tcW w:w="856" w:type="dxa"/>
          </w:tcPr>
          <w:p>
            <w:pPr>
              <w:pStyle w:val="TableParagraph"/>
              <w:spacing w:before="81"/>
              <w:ind w:left="79"/>
              <w:rPr>
                <w:sz w:val="11"/>
              </w:rPr>
            </w:pPr>
            <w:r>
              <w:rPr>
                <w:sz w:val="11"/>
              </w:rPr>
              <w:t>Hectáreas</w:t>
            </w:r>
          </w:p>
        </w:tc>
        <w:tc>
          <w:tcPr>
            <w:tcW w:w="710" w:type="dxa"/>
          </w:tcPr>
          <w:p>
            <w:pPr>
              <w:pStyle w:val="TableParagraph"/>
              <w:spacing w:before="81"/>
              <w:ind w:right="69"/>
              <w:jc w:val="right"/>
              <w:rPr>
                <w:sz w:val="11"/>
              </w:rPr>
            </w:pPr>
            <w:r>
              <w:rPr>
                <w:sz w:val="11"/>
              </w:rPr>
              <w:t>238</w:t>
            </w:r>
          </w:p>
        </w:tc>
        <w:tc>
          <w:tcPr>
            <w:tcW w:w="761" w:type="dxa"/>
          </w:tcPr>
          <w:p>
            <w:pPr>
              <w:pStyle w:val="TableParagraph"/>
              <w:spacing w:before="81"/>
              <w:ind w:right="69"/>
              <w:jc w:val="right"/>
              <w:rPr>
                <w:sz w:val="11"/>
              </w:rPr>
            </w:pPr>
            <w:r>
              <w:rPr>
                <w:sz w:val="11"/>
              </w:rPr>
              <w:t>2018</w:t>
            </w:r>
          </w:p>
        </w:tc>
        <w:tc>
          <w:tcPr>
            <w:tcW w:w="938" w:type="dxa"/>
          </w:tcPr>
          <w:p>
            <w:pPr>
              <w:pStyle w:val="TableParagraph"/>
              <w:spacing w:before="81"/>
              <w:ind w:left="83"/>
              <w:rPr>
                <w:sz w:val="11"/>
              </w:rPr>
            </w:pPr>
            <w:r>
              <w:rPr>
                <w:sz w:val="11"/>
              </w:rPr>
              <w:t>Anual</w:t>
            </w:r>
          </w:p>
        </w:tc>
        <w:tc>
          <w:tcPr>
            <w:tcW w:w="789" w:type="dxa"/>
          </w:tcPr>
          <w:p>
            <w:pPr>
              <w:pStyle w:val="TableParagraph"/>
              <w:spacing w:before="81"/>
              <w:ind w:left="83"/>
              <w:rPr>
                <w:sz w:val="11"/>
              </w:rPr>
            </w:pPr>
            <w:r>
              <w:rPr>
                <w:sz w:val="11"/>
              </w:rPr>
              <w:t>Resultado</w:t>
            </w:r>
          </w:p>
        </w:tc>
        <w:tc>
          <w:tcPr>
            <w:tcW w:w="2745" w:type="dxa"/>
          </w:tcPr>
          <w:p>
            <w:pPr>
              <w:pStyle w:val="TableParagraph"/>
              <w:spacing w:before="81"/>
              <w:ind w:left="82"/>
              <w:rPr>
                <w:sz w:val="11"/>
              </w:rPr>
            </w:pPr>
            <w:r>
              <w:rPr>
                <w:sz w:val="11"/>
              </w:rPr>
              <w:t>T= ∑_(i=1)^125Tj</w:t>
            </w:r>
          </w:p>
        </w:tc>
        <w:tc>
          <w:tcPr>
            <w:tcW w:w="1929" w:type="dxa"/>
          </w:tcPr>
          <w:p>
            <w:pPr>
              <w:pStyle w:val="TableParagraph"/>
              <w:spacing w:before="81"/>
              <w:ind w:left="85" w:right="216"/>
              <w:rPr>
                <w:sz w:val="11"/>
              </w:rPr>
            </w:pPr>
            <w:r>
              <w:rPr>
                <w:sz w:val="11"/>
              </w:rPr>
              <w:t>Secretaría de Desarrollo Rural, Gobierno de Jalisco, 2018.</w:t>
            </w:r>
          </w:p>
        </w:tc>
      </w:tr>
      <w:tr>
        <w:trPr>
          <w:trHeight w:val="995" w:hRule="atLeast"/>
        </w:trPr>
        <w:tc>
          <w:tcPr>
            <w:tcW w:w="926" w:type="dxa"/>
            <w:shd w:val="clear" w:color="auto" w:fill="EDEDED"/>
          </w:tcPr>
          <w:p>
            <w:pPr>
              <w:pStyle w:val="TableParagraph"/>
              <w:spacing w:before="81"/>
              <w:ind w:left="79" w:right="60"/>
              <w:rPr>
                <w:sz w:val="11"/>
              </w:rPr>
            </w:pPr>
            <w:r>
              <w:rPr>
                <w:sz w:val="11"/>
              </w:rPr>
              <w:t>Hectáreas de maíz bajo el programa de alta productividad</w:t>
            </w:r>
          </w:p>
        </w:tc>
        <w:tc>
          <w:tcPr>
            <w:tcW w:w="856" w:type="dxa"/>
            <w:shd w:val="clear" w:color="auto" w:fill="EDEDED"/>
          </w:tcPr>
          <w:p>
            <w:pPr>
              <w:pStyle w:val="TableParagraph"/>
              <w:spacing w:before="81"/>
              <w:ind w:left="79"/>
              <w:rPr>
                <w:sz w:val="11"/>
              </w:rPr>
            </w:pPr>
            <w:r>
              <w:rPr>
                <w:sz w:val="11"/>
              </w:rPr>
              <w:t>Hectáreas</w:t>
            </w:r>
          </w:p>
        </w:tc>
        <w:tc>
          <w:tcPr>
            <w:tcW w:w="710" w:type="dxa"/>
            <w:shd w:val="clear" w:color="auto" w:fill="EDEDED"/>
          </w:tcPr>
          <w:p>
            <w:pPr>
              <w:pStyle w:val="TableParagraph"/>
              <w:spacing w:before="81"/>
              <w:ind w:right="69"/>
              <w:jc w:val="right"/>
              <w:rPr>
                <w:sz w:val="11"/>
              </w:rPr>
            </w:pPr>
            <w:r>
              <w:rPr>
                <w:sz w:val="11"/>
              </w:rPr>
              <w:t>240</w:t>
            </w:r>
          </w:p>
        </w:tc>
        <w:tc>
          <w:tcPr>
            <w:tcW w:w="761" w:type="dxa"/>
            <w:shd w:val="clear" w:color="auto" w:fill="EDEDED"/>
          </w:tcPr>
          <w:p>
            <w:pPr>
              <w:pStyle w:val="TableParagraph"/>
              <w:spacing w:before="81"/>
              <w:ind w:right="69"/>
              <w:jc w:val="right"/>
              <w:rPr>
                <w:sz w:val="11"/>
              </w:rPr>
            </w:pPr>
            <w:r>
              <w:rPr>
                <w:sz w:val="11"/>
              </w:rPr>
              <w:t>2018</w:t>
            </w:r>
          </w:p>
        </w:tc>
        <w:tc>
          <w:tcPr>
            <w:tcW w:w="938" w:type="dxa"/>
            <w:shd w:val="clear" w:color="auto" w:fill="EDEDED"/>
          </w:tcPr>
          <w:p>
            <w:pPr>
              <w:pStyle w:val="TableParagraph"/>
              <w:spacing w:before="81"/>
              <w:ind w:left="83"/>
              <w:rPr>
                <w:sz w:val="11"/>
              </w:rPr>
            </w:pPr>
            <w:r>
              <w:rPr>
                <w:sz w:val="11"/>
              </w:rPr>
              <w:t>Mensual</w:t>
            </w:r>
          </w:p>
        </w:tc>
        <w:tc>
          <w:tcPr>
            <w:tcW w:w="789" w:type="dxa"/>
            <w:shd w:val="clear" w:color="auto" w:fill="EDEDED"/>
          </w:tcPr>
          <w:p>
            <w:pPr>
              <w:pStyle w:val="TableParagraph"/>
              <w:spacing w:before="81"/>
              <w:ind w:left="83"/>
              <w:rPr>
                <w:sz w:val="11"/>
              </w:rPr>
            </w:pPr>
            <w:r>
              <w:rPr>
                <w:sz w:val="11"/>
              </w:rPr>
              <w:t>Resultado</w:t>
            </w:r>
          </w:p>
        </w:tc>
        <w:tc>
          <w:tcPr>
            <w:tcW w:w="2745" w:type="dxa"/>
            <w:shd w:val="clear" w:color="auto" w:fill="EDEDED"/>
          </w:tcPr>
          <w:p>
            <w:pPr>
              <w:pStyle w:val="TableParagraph"/>
              <w:spacing w:before="6"/>
              <w:rPr>
                <w:rFonts w:ascii="Times New Roman"/>
                <w:sz w:val="19"/>
              </w:rPr>
            </w:pPr>
          </w:p>
          <w:p>
            <w:pPr>
              <w:pStyle w:val="TableParagraph"/>
              <w:ind w:left="82"/>
              <w:rPr>
                <w:sz w:val="11"/>
              </w:rPr>
            </w:pPr>
            <w:r>
              <w:rPr>
                <w:sz w:val="11"/>
              </w:rPr>
              <w:t>M= ∑_(i=1)^125Mj</w:t>
            </w:r>
          </w:p>
        </w:tc>
        <w:tc>
          <w:tcPr>
            <w:tcW w:w="1929" w:type="dxa"/>
            <w:shd w:val="clear" w:color="auto" w:fill="EDEDED"/>
          </w:tcPr>
          <w:p>
            <w:pPr>
              <w:pStyle w:val="TableParagraph"/>
              <w:spacing w:before="81"/>
              <w:ind w:left="85" w:right="100"/>
              <w:rPr>
                <w:sz w:val="11"/>
              </w:rPr>
            </w:pPr>
            <w:r>
              <w:rPr>
                <w:sz w:val="11"/>
              </w:rPr>
              <w:t>Dirección General de Comercialización, Secretaría de Desarrollo Rural, México: septiembre 2018</w:t>
            </w:r>
          </w:p>
        </w:tc>
      </w:tr>
      <w:tr>
        <w:trPr>
          <w:trHeight w:val="1495" w:hRule="atLeast"/>
        </w:trPr>
        <w:tc>
          <w:tcPr>
            <w:tcW w:w="926" w:type="dxa"/>
          </w:tcPr>
          <w:p>
            <w:pPr>
              <w:pStyle w:val="TableParagraph"/>
              <w:spacing w:before="81"/>
              <w:ind w:left="79" w:right="103"/>
              <w:rPr>
                <w:sz w:val="11"/>
              </w:rPr>
            </w:pPr>
            <w:r>
              <w:rPr>
                <w:sz w:val="11"/>
              </w:rPr>
              <w:t>Kilómetros de carretera conservados o reconstruidos</w:t>
            </w:r>
          </w:p>
        </w:tc>
        <w:tc>
          <w:tcPr>
            <w:tcW w:w="856" w:type="dxa"/>
          </w:tcPr>
          <w:p>
            <w:pPr>
              <w:pStyle w:val="TableParagraph"/>
              <w:spacing w:before="81"/>
              <w:ind w:left="79"/>
              <w:rPr>
                <w:sz w:val="11"/>
              </w:rPr>
            </w:pPr>
            <w:r>
              <w:rPr>
                <w:sz w:val="11"/>
              </w:rPr>
              <w:t>Kilómetros</w:t>
            </w:r>
          </w:p>
        </w:tc>
        <w:tc>
          <w:tcPr>
            <w:tcW w:w="710" w:type="dxa"/>
          </w:tcPr>
          <w:p>
            <w:pPr>
              <w:pStyle w:val="TableParagraph"/>
              <w:spacing w:before="81"/>
              <w:ind w:right="68"/>
              <w:jc w:val="right"/>
              <w:rPr>
                <w:sz w:val="11"/>
              </w:rPr>
            </w:pPr>
            <w:r>
              <w:rPr>
                <w:sz w:val="11"/>
              </w:rPr>
              <w:t>22</w:t>
            </w:r>
          </w:p>
        </w:tc>
        <w:tc>
          <w:tcPr>
            <w:tcW w:w="761" w:type="dxa"/>
          </w:tcPr>
          <w:p>
            <w:pPr>
              <w:pStyle w:val="TableParagraph"/>
              <w:spacing w:before="81"/>
              <w:ind w:right="69"/>
              <w:jc w:val="right"/>
              <w:rPr>
                <w:sz w:val="11"/>
              </w:rPr>
            </w:pPr>
            <w:r>
              <w:rPr>
                <w:sz w:val="11"/>
              </w:rPr>
              <w:t>2019</w:t>
            </w:r>
          </w:p>
        </w:tc>
        <w:tc>
          <w:tcPr>
            <w:tcW w:w="938" w:type="dxa"/>
          </w:tcPr>
          <w:p>
            <w:pPr>
              <w:pStyle w:val="TableParagraph"/>
              <w:spacing w:before="81"/>
              <w:ind w:left="83"/>
              <w:rPr>
                <w:sz w:val="11"/>
              </w:rPr>
            </w:pPr>
            <w:r>
              <w:rPr>
                <w:sz w:val="11"/>
              </w:rPr>
              <w:t>Mensual</w:t>
            </w:r>
          </w:p>
        </w:tc>
        <w:tc>
          <w:tcPr>
            <w:tcW w:w="789" w:type="dxa"/>
          </w:tcPr>
          <w:p>
            <w:pPr>
              <w:pStyle w:val="TableParagraph"/>
              <w:spacing w:before="81"/>
              <w:ind w:left="83"/>
              <w:rPr>
                <w:sz w:val="11"/>
              </w:rPr>
            </w:pPr>
            <w:r>
              <w:rPr>
                <w:sz w:val="11"/>
              </w:rPr>
              <w:t>Resultado</w:t>
            </w:r>
          </w:p>
        </w:tc>
        <w:tc>
          <w:tcPr>
            <w:tcW w:w="2745" w:type="dxa"/>
          </w:tcPr>
          <w:p>
            <w:pPr>
              <w:pStyle w:val="TableParagraph"/>
              <w:spacing w:before="6"/>
              <w:rPr>
                <w:rFonts w:ascii="Times New Roman"/>
                <w:sz w:val="19"/>
              </w:rPr>
            </w:pPr>
          </w:p>
          <w:p>
            <w:pPr>
              <w:pStyle w:val="TableParagraph"/>
              <w:ind w:left="82"/>
              <w:rPr>
                <w:sz w:val="11"/>
              </w:rPr>
            </w:pPr>
            <w:r>
              <w:rPr>
                <w:sz w:val="11"/>
              </w:rPr>
              <w:t>KCR =</w:t>
            </w:r>
          </w:p>
          <w:p>
            <w:pPr>
              <w:pStyle w:val="TableParagraph"/>
              <w:spacing w:before="8"/>
              <w:rPr>
                <w:rFonts w:ascii="Times New Roman"/>
                <w:sz w:val="12"/>
              </w:rPr>
            </w:pPr>
          </w:p>
          <w:p>
            <w:pPr>
              <w:pStyle w:val="TableParagraph"/>
              <w:ind w:left="82"/>
              <w:rPr>
                <w:sz w:val="11"/>
              </w:rPr>
            </w:pPr>
            <w:r>
              <w:rPr>
                <w:sz w:val="11"/>
              </w:rPr>
              <w:t>∑_(j=1)^125KMj+∑_(j=1)^125KRj+∑_(j=1)^125KCj</w:t>
            </w:r>
          </w:p>
        </w:tc>
        <w:tc>
          <w:tcPr>
            <w:tcW w:w="1929" w:type="dxa"/>
          </w:tcPr>
          <w:p>
            <w:pPr>
              <w:pStyle w:val="TableParagraph"/>
              <w:spacing w:before="81"/>
              <w:ind w:left="85" w:right="207"/>
              <w:rPr>
                <w:sz w:val="11"/>
              </w:rPr>
            </w:pPr>
            <w:r>
              <w:rPr>
                <w:sz w:val="11"/>
              </w:rPr>
              <w:t>Secretaría de Infraestructura y Obra Pública, Gobierno de Jalisco, 2019.</w:t>
            </w:r>
          </w:p>
        </w:tc>
      </w:tr>
      <w:tr>
        <w:trPr>
          <w:trHeight w:val="1965" w:hRule="atLeast"/>
        </w:trPr>
        <w:tc>
          <w:tcPr>
            <w:tcW w:w="926" w:type="dxa"/>
            <w:shd w:val="clear" w:color="auto" w:fill="EDEDED"/>
          </w:tcPr>
          <w:p>
            <w:pPr>
              <w:pStyle w:val="TableParagraph"/>
              <w:spacing w:before="81"/>
              <w:ind w:left="79" w:right="57"/>
              <w:rPr>
                <w:sz w:val="11"/>
              </w:rPr>
            </w:pPr>
            <w:r>
              <w:rPr>
                <w:sz w:val="11"/>
              </w:rPr>
              <w:t>Monto de créditos otorgados por el FOJAL</w:t>
            </w:r>
          </w:p>
        </w:tc>
        <w:tc>
          <w:tcPr>
            <w:tcW w:w="856" w:type="dxa"/>
            <w:shd w:val="clear" w:color="auto" w:fill="EDEDED"/>
          </w:tcPr>
          <w:p>
            <w:pPr>
              <w:pStyle w:val="TableParagraph"/>
              <w:spacing w:before="81"/>
              <w:ind w:left="79"/>
              <w:rPr>
                <w:sz w:val="11"/>
              </w:rPr>
            </w:pPr>
            <w:r>
              <w:rPr>
                <w:sz w:val="11"/>
              </w:rPr>
              <w:t>Pesos</w:t>
            </w:r>
          </w:p>
        </w:tc>
        <w:tc>
          <w:tcPr>
            <w:tcW w:w="710" w:type="dxa"/>
            <w:shd w:val="clear" w:color="auto" w:fill="EDEDED"/>
          </w:tcPr>
          <w:p>
            <w:pPr>
              <w:pStyle w:val="TableParagraph"/>
              <w:spacing w:before="81"/>
              <w:ind w:right="70"/>
              <w:jc w:val="right"/>
              <w:rPr>
                <w:sz w:val="11"/>
              </w:rPr>
            </w:pPr>
            <w:r>
              <w:rPr>
                <w:sz w:val="11"/>
              </w:rPr>
              <w:t>1310986</w:t>
            </w:r>
          </w:p>
        </w:tc>
        <w:tc>
          <w:tcPr>
            <w:tcW w:w="761" w:type="dxa"/>
            <w:shd w:val="clear" w:color="auto" w:fill="EDEDED"/>
          </w:tcPr>
          <w:p>
            <w:pPr>
              <w:pStyle w:val="TableParagraph"/>
              <w:spacing w:before="81"/>
              <w:ind w:right="69"/>
              <w:jc w:val="right"/>
              <w:rPr>
                <w:sz w:val="11"/>
              </w:rPr>
            </w:pPr>
            <w:r>
              <w:rPr>
                <w:sz w:val="11"/>
              </w:rPr>
              <w:t>2019</w:t>
            </w:r>
          </w:p>
        </w:tc>
        <w:tc>
          <w:tcPr>
            <w:tcW w:w="938" w:type="dxa"/>
            <w:shd w:val="clear" w:color="auto" w:fill="EDEDED"/>
          </w:tcPr>
          <w:p>
            <w:pPr>
              <w:pStyle w:val="TableParagraph"/>
              <w:spacing w:before="81"/>
              <w:ind w:left="83"/>
              <w:rPr>
                <w:sz w:val="11"/>
              </w:rPr>
            </w:pPr>
            <w:r>
              <w:rPr>
                <w:sz w:val="11"/>
              </w:rPr>
              <w:t>Mensual</w:t>
            </w:r>
          </w:p>
        </w:tc>
        <w:tc>
          <w:tcPr>
            <w:tcW w:w="789" w:type="dxa"/>
            <w:shd w:val="clear" w:color="auto" w:fill="EDEDED"/>
          </w:tcPr>
          <w:p>
            <w:pPr>
              <w:pStyle w:val="TableParagraph"/>
              <w:spacing w:before="81"/>
              <w:ind w:left="83"/>
              <w:rPr>
                <w:sz w:val="11"/>
              </w:rPr>
            </w:pPr>
            <w:r>
              <w:rPr>
                <w:sz w:val="11"/>
              </w:rPr>
              <w:t>Producto</w:t>
            </w:r>
          </w:p>
        </w:tc>
        <w:tc>
          <w:tcPr>
            <w:tcW w:w="2745" w:type="dxa"/>
            <w:shd w:val="clear" w:color="auto" w:fill="EDEDED"/>
          </w:tcPr>
          <w:p>
            <w:pPr>
              <w:pStyle w:val="TableParagraph"/>
              <w:spacing w:before="81"/>
              <w:ind w:left="82"/>
              <w:rPr>
                <w:sz w:val="11"/>
              </w:rPr>
            </w:pPr>
            <w:r>
              <w:rPr>
                <w:sz w:val="11"/>
              </w:rPr>
              <w:t>CF=∑_(j=1)^125CFj</w:t>
            </w:r>
          </w:p>
        </w:tc>
        <w:tc>
          <w:tcPr>
            <w:tcW w:w="1929" w:type="dxa"/>
            <w:shd w:val="clear" w:color="auto" w:fill="EDEDED"/>
          </w:tcPr>
          <w:p>
            <w:pPr>
              <w:pStyle w:val="TableParagraph"/>
              <w:spacing w:before="81"/>
              <w:ind w:left="85" w:right="83" w:firstLine="31"/>
              <w:rPr>
                <w:sz w:val="11"/>
              </w:rPr>
            </w:pPr>
            <w:r>
              <w:rPr>
                <w:sz w:val="11"/>
              </w:rPr>
              <w:t>Fondo Jalisco de Fomento Empresarial. Secretaría de Desarrollo Económico. Gobierno de Jalisco, México, 2019.</w:t>
            </w:r>
          </w:p>
        </w:tc>
      </w:tr>
      <w:tr>
        <w:trPr>
          <w:trHeight w:val="1968" w:hRule="atLeast"/>
        </w:trPr>
        <w:tc>
          <w:tcPr>
            <w:tcW w:w="926" w:type="dxa"/>
          </w:tcPr>
          <w:p>
            <w:pPr>
              <w:pStyle w:val="TableParagraph"/>
              <w:spacing w:before="83"/>
              <w:ind w:left="79" w:right="57"/>
              <w:rPr>
                <w:sz w:val="11"/>
              </w:rPr>
            </w:pPr>
            <w:r>
              <w:rPr>
                <w:sz w:val="11"/>
              </w:rPr>
              <w:t>Número de créditos otorgados por el FOJAL</w:t>
            </w:r>
          </w:p>
        </w:tc>
        <w:tc>
          <w:tcPr>
            <w:tcW w:w="856" w:type="dxa"/>
          </w:tcPr>
          <w:p>
            <w:pPr>
              <w:pStyle w:val="TableParagraph"/>
              <w:spacing w:before="83"/>
              <w:ind w:left="79"/>
              <w:rPr>
                <w:sz w:val="11"/>
              </w:rPr>
            </w:pPr>
            <w:r>
              <w:rPr>
                <w:sz w:val="11"/>
              </w:rPr>
              <w:t>Créditos</w:t>
            </w:r>
          </w:p>
        </w:tc>
        <w:tc>
          <w:tcPr>
            <w:tcW w:w="710" w:type="dxa"/>
          </w:tcPr>
          <w:p>
            <w:pPr>
              <w:pStyle w:val="TableParagraph"/>
              <w:spacing w:before="83"/>
              <w:ind w:right="69"/>
              <w:jc w:val="right"/>
              <w:rPr>
                <w:sz w:val="11"/>
              </w:rPr>
            </w:pPr>
            <w:r>
              <w:rPr>
                <w:sz w:val="11"/>
              </w:rPr>
              <w:t>276</w:t>
            </w:r>
          </w:p>
        </w:tc>
        <w:tc>
          <w:tcPr>
            <w:tcW w:w="761" w:type="dxa"/>
          </w:tcPr>
          <w:p>
            <w:pPr>
              <w:pStyle w:val="TableParagraph"/>
              <w:spacing w:before="83"/>
              <w:ind w:right="69"/>
              <w:jc w:val="right"/>
              <w:rPr>
                <w:sz w:val="11"/>
              </w:rPr>
            </w:pPr>
            <w:r>
              <w:rPr>
                <w:sz w:val="11"/>
              </w:rPr>
              <w:t>2019</w:t>
            </w:r>
          </w:p>
        </w:tc>
        <w:tc>
          <w:tcPr>
            <w:tcW w:w="938" w:type="dxa"/>
          </w:tcPr>
          <w:p>
            <w:pPr>
              <w:pStyle w:val="TableParagraph"/>
              <w:spacing w:before="83"/>
              <w:ind w:left="83"/>
              <w:rPr>
                <w:sz w:val="11"/>
              </w:rPr>
            </w:pPr>
            <w:r>
              <w:rPr>
                <w:sz w:val="11"/>
              </w:rPr>
              <w:t>Mensual</w:t>
            </w:r>
          </w:p>
        </w:tc>
        <w:tc>
          <w:tcPr>
            <w:tcW w:w="789" w:type="dxa"/>
          </w:tcPr>
          <w:p>
            <w:pPr>
              <w:pStyle w:val="TableParagraph"/>
              <w:spacing w:before="83"/>
              <w:ind w:left="83"/>
              <w:rPr>
                <w:sz w:val="11"/>
              </w:rPr>
            </w:pPr>
            <w:r>
              <w:rPr>
                <w:sz w:val="11"/>
              </w:rPr>
              <w:t>Producto</w:t>
            </w:r>
          </w:p>
        </w:tc>
        <w:tc>
          <w:tcPr>
            <w:tcW w:w="2745" w:type="dxa"/>
          </w:tcPr>
          <w:p>
            <w:pPr>
              <w:pStyle w:val="TableParagraph"/>
              <w:spacing w:before="9"/>
              <w:rPr>
                <w:rFonts w:ascii="Times New Roman"/>
                <w:sz w:val="19"/>
              </w:rPr>
            </w:pPr>
          </w:p>
          <w:p>
            <w:pPr>
              <w:pStyle w:val="TableParagraph"/>
              <w:ind w:left="82"/>
              <w:rPr>
                <w:sz w:val="11"/>
              </w:rPr>
            </w:pPr>
            <w:r>
              <w:rPr>
                <w:sz w:val="11"/>
              </w:rPr>
              <w:t>CFM=∑_(j=1)^125CFMj</w:t>
            </w:r>
          </w:p>
        </w:tc>
        <w:tc>
          <w:tcPr>
            <w:tcW w:w="1929" w:type="dxa"/>
          </w:tcPr>
          <w:p>
            <w:pPr>
              <w:pStyle w:val="TableParagraph"/>
              <w:spacing w:before="83"/>
              <w:ind w:left="85" w:right="83" w:firstLine="31"/>
              <w:rPr>
                <w:sz w:val="11"/>
              </w:rPr>
            </w:pPr>
            <w:r>
              <w:rPr>
                <w:sz w:val="11"/>
              </w:rPr>
              <w:t>Fondo Jalisco de Fomento Empresarial. Secretaría de Desarrollo Económico. Gobierno de Jalisco, México, 2019.</w:t>
            </w:r>
          </w:p>
        </w:tc>
      </w:tr>
      <w:tr>
        <w:trPr>
          <w:trHeight w:val="1506" w:hRule="atLeast"/>
        </w:trPr>
        <w:tc>
          <w:tcPr>
            <w:tcW w:w="926" w:type="dxa"/>
          </w:tcPr>
          <w:p>
            <w:pPr>
              <w:pStyle w:val="TableParagraph"/>
              <w:spacing w:before="81"/>
              <w:ind w:left="79" w:right="55"/>
              <w:rPr>
                <w:sz w:val="11"/>
              </w:rPr>
            </w:pPr>
            <w:r>
              <w:rPr>
                <w:sz w:val="11"/>
              </w:rPr>
              <w:t>Obras de infraestructura concluidas para la construcción de infraestructura municipal, metropolitana y regional</w:t>
            </w:r>
          </w:p>
        </w:tc>
        <w:tc>
          <w:tcPr>
            <w:tcW w:w="856" w:type="dxa"/>
          </w:tcPr>
          <w:p>
            <w:pPr>
              <w:pStyle w:val="TableParagraph"/>
              <w:spacing w:before="81"/>
              <w:ind w:left="79"/>
              <w:rPr>
                <w:sz w:val="11"/>
              </w:rPr>
            </w:pPr>
            <w:r>
              <w:rPr>
                <w:sz w:val="11"/>
              </w:rPr>
              <w:t>Obras</w:t>
            </w:r>
          </w:p>
        </w:tc>
        <w:tc>
          <w:tcPr>
            <w:tcW w:w="710" w:type="dxa"/>
          </w:tcPr>
          <w:p>
            <w:pPr>
              <w:pStyle w:val="TableParagraph"/>
              <w:spacing w:before="81"/>
              <w:ind w:right="69"/>
              <w:jc w:val="right"/>
              <w:rPr>
                <w:sz w:val="11"/>
              </w:rPr>
            </w:pPr>
            <w:r>
              <w:rPr>
                <w:w w:val="100"/>
                <w:sz w:val="11"/>
              </w:rPr>
              <w:t>1</w:t>
            </w:r>
          </w:p>
        </w:tc>
        <w:tc>
          <w:tcPr>
            <w:tcW w:w="761" w:type="dxa"/>
          </w:tcPr>
          <w:p>
            <w:pPr>
              <w:pStyle w:val="TableParagraph"/>
              <w:spacing w:before="81"/>
              <w:ind w:right="69"/>
              <w:jc w:val="right"/>
              <w:rPr>
                <w:sz w:val="11"/>
              </w:rPr>
            </w:pPr>
            <w:r>
              <w:rPr>
                <w:sz w:val="11"/>
              </w:rPr>
              <w:t>2017</w:t>
            </w:r>
          </w:p>
        </w:tc>
        <w:tc>
          <w:tcPr>
            <w:tcW w:w="938" w:type="dxa"/>
          </w:tcPr>
          <w:p>
            <w:pPr>
              <w:pStyle w:val="TableParagraph"/>
              <w:spacing w:before="81"/>
              <w:ind w:left="83"/>
              <w:rPr>
                <w:sz w:val="11"/>
              </w:rPr>
            </w:pPr>
            <w:r>
              <w:rPr>
                <w:sz w:val="11"/>
              </w:rPr>
              <w:t>Mensual</w:t>
            </w:r>
          </w:p>
        </w:tc>
        <w:tc>
          <w:tcPr>
            <w:tcW w:w="789" w:type="dxa"/>
          </w:tcPr>
          <w:p>
            <w:pPr>
              <w:pStyle w:val="TableParagraph"/>
              <w:spacing w:before="81"/>
              <w:ind w:left="83"/>
              <w:rPr>
                <w:sz w:val="11"/>
              </w:rPr>
            </w:pPr>
            <w:r>
              <w:rPr>
                <w:sz w:val="11"/>
              </w:rPr>
              <w:t>Producto</w:t>
            </w:r>
          </w:p>
        </w:tc>
        <w:tc>
          <w:tcPr>
            <w:tcW w:w="2745" w:type="dxa"/>
          </w:tcPr>
          <w:p>
            <w:pPr>
              <w:pStyle w:val="TableParagraph"/>
              <w:spacing w:before="6"/>
              <w:rPr>
                <w:rFonts w:ascii="Times New Roman"/>
                <w:sz w:val="19"/>
              </w:rPr>
            </w:pPr>
          </w:p>
          <w:p>
            <w:pPr>
              <w:pStyle w:val="TableParagraph"/>
              <w:ind w:left="82"/>
              <w:rPr>
                <w:sz w:val="11"/>
              </w:rPr>
            </w:pPr>
            <w:r>
              <w:rPr>
                <w:sz w:val="11"/>
              </w:rPr>
              <w:t>OCIMMR= ∑_(j=1)^125ORCj</w:t>
            </w:r>
          </w:p>
        </w:tc>
        <w:tc>
          <w:tcPr>
            <w:tcW w:w="1929" w:type="dxa"/>
          </w:tcPr>
          <w:p>
            <w:pPr>
              <w:pStyle w:val="TableParagraph"/>
              <w:spacing w:before="81"/>
              <w:ind w:left="85" w:right="207"/>
              <w:rPr>
                <w:sz w:val="11"/>
              </w:rPr>
            </w:pPr>
            <w:r>
              <w:rPr>
                <w:sz w:val="11"/>
              </w:rPr>
              <w:t>Dirección General de Obras Públicas con análisis de la Dirección General de Seguimiento, Evaluación y Desarrollo Institucional de la Secretaría de Infraestructura y Obra Pública. México: 2018.</w:t>
            </w:r>
          </w:p>
        </w:tc>
      </w:tr>
      <w:tr>
        <w:trPr>
          <w:trHeight w:val="1262" w:hRule="atLeast"/>
        </w:trPr>
        <w:tc>
          <w:tcPr>
            <w:tcW w:w="926" w:type="dxa"/>
            <w:shd w:val="clear" w:color="auto" w:fill="EDEDED"/>
          </w:tcPr>
          <w:p>
            <w:pPr>
              <w:pStyle w:val="TableParagraph"/>
              <w:spacing w:before="83"/>
              <w:ind w:left="79"/>
              <w:rPr>
                <w:sz w:val="11"/>
              </w:rPr>
            </w:pPr>
            <w:r>
              <w:rPr>
                <w:sz w:val="11"/>
              </w:rPr>
              <w:t>Personas en el medio rural capacitadas</w:t>
            </w:r>
          </w:p>
        </w:tc>
        <w:tc>
          <w:tcPr>
            <w:tcW w:w="856" w:type="dxa"/>
            <w:shd w:val="clear" w:color="auto" w:fill="EDEDED"/>
          </w:tcPr>
          <w:p>
            <w:pPr>
              <w:pStyle w:val="TableParagraph"/>
              <w:spacing w:before="83"/>
              <w:ind w:left="79"/>
              <w:rPr>
                <w:sz w:val="11"/>
              </w:rPr>
            </w:pPr>
            <w:r>
              <w:rPr>
                <w:sz w:val="11"/>
              </w:rPr>
              <w:t>Personas</w:t>
            </w:r>
          </w:p>
        </w:tc>
        <w:tc>
          <w:tcPr>
            <w:tcW w:w="710" w:type="dxa"/>
            <w:shd w:val="clear" w:color="auto" w:fill="EDEDED"/>
          </w:tcPr>
          <w:p>
            <w:pPr>
              <w:pStyle w:val="TableParagraph"/>
              <w:spacing w:before="83"/>
              <w:ind w:right="69"/>
              <w:jc w:val="right"/>
              <w:rPr>
                <w:sz w:val="11"/>
              </w:rPr>
            </w:pPr>
            <w:r>
              <w:rPr>
                <w:sz w:val="11"/>
              </w:rPr>
              <w:t>116</w:t>
            </w:r>
          </w:p>
        </w:tc>
        <w:tc>
          <w:tcPr>
            <w:tcW w:w="761" w:type="dxa"/>
            <w:shd w:val="clear" w:color="auto" w:fill="EDEDED"/>
          </w:tcPr>
          <w:p>
            <w:pPr>
              <w:pStyle w:val="TableParagraph"/>
              <w:spacing w:before="83"/>
              <w:ind w:right="69"/>
              <w:jc w:val="right"/>
              <w:rPr>
                <w:sz w:val="11"/>
              </w:rPr>
            </w:pPr>
            <w:r>
              <w:rPr>
                <w:sz w:val="11"/>
              </w:rPr>
              <w:t>2015</w:t>
            </w:r>
          </w:p>
        </w:tc>
        <w:tc>
          <w:tcPr>
            <w:tcW w:w="938" w:type="dxa"/>
            <w:shd w:val="clear" w:color="auto" w:fill="EDEDED"/>
          </w:tcPr>
          <w:p>
            <w:pPr>
              <w:pStyle w:val="TableParagraph"/>
              <w:spacing w:before="83"/>
              <w:ind w:left="83"/>
              <w:rPr>
                <w:sz w:val="11"/>
              </w:rPr>
            </w:pPr>
            <w:r>
              <w:rPr>
                <w:sz w:val="11"/>
              </w:rPr>
              <w:t>Mensual</w:t>
            </w:r>
          </w:p>
        </w:tc>
        <w:tc>
          <w:tcPr>
            <w:tcW w:w="789" w:type="dxa"/>
            <w:shd w:val="clear" w:color="auto" w:fill="EDEDED"/>
          </w:tcPr>
          <w:p>
            <w:pPr>
              <w:pStyle w:val="TableParagraph"/>
              <w:spacing w:before="83"/>
              <w:ind w:left="83"/>
              <w:rPr>
                <w:sz w:val="11"/>
              </w:rPr>
            </w:pPr>
            <w:r>
              <w:rPr>
                <w:sz w:val="11"/>
              </w:rPr>
              <w:t>Producto</w:t>
            </w:r>
          </w:p>
        </w:tc>
        <w:tc>
          <w:tcPr>
            <w:tcW w:w="2745" w:type="dxa"/>
            <w:shd w:val="clear" w:color="auto" w:fill="EDEDED"/>
          </w:tcPr>
          <w:p>
            <w:pPr>
              <w:pStyle w:val="TableParagraph"/>
              <w:spacing w:before="9"/>
              <w:rPr>
                <w:rFonts w:ascii="Times New Roman"/>
                <w:sz w:val="19"/>
              </w:rPr>
            </w:pPr>
          </w:p>
          <w:p>
            <w:pPr>
              <w:pStyle w:val="TableParagraph"/>
              <w:ind w:left="82"/>
              <w:rPr>
                <w:sz w:val="11"/>
              </w:rPr>
            </w:pPr>
            <w:r>
              <w:rPr>
                <w:sz w:val="11"/>
              </w:rPr>
              <w:t>C= ∑_(j=1)^125Cj</w:t>
            </w:r>
          </w:p>
        </w:tc>
        <w:tc>
          <w:tcPr>
            <w:tcW w:w="1929" w:type="dxa"/>
            <w:shd w:val="clear" w:color="auto" w:fill="EDEDED"/>
          </w:tcPr>
          <w:p>
            <w:pPr>
              <w:pStyle w:val="TableParagraph"/>
              <w:spacing w:before="83"/>
              <w:ind w:left="85" w:right="115"/>
              <w:rPr>
                <w:sz w:val="11"/>
              </w:rPr>
            </w:pPr>
            <w:r>
              <w:rPr>
                <w:sz w:val="11"/>
              </w:rPr>
              <w:t>Direcciones Generales de: Regiones Prioritarias, Acuacultura y Pesca del Estado de Jalisco, Planeación Rural, Comercialización y Programas Regionales; Secretaría de Desarrollo Rural. SEDER. México: 2019.</w:t>
            </w:r>
          </w:p>
        </w:tc>
      </w:tr>
      <w:tr>
        <w:trPr>
          <w:trHeight w:val="1372" w:hRule="atLeast"/>
        </w:trPr>
        <w:tc>
          <w:tcPr>
            <w:tcW w:w="926" w:type="dxa"/>
          </w:tcPr>
          <w:p>
            <w:pPr>
              <w:pStyle w:val="TableParagraph"/>
              <w:spacing w:before="81"/>
              <w:ind w:left="79" w:right="58"/>
              <w:rPr>
                <w:sz w:val="11"/>
              </w:rPr>
            </w:pPr>
            <w:r>
              <w:rPr>
                <w:sz w:val="11"/>
              </w:rPr>
              <w:t>Porcentaje de cabezas analizadas para detectar tuberculosis</w:t>
            </w:r>
          </w:p>
        </w:tc>
        <w:tc>
          <w:tcPr>
            <w:tcW w:w="856" w:type="dxa"/>
          </w:tcPr>
          <w:p>
            <w:pPr>
              <w:pStyle w:val="TableParagraph"/>
              <w:spacing w:before="81"/>
              <w:ind w:left="79"/>
              <w:rPr>
                <w:sz w:val="11"/>
              </w:rPr>
            </w:pPr>
            <w:r>
              <w:rPr>
                <w:sz w:val="11"/>
              </w:rPr>
              <w:t>Porcentaje</w:t>
            </w:r>
          </w:p>
        </w:tc>
        <w:tc>
          <w:tcPr>
            <w:tcW w:w="710" w:type="dxa"/>
          </w:tcPr>
          <w:p>
            <w:pPr>
              <w:pStyle w:val="TableParagraph"/>
              <w:spacing w:before="81"/>
              <w:ind w:right="69"/>
              <w:jc w:val="right"/>
              <w:rPr>
                <w:sz w:val="11"/>
              </w:rPr>
            </w:pPr>
            <w:r>
              <w:rPr>
                <w:sz w:val="11"/>
              </w:rPr>
              <w:t>2628</w:t>
            </w:r>
          </w:p>
        </w:tc>
        <w:tc>
          <w:tcPr>
            <w:tcW w:w="761" w:type="dxa"/>
          </w:tcPr>
          <w:p>
            <w:pPr>
              <w:pStyle w:val="TableParagraph"/>
              <w:spacing w:before="81"/>
              <w:ind w:right="69"/>
              <w:jc w:val="right"/>
              <w:rPr>
                <w:sz w:val="11"/>
              </w:rPr>
            </w:pPr>
            <w:r>
              <w:rPr>
                <w:sz w:val="11"/>
              </w:rPr>
              <w:t>2018</w:t>
            </w:r>
          </w:p>
        </w:tc>
        <w:tc>
          <w:tcPr>
            <w:tcW w:w="938" w:type="dxa"/>
          </w:tcPr>
          <w:p>
            <w:pPr>
              <w:pStyle w:val="TableParagraph"/>
              <w:spacing w:before="81"/>
              <w:ind w:left="83"/>
              <w:rPr>
                <w:sz w:val="11"/>
              </w:rPr>
            </w:pPr>
            <w:r>
              <w:rPr>
                <w:sz w:val="11"/>
              </w:rPr>
              <w:t>Mensual</w:t>
            </w:r>
          </w:p>
        </w:tc>
        <w:tc>
          <w:tcPr>
            <w:tcW w:w="789" w:type="dxa"/>
          </w:tcPr>
          <w:p>
            <w:pPr>
              <w:pStyle w:val="TableParagraph"/>
              <w:spacing w:before="81"/>
              <w:ind w:left="83"/>
              <w:rPr>
                <w:sz w:val="11"/>
              </w:rPr>
            </w:pPr>
            <w:r>
              <w:rPr>
                <w:sz w:val="11"/>
              </w:rPr>
              <w:t>Producto</w:t>
            </w:r>
          </w:p>
        </w:tc>
        <w:tc>
          <w:tcPr>
            <w:tcW w:w="2745" w:type="dxa"/>
          </w:tcPr>
          <w:p>
            <w:pPr>
              <w:pStyle w:val="TableParagraph"/>
              <w:spacing w:before="6"/>
              <w:rPr>
                <w:rFonts w:ascii="Times New Roman"/>
                <w:sz w:val="19"/>
              </w:rPr>
            </w:pPr>
          </w:p>
          <w:p>
            <w:pPr>
              <w:pStyle w:val="TableParagraph"/>
              <w:ind w:left="82"/>
              <w:rPr>
                <w:sz w:val="11"/>
              </w:rPr>
            </w:pPr>
            <w:r>
              <w:rPr>
                <w:sz w:val="11"/>
              </w:rPr>
              <w:t>PCT=(PBA/PB)*100</w:t>
            </w:r>
          </w:p>
        </w:tc>
        <w:tc>
          <w:tcPr>
            <w:tcW w:w="1929" w:type="dxa"/>
          </w:tcPr>
          <w:p>
            <w:pPr>
              <w:pStyle w:val="TableParagraph"/>
              <w:spacing w:before="81"/>
              <w:ind w:left="85" w:right="211"/>
              <w:rPr>
                <w:sz w:val="11"/>
              </w:rPr>
            </w:pPr>
            <w:r>
              <w:rPr>
                <w:sz w:val="11"/>
              </w:rPr>
              <w:t>Servicio Nacional de Sanidad, Inocuidad y Calidad Agroalimentaria (SENASICA), Secretaria de Desarrollo Rural (SEDER) y Secretaría de Agricultura, Ganadería, Desarrollo Rural, Pesca y Alimentación (SAGARPA).</w:t>
            </w:r>
          </w:p>
          <w:p>
            <w:pPr>
              <w:pStyle w:val="TableParagraph"/>
              <w:spacing w:before="1"/>
              <w:ind w:left="85"/>
              <w:rPr>
                <w:sz w:val="11"/>
              </w:rPr>
            </w:pPr>
            <w:r>
              <w:rPr>
                <w:sz w:val="11"/>
              </w:rPr>
              <w:t>México: 2018.</w:t>
            </w:r>
          </w:p>
        </w:tc>
      </w:tr>
    </w:tbl>
    <w:p>
      <w:pPr>
        <w:spacing w:after="0"/>
        <w:rPr>
          <w:sz w:val="11"/>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8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26"/>
        <w:gridCol w:w="856"/>
        <w:gridCol w:w="710"/>
        <w:gridCol w:w="761"/>
        <w:gridCol w:w="938"/>
        <w:gridCol w:w="789"/>
        <w:gridCol w:w="2745"/>
        <w:gridCol w:w="1929"/>
      </w:tblGrid>
      <w:tr>
        <w:trPr>
          <w:trHeight w:val="1103" w:hRule="atLeast"/>
        </w:trPr>
        <w:tc>
          <w:tcPr>
            <w:tcW w:w="926" w:type="dxa"/>
            <w:shd w:val="clear" w:color="auto" w:fill="EDEDED"/>
          </w:tcPr>
          <w:p>
            <w:pPr>
              <w:pStyle w:val="TableParagraph"/>
              <w:spacing w:before="81"/>
              <w:ind w:left="79" w:right="100"/>
              <w:rPr>
                <w:sz w:val="11"/>
              </w:rPr>
            </w:pPr>
            <w:r>
              <w:rPr>
                <w:sz w:val="11"/>
              </w:rPr>
              <w:t>Proyectos aprobados para el impulso a cadenas productivas y clústeres</w:t>
            </w:r>
          </w:p>
        </w:tc>
        <w:tc>
          <w:tcPr>
            <w:tcW w:w="856" w:type="dxa"/>
            <w:shd w:val="clear" w:color="auto" w:fill="EDEDED"/>
          </w:tcPr>
          <w:p>
            <w:pPr>
              <w:pStyle w:val="TableParagraph"/>
              <w:spacing w:before="81"/>
              <w:ind w:left="79"/>
              <w:rPr>
                <w:sz w:val="11"/>
              </w:rPr>
            </w:pPr>
            <w:r>
              <w:rPr>
                <w:sz w:val="11"/>
              </w:rPr>
              <w:t>Proyectos</w:t>
            </w:r>
          </w:p>
        </w:tc>
        <w:tc>
          <w:tcPr>
            <w:tcW w:w="710" w:type="dxa"/>
            <w:shd w:val="clear" w:color="auto" w:fill="EDEDED"/>
          </w:tcPr>
          <w:p>
            <w:pPr>
              <w:pStyle w:val="TableParagraph"/>
              <w:spacing w:before="81"/>
              <w:ind w:right="69"/>
              <w:jc w:val="right"/>
              <w:rPr>
                <w:sz w:val="11"/>
              </w:rPr>
            </w:pPr>
            <w:r>
              <w:rPr>
                <w:w w:val="100"/>
                <w:sz w:val="11"/>
              </w:rPr>
              <w:t>1</w:t>
            </w:r>
          </w:p>
        </w:tc>
        <w:tc>
          <w:tcPr>
            <w:tcW w:w="761" w:type="dxa"/>
            <w:shd w:val="clear" w:color="auto" w:fill="EDEDED"/>
          </w:tcPr>
          <w:p>
            <w:pPr>
              <w:pStyle w:val="TableParagraph"/>
              <w:spacing w:before="81"/>
              <w:ind w:right="69"/>
              <w:jc w:val="right"/>
              <w:rPr>
                <w:sz w:val="11"/>
              </w:rPr>
            </w:pPr>
            <w:r>
              <w:rPr>
                <w:sz w:val="11"/>
              </w:rPr>
              <w:t>2015</w:t>
            </w:r>
          </w:p>
        </w:tc>
        <w:tc>
          <w:tcPr>
            <w:tcW w:w="938" w:type="dxa"/>
            <w:shd w:val="clear" w:color="auto" w:fill="EDEDED"/>
          </w:tcPr>
          <w:p>
            <w:pPr>
              <w:pStyle w:val="TableParagraph"/>
              <w:spacing w:before="81"/>
              <w:ind w:left="83"/>
              <w:rPr>
                <w:sz w:val="11"/>
              </w:rPr>
            </w:pPr>
            <w:r>
              <w:rPr>
                <w:sz w:val="11"/>
              </w:rPr>
              <w:t>Mensual</w:t>
            </w:r>
          </w:p>
        </w:tc>
        <w:tc>
          <w:tcPr>
            <w:tcW w:w="789" w:type="dxa"/>
            <w:shd w:val="clear" w:color="auto" w:fill="EDEDED"/>
          </w:tcPr>
          <w:p>
            <w:pPr>
              <w:pStyle w:val="TableParagraph"/>
              <w:spacing w:before="81"/>
              <w:ind w:left="83"/>
              <w:rPr>
                <w:sz w:val="11"/>
              </w:rPr>
            </w:pPr>
            <w:r>
              <w:rPr>
                <w:sz w:val="11"/>
              </w:rPr>
              <w:t>Producto</w:t>
            </w:r>
          </w:p>
        </w:tc>
        <w:tc>
          <w:tcPr>
            <w:tcW w:w="2745" w:type="dxa"/>
            <w:shd w:val="clear" w:color="auto" w:fill="EDEDED"/>
          </w:tcPr>
          <w:p>
            <w:pPr>
              <w:pStyle w:val="TableParagraph"/>
              <w:spacing w:before="6"/>
              <w:rPr>
                <w:rFonts w:ascii="Times New Roman"/>
                <w:sz w:val="19"/>
              </w:rPr>
            </w:pPr>
          </w:p>
          <w:p>
            <w:pPr>
              <w:pStyle w:val="TableParagraph"/>
              <w:spacing w:line="499" w:lineRule="auto"/>
              <w:ind w:left="82" w:right="51"/>
              <w:rPr>
                <w:sz w:val="11"/>
              </w:rPr>
            </w:pPr>
            <w:r>
              <w:rPr>
                <w:sz w:val="11"/>
              </w:rPr>
              <w:t>PrApImCP&amp;Cl= [(∑_(j=1)^125PrApImCPj)+(∑_(j=1)^125PrApImClj)</w:t>
            </w:r>
          </w:p>
          <w:p>
            <w:pPr>
              <w:pStyle w:val="TableParagraph"/>
              <w:spacing w:before="1"/>
              <w:ind w:left="82"/>
              <w:rPr>
                <w:sz w:val="11"/>
              </w:rPr>
            </w:pPr>
            <w:r>
              <w:rPr>
                <w:w w:val="100"/>
                <w:sz w:val="11"/>
              </w:rPr>
              <w:t>]</w:t>
            </w:r>
          </w:p>
        </w:tc>
        <w:tc>
          <w:tcPr>
            <w:tcW w:w="1929" w:type="dxa"/>
            <w:shd w:val="clear" w:color="auto" w:fill="EDEDED"/>
          </w:tcPr>
          <w:p>
            <w:pPr>
              <w:pStyle w:val="TableParagraph"/>
              <w:spacing w:before="81"/>
              <w:ind w:left="85" w:right="308"/>
              <w:rPr>
                <w:sz w:val="11"/>
              </w:rPr>
            </w:pPr>
            <w:r>
              <w:rPr>
                <w:sz w:val="11"/>
              </w:rPr>
              <w:t>Secretaría de Desarrollo Económico, Jalisco, México: 2018.</w:t>
            </w:r>
          </w:p>
        </w:tc>
      </w:tr>
      <w:tr>
        <w:trPr>
          <w:trHeight w:val="1266" w:hRule="atLeast"/>
        </w:trPr>
        <w:tc>
          <w:tcPr>
            <w:tcW w:w="926" w:type="dxa"/>
          </w:tcPr>
          <w:p>
            <w:pPr>
              <w:pStyle w:val="TableParagraph"/>
              <w:spacing w:before="83"/>
              <w:ind w:left="79" w:right="124"/>
              <w:rPr>
                <w:sz w:val="11"/>
              </w:rPr>
            </w:pPr>
            <w:r>
              <w:rPr>
                <w:sz w:val="11"/>
              </w:rPr>
              <w:t>Trabajadores registrados ante el IMSS</w:t>
            </w:r>
          </w:p>
        </w:tc>
        <w:tc>
          <w:tcPr>
            <w:tcW w:w="856" w:type="dxa"/>
          </w:tcPr>
          <w:p>
            <w:pPr>
              <w:pStyle w:val="TableParagraph"/>
              <w:spacing w:before="83"/>
              <w:ind w:left="79"/>
              <w:rPr>
                <w:sz w:val="11"/>
              </w:rPr>
            </w:pPr>
            <w:r>
              <w:rPr>
                <w:sz w:val="11"/>
              </w:rPr>
              <w:t>Trabajadores</w:t>
            </w:r>
          </w:p>
        </w:tc>
        <w:tc>
          <w:tcPr>
            <w:tcW w:w="710" w:type="dxa"/>
          </w:tcPr>
          <w:p>
            <w:pPr>
              <w:pStyle w:val="TableParagraph"/>
              <w:spacing w:before="83"/>
              <w:ind w:right="69"/>
              <w:jc w:val="right"/>
              <w:rPr>
                <w:sz w:val="11"/>
              </w:rPr>
            </w:pPr>
            <w:r>
              <w:rPr>
                <w:sz w:val="11"/>
              </w:rPr>
              <w:t>776</w:t>
            </w:r>
          </w:p>
        </w:tc>
        <w:tc>
          <w:tcPr>
            <w:tcW w:w="761" w:type="dxa"/>
          </w:tcPr>
          <w:p>
            <w:pPr>
              <w:pStyle w:val="TableParagraph"/>
              <w:spacing w:before="83"/>
              <w:ind w:right="69"/>
              <w:jc w:val="right"/>
              <w:rPr>
                <w:sz w:val="11"/>
              </w:rPr>
            </w:pPr>
            <w:r>
              <w:rPr>
                <w:sz w:val="11"/>
              </w:rPr>
              <w:t>2019</w:t>
            </w:r>
          </w:p>
        </w:tc>
        <w:tc>
          <w:tcPr>
            <w:tcW w:w="938" w:type="dxa"/>
          </w:tcPr>
          <w:p>
            <w:pPr>
              <w:pStyle w:val="TableParagraph"/>
              <w:spacing w:before="83"/>
              <w:ind w:left="83"/>
              <w:rPr>
                <w:sz w:val="11"/>
              </w:rPr>
            </w:pPr>
            <w:r>
              <w:rPr>
                <w:sz w:val="11"/>
              </w:rPr>
              <w:t>Mensual</w:t>
            </w:r>
          </w:p>
        </w:tc>
        <w:tc>
          <w:tcPr>
            <w:tcW w:w="789" w:type="dxa"/>
          </w:tcPr>
          <w:p>
            <w:pPr>
              <w:pStyle w:val="TableParagraph"/>
              <w:spacing w:before="83"/>
              <w:ind w:left="83" w:right="222"/>
              <w:rPr>
                <w:sz w:val="11"/>
              </w:rPr>
            </w:pPr>
            <w:r>
              <w:rPr>
                <w:sz w:val="11"/>
              </w:rPr>
              <w:t>Impacto Directo</w:t>
            </w:r>
          </w:p>
        </w:tc>
        <w:tc>
          <w:tcPr>
            <w:tcW w:w="2745" w:type="dxa"/>
          </w:tcPr>
          <w:p>
            <w:pPr>
              <w:pStyle w:val="TableParagraph"/>
              <w:spacing w:before="9"/>
              <w:rPr>
                <w:rFonts w:ascii="Times New Roman"/>
                <w:sz w:val="19"/>
              </w:rPr>
            </w:pPr>
          </w:p>
          <w:p>
            <w:pPr>
              <w:pStyle w:val="TableParagraph"/>
              <w:ind w:left="82"/>
              <w:rPr>
                <w:sz w:val="11"/>
              </w:rPr>
            </w:pPr>
            <w:r>
              <w:rPr>
                <w:sz w:val="11"/>
              </w:rPr>
              <w:t>P=∑_(j=1)^125Pj</w:t>
            </w:r>
          </w:p>
        </w:tc>
        <w:tc>
          <w:tcPr>
            <w:tcW w:w="1929" w:type="dxa"/>
          </w:tcPr>
          <w:p>
            <w:pPr>
              <w:pStyle w:val="TableParagraph"/>
              <w:spacing w:before="83"/>
              <w:ind w:left="85" w:right="75" w:firstLine="31"/>
              <w:rPr>
                <w:sz w:val="11"/>
              </w:rPr>
            </w:pPr>
            <w:r>
              <w:rPr>
                <w:sz w:val="11"/>
              </w:rPr>
              <w:t>IIEG, Instituto de Información Estadística y Geográfica del estado de Jalisco, con datos del IMSS. Registros administrativos 2019.</w:t>
            </w:r>
          </w:p>
        </w:tc>
      </w:tr>
      <w:tr>
        <w:trPr>
          <w:trHeight w:val="1128" w:hRule="atLeast"/>
        </w:trPr>
        <w:tc>
          <w:tcPr>
            <w:tcW w:w="926" w:type="dxa"/>
            <w:shd w:val="clear" w:color="auto" w:fill="EDEDED"/>
          </w:tcPr>
          <w:p>
            <w:pPr>
              <w:pStyle w:val="TableParagraph"/>
              <w:spacing w:before="81"/>
              <w:ind w:left="79" w:right="154"/>
              <w:rPr>
                <w:sz w:val="11"/>
              </w:rPr>
            </w:pPr>
            <w:r>
              <w:rPr>
                <w:sz w:val="11"/>
              </w:rPr>
              <w:t>Unidades rurales económicas apoyadas con activos productivos</w:t>
            </w:r>
          </w:p>
        </w:tc>
        <w:tc>
          <w:tcPr>
            <w:tcW w:w="856" w:type="dxa"/>
            <w:shd w:val="clear" w:color="auto" w:fill="EDEDED"/>
          </w:tcPr>
          <w:p>
            <w:pPr>
              <w:pStyle w:val="TableParagraph"/>
              <w:spacing w:before="81"/>
              <w:ind w:left="79"/>
              <w:rPr>
                <w:sz w:val="11"/>
              </w:rPr>
            </w:pPr>
            <w:r>
              <w:rPr>
                <w:sz w:val="11"/>
              </w:rPr>
              <w:t>Unidades</w:t>
            </w:r>
          </w:p>
        </w:tc>
        <w:tc>
          <w:tcPr>
            <w:tcW w:w="710" w:type="dxa"/>
            <w:shd w:val="clear" w:color="auto" w:fill="EDEDED"/>
          </w:tcPr>
          <w:p>
            <w:pPr>
              <w:pStyle w:val="TableParagraph"/>
              <w:spacing w:before="81"/>
              <w:ind w:right="68"/>
              <w:jc w:val="right"/>
              <w:rPr>
                <w:sz w:val="11"/>
              </w:rPr>
            </w:pPr>
            <w:r>
              <w:rPr>
                <w:sz w:val="11"/>
              </w:rPr>
              <w:t>36</w:t>
            </w:r>
          </w:p>
        </w:tc>
        <w:tc>
          <w:tcPr>
            <w:tcW w:w="761" w:type="dxa"/>
            <w:shd w:val="clear" w:color="auto" w:fill="EDEDED"/>
          </w:tcPr>
          <w:p>
            <w:pPr>
              <w:pStyle w:val="TableParagraph"/>
              <w:spacing w:before="81"/>
              <w:ind w:right="69"/>
              <w:jc w:val="right"/>
              <w:rPr>
                <w:sz w:val="11"/>
              </w:rPr>
            </w:pPr>
            <w:r>
              <w:rPr>
                <w:sz w:val="11"/>
              </w:rPr>
              <w:t>2018</w:t>
            </w:r>
          </w:p>
        </w:tc>
        <w:tc>
          <w:tcPr>
            <w:tcW w:w="938" w:type="dxa"/>
            <w:shd w:val="clear" w:color="auto" w:fill="EDEDED"/>
          </w:tcPr>
          <w:p>
            <w:pPr>
              <w:pStyle w:val="TableParagraph"/>
              <w:spacing w:before="81"/>
              <w:ind w:left="83"/>
              <w:rPr>
                <w:sz w:val="11"/>
              </w:rPr>
            </w:pPr>
            <w:r>
              <w:rPr>
                <w:sz w:val="11"/>
              </w:rPr>
              <w:t>Mensual</w:t>
            </w:r>
          </w:p>
        </w:tc>
        <w:tc>
          <w:tcPr>
            <w:tcW w:w="789" w:type="dxa"/>
            <w:shd w:val="clear" w:color="auto" w:fill="EDEDED"/>
          </w:tcPr>
          <w:p>
            <w:pPr>
              <w:pStyle w:val="TableParagraph"/>
              <w:spacing w:before="81"/>
              <w:ind w:left="83"/>
              <w:rPr>
                <w:sz w:val="11"/>
              </w:rPr>
            </w:pPr>
            <w:r>
              <w:rPr>
                <w:sz w:val="11"/>
              </w:rPr>
              <w:t>Resultado</w:t>
            </w:r>
          </w:p>
        </w:tc>
        <w:tc>
          <w:tcPr>
            <w:tcW w:w="2745" w:type="dxa"/>
            <w:shd w:val="clear" w:color="auto" w:fill="EDEDED"/>
          </w:tcPr>
          <w:p>
            <w:pPr>
              <w:pStyle w:val="TableParagraph"/>
              <w:spacing w:before="6"/>
              <w:rPr>
                <w:rFonts w:ascii="Times New Roman"/>
                <w:sz w:val="19"/>
              </w:rPr>
            </w:pPr>
          </w:p>
          <w:p>
            <w:pPr>
              <w:pStyle w:val="TableParagraph"/>
              <w:ind w:left="82"/>
              <w:rPr>
                <w:sz w:val="11"/>
              </w:rPr>
            </w:pPr>
            <w:r>
              <w:rPr>
                <w:sz w:val="11"/>
              </w:rPr>
              <w:t>U= ∑_(i=1)^NUj</w:t>
            </w:r>
          </w:p>
        </w:tc>
        <w:tc>
          <w:tcPr>
            <w:tcW w:w="1929" w:type="dxa"/>
            <w:shd w:val="clear" w:color="auto" w:fill="EDEDED"/>
          </w:tcPr>
          <w:p>
            <w:pPr>
              <w:pStyle w:val="TableParagraph"/>
              <w:spacing w:before="81"/>
              <w:ind w:left="85" w:right="216"/>
              <w:rPr>
                <w:sz w:val="11"/>
              </w:rPr>
            </w:pPr>
            <w:r>
              <w:rPr>
                <w:sz w:val="11"/>
              </w:rPr>
              <w:t>Secretaría de Desarrollo Rural. Listado liberación, SISER/SURI. México: septiembre 2018.</w:t>
            </w:r>
          </w:p>
        </w:tc>
      </w:tr>
      <w:tr>
        <w:trPr>
          <w:trHeight w:val="1036" w:hRule="atLeast"/>
        </w:trPr>
        <w:tc>
          <w:tcPr>
            <w:tcW w:w="926" w:type="dxa"/>
          </w:tcPr>
          <w:p>
            <w:pPr>
              <w:pStyle w:val="TableParagraph"/>
              <w:spacing w:before="83"/>
              <w:ind w:left="79" w:right="196"/>
              <w:rPr>
                <w:sz w:val="11"/>
              </w:rPr>
            </w:pPr>
            <w:r>
              <w:rPr>
                <w:sz w:val="11"/>
              </w:rPr>
              <w:t>Valor de la producción agrícola</w:t>
            </w:r>
          </w:p>
        </w:tc>
        <w:tc>
          <w:tcPr>
            <w:tcW w:w="856" w:type="dxa"/>
          </w:tcPr>
          <w:p>
            <w:pPr>
              <w:pStyle w:val="TableParagraph"/>
              <w:spacing w:before="83"/>
              <w:ind w:left="79" w:right="315"/>
              <w:rPr>
                <w:sz w:val="11"/>
              </w:rPr>
            </w:pPr>
            <w:r>
              <w:rPr>
                <w:sz w:val="11"/>
              </w:rPr>
              <w:t>Miles de pesos</w:t>
            </w:r>
          </w:p>
        </w:tc>
        <w:tc>
          <w:tcPr>
            <w:tcW w:w="710" w:type="dxa"/>
          </w:tcPr>
          <w:p>
            <w:pPr>
              <w:pStyle w:val="TableParagraph"/>
              <w:spacing w:before="83"/>
              <w:ind w:right="70"/>
              <w:jc w:val="right"/>
              <w:rPr>
                <w:sz w:val="11"/>
              </w:rPr>
            </w:pPr>
            <w:r>
              <w:rPr>
                <w:sz w:val="11"/>
              </w:rPr>
              <w:t>499346888</w:t>
            </w:r>
          </w:p>
        </w:tc>
        <w:tc>
          <w:tcPr>
            <w:tcW w:w="761" w:type="dxa"/>
          </w:tcPr>
          <w:p>
            <w:pPr>
              <w:pStyle w:val="TableParagraph"/>
              <w:spacing w:before="83"/>
              <w:ind w:right="69"/>
              <w:jc w:val="right"/>
              <w:rPr>
                <w:sz w:val="11"/>
              </w:rPr>
            </w:pPr>
            <w:r>
              <w:rPr>
                <w:sz w:val="11"/>
              </w:rPr>
              <w:t>2018</w:t>
            </w:r>
          </w:p>
        </w:tc>
        <w:tc>
          <w:tcPr>
            <w:tcW w:w="938" w:type="dxa"/>
          </w:tcPr>
          <w:p>
            <w:pPr>
              <w:pStyle w:val="TableParagraph"/>
              <w:spacing w:before="83"/>
              <w:ind w:left="83"/>
              <w:rPr>
                <w:sz w:val="11"/>
              </w:rPr>
            </w:pPr>
            <w:r>
              <w:rPr>
                <w:sz w:val="11"/>
              </w:rPr>
              <w:t>Anual</w:t>
            </w:r>
          </w:p>
        </w:tc>
        <w:tc>
          <w:tcPr>
            <w:tcW w:w="789" w:type="dxa"/>
          </w:tcPr>
          <w:p>
            <w:pPr>
              <w:pStyle w:val="TableParagraph"/>
              <w:spacing w:before="83"/>
              <w:ind w:left="83"/>
              <w:rPr>
                <w:sz w:val="11"/>
              </w:rPr>
            </w:pPr>
            <w:r>
              <w:rPr>
                <w:sz w:val="11"/>
              </w:rPr>
              <w:t>Resultado</w:t>
            </w:r>
          </w:p>
        </w:tc>
        <w:tc>
          <w:tcPr>
            <w:tcW w:w="2745" w:type="dxa"/>
          </w:tcPr>
          <w:p>
            <w:pPr>
              <w:pStyle w:val="TableParagraph"/>
              <w:spacing w:before="9"/>
              <w:rPr>
                <w:rFonts w:ascii="Times New Roman"/>
                <w:sz w:val="19"/>
              </w:rPr>
            </w:pPr>
          </w:p>
          <w:p>
            <w:pPr>
              <w:pStyle w:val="TableParagraph"/>
              <w:ind w:left="82"/>
              <w:rPr>
                <w:sz w:val="11"/>
              </w:rPr>
            </w:pPr>
            <w:r>
              <w:rPr>
                <w:sz w:val="11"/>
              </w:rPr>
              <w:t>VPA=PA*PpR</w:t>
            </w:r>
          </w:p>
        </w:tc>
        <w:tc>
          <w:tcPr>
            <w:tcW w:w="1929" w:type="dxa"/>
          </w:tcPr>
          <w:p>
            <w:pPr>
              <w:pStyle w:val="TableParagraph"/>
              <w:spacing w:before="83"/>
              <w:ind w:left="85" w:right="104"/>
              <w:rPr>
                <w:sz w:val="11"/>
              </w:rPr>
            </w:pPr>
            <w:r>
              <w:rPr>
                <w:sz w:val="11"/>
              </w:rPr>
              <w:t>SAGARPA, Anuarios Estadísticos, 2017; publicados por el Servicio de Información Agroalimentaria y Pesquera (último dato publicado en 2018).</w:t>
            </w:r>
          </w:p>
        </w:tc>
      </w:tr>
    </w:tbl>
    <w:p>
      <w:pPr>
        <w:pStyle w:val="BodyText"/>
        <w:rPr>
          <w:rFonts w:ascii="Times New Roman"/>
          <w:sz w:val="20"/>
        </w:rPr>
      </w:pPr>
    </w:p>
    <w:p>
      <w:pPr>
        <w:pStyle w:val="BodyText"/>
        <w:spacing w:before="9"/>
        <w:rPr>
          <w:rFonts w:ascii="Times New Roman"/>
          <w:sz w:val="26"/>
        </w:rPr>
      </w:pPr>
    </w:p>
    <w:p>
      <w:pPr>
        <w:pStyle w:val="Heading1"/>
        <w:spacing w:before="101"/>
      </w:pPr>
      <w:bookmarkStart w:name="_bookmark18" w:id="27"/>
      <w:bookmarkEnd w:id="27"/>
      <w:r>
        <w:rPr/>
      </w:r>
      <w:r>
        <w:rPr>
          <w:color w:val="3D3D3D"/>
        </w:rPr>
        <w:t>ANEXO DE INVERSIÓN PÚBLICA</w:t>
      </w:r>
    </w:p>
    <w:p>
      <w:pPr>
        <w:pStyle w:val="BodyText"/>
        <w:rPr>
          <w:sz w:val="20"/>
        </w:rPr>
      </w:pPr>
    </w:p>
    <w:p>
      <w:pPr>
        <w:pStyle w:val="BodyText"/>
        <w:rPr>
          <w:sz w:val="20"/>
        </w:rPr>
      </w:pPr>
    </w:p>
    <w:p>
      <w:pPr>
        <w:pStyle w:val="BodyText"/>
        <w:spacing w:before="10"/>
        <w:rPr>
          <w:sz w:val="17"/>
        </w:rPr>
      </w:pPr>
      <w:r>
        <w:rPr/>
        <w:pict>
          <v:shape style="position:absolute;margin-left:66.624001pt;margin-top:12.129277pt;width:477.8pt;height:23.9pt;mso-position-horizontal-relative:page;mso-position-vertical-relative:paragraph;z-index:-251544576;mso-wrap-distance-left:0;mso-wrap-distance-right:0" type="#_x0000_t202" filled="true" fillcolor="#c2d59b" stroked="false">
            <v:textbox inset="0,0,0,0">
              <w:txbxContent>
                <w:p>
                  <w:pPr>
                    <w:spacing w:line="290" w:lineRule="exact" w:before="0"/>
                    <w:ind w:left="28" w:right="0" w:firstLine="0"/>
                    <w:jc w:val="left"/>
                    <w:rPr>
                      <w:rFonts w:ascii="Corbel"/>
                      <w:sz w:val="24"/>
                    </w:rPr>
                  </w:pPr>
                  <w:r>
                    <w:rPr>
                      <w:rFonts w:ascii="Corbel"/>
                      <w:sz w:val="24"/>
                    </w:rPr>
                    <w:t>MEDIO AMBIENTE Y TERRITORIO</w:t>
                  </w:r>
                </w:p>
              </w:txbxContent>
            </v:textbox>
            <v:fill type="solid"/>
            <w10:wrap type="topAndBottom"/>
          </v:shape>
        </w:pict>
      </w:r>
    </w:p>
    <w:p>
      <w:pPr>
        <w:pStyle w:val="BodyText"/>
        <w:rPr>
          <w:sz w:val="20"/>
        </w:rPr>
      </w:pPr>
    </w:p>
    <w:p>
      <w:pPr>
        <w:pStyle w:val="BodyText"/>
        <w:spacing w:before="6" w:after="1"/>
        <w:rPr>
          <w:sz w:val="17"/>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7881"/>
      </w:tblGrid>
      <w:tr>
        <w:trPr>
          <w:trHeight w:val="607" w:hRule="atLeast"/>
        </w:trPr>
        <w:tc>
          <w:tcPr>
            <w:tcW w:w="8980" w:type="dxa"/>
            <w:gridSpan w:val="2"/>
            <w:tcBorders>
              <w:bottom w:val="single" w:sz="6" w:space="0" w:color="000000"/>
            </w:tcBorders>
            <w:shd w:val="clear" w:color="auto" w:fill="C2D59B"/>
          </w:tcPr>
          <w:p>
            <w:pPr>
              <w:pStyle w:val="TableParagraph"/>
              <w:spacing w:before="78"/>
              <w:ind w:left="3059" w:right="3054"/>
              <w:jc w:val="center"/>
              <w:rPr>
                <w:sz w:val="22"/>
              </w:rPr>
            </w:pPr>
            <w:r>
              <w:rPr>
                <w:sz w:val="22"/>
              </w:rPr>
              <w:t>RESTAURACIÓN DE CALLES</w:t>
            </w:r>
          </w:p>
        </w:tc>
      </w:tr>
      <w:tr>
        <w:trPr>
          <w:trHeight w:val="606" w:hRule="atLeast"/>
        </w:trPr>
        <w:tc>
          <w:tcPr>
            <w:tcW w:w="1099" w:type="dxa"/>
            <w:tcBorders>
              <w:top w:val="single" w:sz="6" w:space="0" w:color="000000"/>
              <w:bottom w:val="single" w:sz="6" w:space="0" w:color="000000"/>
            </w:tcBorders>
          </w:tcPr>
          <w:p>
            <w:pPr>
              <w:pStyle w:val="TableParagraph"/>
              <w:spacing w:before="77"/>
              <w:ind w:left="79"/>
              <w:rPr>
                <w:sz w:val="22"/>
              </w:rPr>
            </w:pPr>
            <w:r>
              <w:rPr>
                <w:w w:val="100"/>
                <w:sz w:val="22"/>
              </w:rPr>
              <w:t>1</w:t>
            </w:r>
          </w:p>
        </w:tc>
        <w:tc>
          <w:tcPr>
            <w:tcW w:w="7881" w:type="dxa"/>
            <w:tcBorders>
              <w:top w:val="single" w:sz="6" w:space="0" w:color="000000"/>
              <w:bottom w:val="single" w:sz="6" w:space="0" w:color="000000"/>
            </w:tcBorders>
          </w:tcPr>
          <w:p>
            <w:pPr>
              <w:pStyle w:val="TableParagraph"/>
              <w:spacing w:before="74"/>
              <w:ind w:left="81"/>
              <w:rPr>
                <w:rFonts w:ascii="Corbel"/>
                <w:sz w:val="22"/>
              </w:rPr>
            </w:pPr>
            <w:r>
              <w:rPr>
                <w:rFonts w:ascii="Corbel"/>
                <w:sz w:val="22"/>
              </w:rPr>
              <w:t>Arreglo de la Calle: Carrillo Puerto, Colonia Centro, en Magdalena.</w:t>
            </w:r>
          </w:p>
        </w:tc>
      </w:tr>
      <w:tr>
        <w:trPr>
          <w:trHeight w:val="733" w:hRule="atLeast"/>
        </w:trPr>
        <w:tc>
          <w:tcPr>
            <w:tcW w:w="1099" w:type="dxa"/>
            <w:tcBorders>
              <w:top w:val="single" w:sz="6" w:space="0" w:color="000000"/>
              <w:bottom w:val="single" w:sz="6" w:space="0" w:color="000000"/>
            </w:tcBorders>
          </w:tcPr>
          <w:p>
            <w:pPr>
              <w:pStyle w:val="TableParagraph"/>
              <w:spacing w:before="77"/>
              <w:ind w:left="79"/>
              <w:rPr>
                <w:sz w:val="22"/>
              </w:rPr>
            </w:pPr>
            <w:r>
              <w:rPr>
                <w:w w:val="100"/>
                <w:sz w:val="22"/>
              </w:rPr>
              <w:t>2</w:t>
            </w:r>
          </w:p>
        </w:tc>
        <w:tc>
          <w:tcPr>
            <w:tcW w:w="7881" w:type="dxa"/>
            <w:tcBorders>
              <w:top w:val="single" w:sz="6" w:space="0" w:color="000000"/>
              <w:bottom w:val="single" w:sz="6" w:space="0" w:color="000000"/>
            </w:tcBorders>
          </w:tcPr>
          <w:p>
            <w:pPr>
              <w:pStyle w:val="TableParagraph"/>
              <w:spacing w:before="74"/>
              <w:ind w:left="81" w:right="340"/>
              <w:rPr>
                <w:rFonts w:ascii="Corbel" w:hAnsi="Corbel"/>
                <w:sz w:val="22"/>
              </w:rPr>
            </w:pPr>
            <w:r>
              <w:rPr>
                <w:rFonts w:ascii="Corbel" w:hAnsi="Corbel"/>
                <w:sz w:val="22"/>
              </w:rPr>
              <w:t>Arreglo de la Calle: Vicente Ceseña, (entre la calle Lorenzo Gutiérrez y Abel Moret) Colonia Miguel Hidalgo, en Magdalena.</w:t>
            </w:r>
          </w:p>
        </w:tc>
      </w:tr>
      <w:tr>
        <w:trPr>
          <w:trHeight w:val="606" w:hRule="atLeast"/>
        </w:trPr>
        <w:tc>
          <w:tcPr>
            <w:tcW w:w="1099" w:type="dxa"/>
            <w:tcBorders>
              <w:top w:val="single" w:sz="6" w:space="0" w:color="000000"/>
              <w:bottom w:val="single" w:sz="6" w:space="0" w:color="000000"/>
            </w:tcBorders>
          </w:tcPr>
          <w:p>
            <w:pPr>
              <w:pStyle w:val="TableParagraph"/>
              <w:spacing w:before="79"/>
              <w:ind w:left="79"/>
              <w:rPr>
                <w:sz w:val="22"/>
              </w:rPr>
            </w:pPr>
            <w:r>
              <w:rPr>
                <w:w w:val="100"/>
                <w:sz w:val="22"/>
              </w:rPr>
              <w:t>3</w:t>
            </w:r>
          </w:p>
        </w:tc>
        <w:tc>
          <w:tcPr>
            <w:tcW w:w="7881" w:type="dxa"/>
            <w:tcBorders>
              <w:top w:val="single" w:sz="6" w:space="0" w:color="000000"/>
              <w:bottom w:val="single" w:sz="6" w:space="0" w:color="000000"/>
            </w:tcBorders>
          </w:tcPr>
          <w:p>
            <w:pPr>
              <w:pStyle w:val="TableParagraph"/>
              <w:spacing w:before="77"/>
              <w:ind w:left="81"/>
              <w:rPr>
                <w:rFonts w:ascii="Corbel" w:hAnsi="Corbel"/>
                <w:sz w:val="22"/>
              </w:rPr>
            </w:pPr>
            <w:r>
              <w:rPr>
                <w:rFonts w:ascii="Corbel" w:hAnsi="Corbel"/>
                <w:sz w:val="22"/>
              </w:rPr>
              <w:t>Arreglo de la Calle: Constitución, Colonia La Estación, en Magdalena.</w:t>
            </w:r>
          </w:p>
        </w:tc>
      </w:tr>
      <w:tr>
        <w:trPr>
          <w:trHeight w:val="734" w:hRule="atLeast"/>
        </w:trPr>
        <w:tc>
          <w:tcPr>
            <w:tcW w:w="1099" w:type="dxa"/>
            <w:tcBorders>
              <w:top w:val="single" w:sz="6" w:space="0" w:color="000000"/>
              <w:bottom w:val="single" w:sz="6" w:space="0" w:color="000000"/>
            </w:tcBorders>
          </w:tcPr>
          <w:p>
            <w:pPr>
              <w:pStyle w:val="TableParagraph"/>
              <w:spacing w:before="77"/>
              <w:ind w:left="79"/>
              <w:rPr>
                <w:sz w:val="22"/>
              </w:rPr>
            </w:pPr>
            <w:r>
              <w:rPr>
                <w:w w:val="100"/>
                <w:sz w:val="22"/>
              </w:rPr>
              <w:t>4</w:t>
            </w:r>
          </w:p>
        </w:tc>
        <w:tc>
          <w:tcPr>
            <w:tcW w:w="7881" w:type="dxa"/>
            <w:tcBorders>
              <w:top w:val="single" w:sz="6" w:space="0" w:color="000000"/>
              <w:bottom w:val="single" w:sz="6" w:space="0" w:color="000000"/>
            </w:tcBorders>
          </w:tcPr>
          <w:p>
            <w:pPr>
              <w:pStyle w:val="TableParagraph"/>
              <w:spacing w:before="74"/>
              <w:ind w:left="81"/>
              <w:rPr>
                <w:rFonts w:ascii="Corbel" w:hAnsi="Corbel"/>
                <w:sz w:val="22"/>
              </w:rPr>
            </w:pPr>
            <w:r>
              <w:rPr>
                <w:rFonts w:ascii="Corbel" w:hAnsi="Corbel"/>
                <w:sz w:val="22"/>
              </w:rPr>
              <w:t>Arreglo de la Calle: Emiliano Zapata, Delegación La Quemada, Magdalena.</w:t>
            </w:r>
          </w:p>
        </w:tc>
      </w:tr>
      <w:tr>
        <w:trPr>
          <w:trHeight w:val="606" w:hRule="atLeast"/>
        </w:trPr>
        <w:tc>
          <w:tcPr>
            <w:tcW w:w="1099" w:type="dxa"/>
            <w:tcBorders>
              <w:top w:val="single" w:sz="6" w:space="0" w:color="000000"/>
              <w:bottom w:val="single" w:sz="6" w:space="0" w:color="000000"/>
            </w:tcBorders>
          </w:tcPr>
          <w:p>
            <w:pPr>
              <w:pStyle w:val="TableParagraph"/>
              <w:spacing w:before="79"/>
              <w:ind w:left="79"/>
              <w:rPr>
                <w:sz w:val="22"/>
              </w:rPr>
            </w:pPr>
            <w:r>
              <w:rPr>
                <w:w w:val="100"/>
                <w:sz w:val="22"/>
              </w:rPr>
              <w:t>5</w:t>
            </w:r>
          </w:p>
        </w:tc>
        <w:tc>
          <w:tcPr>
            <w:tcW w:w="7881" w:type="dxa"/>
            <w:tcBorders>
              <w:top w:val="single" w:sz="6" w:space="0" w:color="000000"/>
              <w:bottom w:val="single" w:sz="6" w:space="0" w:color="000000"/>
            </w:tcBorders>
          </w:tcPr>
          <w:p>
            <w:pPr>
              <w:pStyle w:val="TableParagraph"/>
              <w:spacing w:before="77"/>
              <w:ind w:left="81"/>
              <w:rPr>
                <w:rFonts w:ascii="Corbel"/>
                <w:sz w:val="22"/>
              </w:rPr>
            </w:pPr>
            <w:r>
              <w:rPr>
                <w:rFonts w:ascii="Corbel"/>
                <w:sz w:val="22"/>
              </w:rPr>
              <w:t>Arreglo de la Calle: Calvario, Colonia El Cerrito, en Magdalena.</w:t>
            </w:r>
          </w:p>
        </w:tc>
      </w:tr>
      <w:tr>
        <w:trPr>
          <w:trHeight w:val="606" w:hRule="atLeast"/>
        </w:trPr>
        <w:tc>
          <w:tcPr>
            <w:tcW w:w="1099" w:type="dxa"/>
            <w:tcBorders>
              <w:top w:val="single" w:sz="6" w:space="0" w:color="000000"/>
              <w:bottom w:val="single" w:sz="6" w:space="0" w:color="000000"/>
            </w:tcBorders>
          </w:tcPr>
          <w:p>
            <w:pPr>
              <w:pStyle w:val="TableParagraph"/>
              <w:spacing w:before="79"/>
              <w:ind w:left="79"/>
              <w:rPr>
                <w:sz w:val="22"/>
              </w:rPr>
            </w:pPr>
            <w:r>
              <w:rPr>
                <w:w w:val="100"/>
                <w:sz w:val="22"/>
              </w:rPr>
              <w:t>6</w:t>
            </w:r>
          </w:p>
        </w:tc>
        <w:tc>
          <w:tcPr>
            <w:tcW w:w="7881" w:type="dxa"/>
            <w:tcBorders>
              <w:top w:val="single" w:sz="6" w:space="0" w:color="000000"/>
              <w:bottom w:val="single" w:sz="6" w:space="0" w:color="000000"/>
            </w:tcBorders>
          </w:tcPr>
          <w:p>
            <w:pPr>
              <w:pStyle w:val="TableParagraph"/>
              <w:spacing w:before="77"/>
              <w:ind w:left="81"/>
              <w:rPr>
                <w:rFonts w:ascii="Corbel"/>
                <w:sz w:val="22"/>
              </w:rPr>
            </w:pPr>
            <w:r>
              <w:rPr>
                <w:rFonts w:ascii="Corbel"/>
                <w:sz w:val="22"/>
              </w:rPr>
              <w:t>Arreglo de la Calle: Abel Salgado, Colonia Los Fresnos, en Magdalena.</w:t>
            </w:r>
          </w:p>
        </w:tc>
      </w:tr>
      <w:tr>
        <w:trPr>
          <w:trHeight w:val="736" w:hRule="atLeast"/>
        </w:trPr>
        <w:tc>
          <w:tcPr>
            <w:tcW w:w="1099" w:type="dxa"/>
            <w:tcBorders>
              <w:top w:val="single" w:sz="6" w:space="0" w:color="000000"/>
              <w:bottom w:val="single" w:sz="6" w:space="0" w:color="000000"/>
            </w:tcBorders>
          </w:tcPr>
          <w:p>
            <w:pPr>
              <w:pStyle w:val="TableParagraph"/>
              <w:spacing w:before="77"/>
              <w:ind w:left="79"/>
              <w:rPr>
                <w:sz w:val="22"/>
              </w:rPr>
            </w:pPr>
            <w:r>
              <w:rPr>
                <w:w w:val="100"/>
                <w:sz w:val="22"/>
              </w:rPr>
              <w:t>7</w:t>
            </w:r>
          </w:p>
        </w:tc>
        <w:tc>
          <w:tcPr>
            <w:tcW w:w="7881" w:type="dxa"/>
            <w:tcBorders>
              <w:top w:val="single" w:sz="6" w:space="0" w:color="000000"/>
              <w:bottom w:val="single" w:sz="6" w:space="0" w:color="000000"/>
            </w:tcBorders>
          </w:tcPr>
          <w:p>
            <w:pPr>
              <w:pStyle w:val="TableParagraph"/>
              <w:spacing w:before="74"/>
              <w:ind w:left="81" w:right="340"/>
              <w:rPr>
                <w:rFonts w:ascii="Corbel" w:hAnsi="Corbel"/>
                <w:sz w:val="22"/>
              </w:rPr>
            </w:pPr>
            <w:r>
              <w:rPr>
                <w:rFonts w:ascii="Corbel" w:hAnsi="Corbel"/>
                <w:sz w:val="22"/>
              </w:rPr>
              <w:t>Arreglo primera etapa de la Calle: Prisciliano Sánchez, Delegación La Joya, Magdalena.</w:t>
            </w:r>
          </w:p>
        </w:tc>
      </w:tr>
    </w:tbl>
    <w:p>
      <w:pPr>
        <w:spacing w:after="0"/>
        <w:rPr>
          <w:rFonts w:ascii="Corbel" w:hAnsi="Corbel"/>
          <w:sz w:val="22"/>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7881"/>
      </w:tblGrid>
      <w:tr>
        <w:trPr>
          <w:trHeight w:val="737" w:hRule="atLeast"/>
        </w:trPr>
        <w:tc>
          <w:tcPr>
            <w:tcW w:w="1099" w:type="dxa"/>
            <w:tcBorders>
              <w:bottom w:val="single" w:sz="6" w:space="0" w:color="000000"/>
            </w:tcBorders>
          </w:tcPr>
          <w:p>
            <w:pPr>
              <w:pStyle w:val="TableParagraph"/>
              <w:spacing w:before="81"/>
              <w:ind w:left="79"/>
              <w:rPr>
                <w:sz w:val="22"/>
              </w:rPr>
            </w:pPr>
            <w:r>
              <w:rPr>
                <w:w w:val="100"/>
                <w:sz w:val="22"/>
              </w:rPr>
              <w:t>8</w:t>
            </w:r>
          </w:p>
        </w:tc>
        <w:tc>
          <w:tcPr>
            <w:tcW w:w="7881" w:type="dxa"/>
            <w:tcBorders>
              <w:bottom w:val="single" w:sz="6" w:space="0" w:color="000000"/>
            </w:tcBorders>
          </w:tcPr>
          <w:p>
            <w:pPr>
              <w:pStyle w:val="TableParagraph"/>
              <w:spacing w:before="78"/>
              <w:ind w:left="81"/>
              <w:rPr>
                <w:rFonts w:ascii="Corbel"/>
                <w:sz w:val="22"/>
              </w:rPr>
            </w:pPr>
            <w:r>
              <w:rPr>
                <w:rFonts w:ascii="Corbel"/>
                <w:sz w:val="22"/>
              </w:rPr>
              <w:t>Arreglo de la Calle: Hidalgo Oriente, Colonia Los Llanitos, en Magdalena.</w:t>
            </w:r>
          </w:p>
        </w:tc>
      </w:tr>
      <w:tr>
        <w:trPr>
          <w:trHeight w:val="604" w:hRule="atLeast"/>
        </w:trPr>
        <w:tc>
          <w:tcPr>
            <w:tcW w:w="1099" w:type="dxa"/>
            <w:tcBorders>
              <w:top w:val="single" w:sz="6" w:space="0" w:color="000000"/>
              <w:bottom w:val="single" w:sz="6" w:space="0" w:color="000000"/>
            </w:tcBorders>
          </w:tcPr>
          <w:p>
            <w:pPr>
              <w:pStyle w:val="TableParagraph"/>
              <w:spacing w:before="77"/>
              <w:ind w:left="79"/>
              <w:rPr>
                <w:sz w:val="22"/>
              </w:rPr>
            </w:pPr>
            <w:r>
              <w:rPr>
                <w:w w:val="100"/>
                <w:sz w:val="22"/>
              </w:rPr>
              <w:t>9</w:t>
            </w:r>
          </w:p>
        </w:tc>
        <w:tc>
          <w:tcPr>
            <w:tcW w:w="7881" w:type="dxa"/>
            <w:tcBorders>
              <w:top w:val="single" w:sz="6" w:space="0" w:color="000000"/>
              <w:bottom w:val="single" w:sz="6" w:space="0" w:color="000000"/>
            </w:tcBorders>
          </w:tcPr>
          <w:p>
            <w:pPr>
              <w:pStyle w:val="TableParagraph"/>
              <w:spacing w:before="74"/>
              <w:ind w:left="81"/>
              <w:rPr>
                <w:rFonts w:ascii="Corbel"/>
                <w:sz w:val="22"/>
              </w:rPr>
            </w:pPr>
            <w:r>
              <w:rPr>
                <w:rFonts w:ascii="Corbel"/>
                <w:sz w:val="22"/>
              </w:rPr>
              <w:t>Arreglo de la Calle: Ejido, Colonia Los Espinos, en Magdalena</w:t>
            </w:r>
          </w:p>
        </w:tc>
      </w:tr>
      <w:tr>
        <w:trPr>
          <w:trHeight w:val="757"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10</w:t>
            </w:r>
          </w:p>
        </w:tc>
        <w:tc>
          <w:tcPr>
            <w:tcW w:w="7881" w:type="dxa"/>
            <w:tcBorders>
              <w:top w:val="single" w:sz="6" w:space="0" w:color="000000"/>
              <w:bottom w:val="single" w:sz="6" w:space="0" w:color="000000"/>
            </w:tcBorders>
          </w:tcPr>
          <w:p>
            <w:pPr>
              <w:pStyle w:val="TableParagraph"/>
              <w:spacing w:before="77"/>
              <w:ind w:left="81"/>
              <w:rPr>
                <w:rFonts w:ascii="Corbel"/>
                <w:sz w:val="22"/>
              </w:rPr>
            </w:pPr>
            <w:r>
              <w:rPr>
                <w:rFonts w:ascii="Corbel"/>
                <w:sz w:val="22"/>
              </w:rPr>
              <w:t>Arreglo de la Calle: Chinampas, Colonia Nueva Xochitepec, en Magdalena.</w:t>
            </w:r>
          </w:p>
        </w:tc>
      </w:tr>
      <w:tr>
        <w:trPr>
          <w:trHeight w:val="606" w:hRule="atLeast"/>
        </w:trPr>
        <w:tc>
          <w:tcPr>
            <w:tcW w:w="1099" w:type="dxa"/>
            <w:tcBorders>
              <w:top w:val="single" w:sz="6" w:space="0" w:color="000000"/>
              <w:bottom w:val="single" w:sz="6" w:space="0" w:color="000000"/>
            </w:tcBorders>
          </w:tcPr>
          <w:p>
            <w:pPr>
              <w:pStyle w:val="TableParagraph"/>
              <w:spacing w:before="77"/>
              <w:ind w:left="79"/>
              <w:rPr>
                <w:sz w:val="22"/>
              </w:rPr>
            </w:pPr>
            <w:r>
              <w:rPr>
                <w:sz w:val="22"/>
              </w:rPr>
              <w:t>11</w:t>
            </w:r>
          </w:p>
        </w:tc>
        <w:tc>
          <w:tcPr>
            <w:tcW w:w="7881" w:type="dxa"/>
            <w:tcBorders>
              <w:top w:val="single" w:sz="6" w:space="0" w:color="000000"/>
              <w:bottom w:val="single" w:sz="6" w:space="0" w:color="000000"/>
            </w:tcBorders>
          </w:tcPr>
          <w:p>
            <w:pPr>
              <w:pStyle w:val="TableParagraph"/>
              <w:spacing w:before="74"/>
              <w:ind w:left="81"/>
              <w:rPr>
                <w:rFonts w:ascii="Corbel" w:hAnsi="Corbel"/>
                <w:sz w:val="22"/>
              </w:rPr>
            </w:pPr>
            <w:r>
              <w:rPr>
                <w:rFonts w:ascii="Corbel" w:hAnsi="Corbel"/>
                <w:sz w:val="22"/>
              </w:rPr>
              <w:t>Arreglo de la Calle: Ramón Corona, Colonia El Cerrito, en Magdalena.</w:t>
            </w:r>
          </w:p>
        </w:tc>
      </w:tr>
      <w:tr>
        <w:trPr>
          <w:trHeight w:val="606" w:hRule="atLeast"/>
        </w:trPr>
        <w:tc>
          <w:tcPr>
            <w:tcW w:w="1099" w:type="dxa"/>
            <w:tcBorders>
              <w:top w:val="single" w:sz="6" w:space="0" w:color="000000"/>
              <w:bottom w:val="single" w:sz="6" w:space="0" w:color="000000"/>
            </w:tcBorders>
          </w:tcPr>
          <w:p>
            <w:pPr>
              <w:pStyle w:val="TableParagraph"/>
              <w:spacing w:before="77"/>
              <w:ind w:left="79"/>
              <w:rPr>
                <w:sz w:val="22"/>
              </w:rPr>
            </w:pPr>
            <w:r>
              <w:rPr>
                <w:sz w:val="22"/>
              </w:rPr>
              <w:t>12</w:t>
            </w:r>
          </w:p>
        </w:tc>
        <w:tc>
          <w:tcPr>
            <w:tcW w:w="7881" w:type="dxa"/>
            <w:tcBorders>
              <w:top w:val="single" w:sz="6" w:space="0" w:color="000000"/>
              <w:bottom w:val="single" w:sz="6" w:space="0" w:color="000000"/>
            </w:tcBorders>
          </w:tcPr>
          <w:p>
            <w:pPr>
              <w:pStyle w:val="TableParagraph"/>
              <w:spacing w:before="74"/>
              <w:ind w:left="81"/>
              <w:rPr>
                <w:rFonts w:ascii="Corbel"/>
                <w:sz w:val="22"/>
              </w:rPr>
            </w:pPr>
            <w:r>
              <w:rPr>
                <w:rFonts w:ascii="Corbel"/>
                <w:sz w:val="22"/>
              </w:rPr>
              <w:t>Arreglo de la Calle: 5 de Febrero, Colonia El Cerrito, en Magdalena.</w:t>
            </w:r>
          </w:p>
        </w:tc>
      </w:tr>
      <w:tr>
        <w:trPr>
          <w:trHeight w:val="734" w:hRule="atLeast"/>
        </w:trPr>
        <w:tc>
          <w:tcPr>
            <w:tcW w:w="1099" w:type="dxa"/>
            <w:tcBorders>
              <w:top w:val="single" w:sz="6" w:space="0" w:color="000000"/>
              <w:bottom w:val="single" w:sz="6" w:space="0" w:color="000000"/>
            </w:tcBorders>
          </w:tcPr>
          <w:p>
            <w:pPr>
              <w:pStyle w:val="TableParagraph"/>
              <w:spacing w:before="78"/>
              <w:ind w:left="79"/>
              <w:rPr>
                <w:sz w:val="22"/>
              </w:rPr>
            </w:pPr>
            <w:r>
              <w:rPr>
                <w:sz w:val="22"/>
              </w:rPr>
              <w:t>13</w:t>
            </w:r>
          </w:p>
        </w:tc>
        <w:tc>
          <w:tcPr>
            <w:tcW w:w="7881" w:type="dxa"/>
            <w:tcBorders>
              <w:top w:val="single" w:sz="6" w:space="0" w:color="000000"/>
              <w:bottom w:val="single" w:sz="6" w:space="0" w:color="000000"/>
            </w:tcBorders>
          </w:tcPr>
          <w:p>
            <w:pPr>
              <w:pStyle w:val="TableParagraph"/>
              <w:spacing w:before="75"/>
              <w:ind w:left="81"/>
              <w:rPr>
                <w:rFonts w:ascii="Corbel" w:hAnsi="Corbel"/>
                <w:sz w:val="22"/>
              </w:rPr>
            </w:pPr>
            <w:r>
              <w:rPr>
                <w:rFonts w:ascii="Corbel" w:hAnsi="Corbel"/>
                <w:sz w:val="22"/>
              </w:rPr>
              <w:t>Arreglo de la calle: López Mateos, Delegación Ojo Zarco, comunidad de magdalena</w:t>
            </w:r>
          </w:p>
        </w:tc>
      </w:tr>
      <w:tr>
        <w:trPr>
          <w:trHeight w:val="606"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14</w:t>
            </w:r>
          </w:p>
        </w:tc>
        <w:tc>
          <w:tcPr>
            <w:tcW w:w="7881" w:type="dxa"/>
            <w:tcBorders>
              <w:top w:val="single" w:sz="6" w:space="0" w:color="000000"/>
              <w:bottom w:val="single" w:sz="6" w:space="0" w:color="000000"/>
            </w:tcBorders>
          </w:tcPr>
          <w:p>
            <w:pPr>
              <w:pStyle w:val="TableParagraph"/>
              <w:spacing w:before="77"/>
              <w:ind w:left="81"/>
              <w:rPr>
                <w:rFonts w:ascii="Corbel"/>
                <w:sz w:val="22"/>
              </w:rPr>
            </w:pPr>
            <w:r>
              <w:rPr>
                <w:rFonts w:ascii="Corbel"/>
                <w:sz w:val="22"/>
              </w:rPr>
              <w:t>Zampeado de canal y Andador Avenida Juan Pablo II</w:t>
            </w:r>
          </w:p>
        </w:tc>
      </w:tr>
      <w:tr>
        <w:trPr>
          <w:trHeight w:val="733" w:hRule="atLeast"/>
        </w:trPr>
        <w:tc>
          <w:tcPr>
            <w:tcW w:w="1099" w:type="dxa"/>
            <w:tcBorders>
              <w:top w:val="single" w:sz="6" w:space="0" w:color="000000"/>
              <w:bottom w:val="single" w:sz="6" w:space="0" w:color="000000"/>
            </w:tcBorders>
          </w:tcPr>
          <w:p>
            <w:pPr>
              <w:pStyle w:val="TableParagraph"/>
              <w:spacing w:before="77"/>
              <w:ind w:left="79"/>
              <w:rPr>
                <w:sz w:val="22"/>
              </w:rPr>
            </w:pPr>
            <w:r>
              <w:rPr>
                <w:sz w:val="22"/>
              </w:rPr>
              <w:t>15</w:t>
            </w:r>
          </w:p>
        </w:tc>
        <w:tc>
          <w:tcPr>
            <w:tcW w:w="7881" w:type="dxa"/>
            <w:tcBorders>
              <w:top w:val="single" w:sz="6" w:space="0" w:color="000000"/>
              <w:bottom w:val="single" w:sz="6" w:space="0" w:color="000000"/>
            </w:tcBorders>
          </w:tcPr>
          <w:p>
            <w:pPr>
              <w:pStyle w:val="TableParagraph"/>
              <w:spacing w:before="74"/>
              <w:ind w:left="81" w:right="961"/>
              <w:rPr>
                <w:rFonts w:ascii="Corbel" w:hAnsi="Corbel"/>
                <w:sz w:val="22"/>
              </w:rPr>
            </w:pPr>
            <w:r>
              <w:rPr>
                <w:rFonts w:ascii="Corbel" w:hAnsi="Corbel"/>
                <w:sz w:val="22"/>
              </w:rPr>
              <w:t>Rehabilitación y mantenimiento de empedrados en la Cabecera Municipal y localidades.</w:t>
            </w:r>
          </w:p>
        </w:tc>
      </w:tr>
      <w:tr>
        <w:trPr>
          <w:trHeight w:val="736"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16</w:t>
            </w:r>
          </w:p>
        </w:tc>
        <w:tc>
          <w:tcPr>
            <w:tcW w:w="7881" w:type="dxa"/>
            <w:tcBorders>
              <w:top w:val="single" w:sz="6" w:space="0" w:color="000000"/>
              <w:bottom w:val="single" w:sz="6" w:space="0" w:color="000000"/>
            </w:tcBorders>
          </w:tcPr>
          <w:p>
            <w:pPr>
              <w:pStyle w:val="TableParagraph"/>
              <w:spacing w:before="77"/>
              <w:ind w:left="81" w:right="148"/>
              <w:rPr>
                <w:rFonts w:ascii="Corbel" w:hAnsi="Corbel"/>
                <w:sz w:val="22"/>
              </w:rPr>
            </w:pPr>
            <w:r>
              <w:rPr>
                <w:rFonts w:ascii="Corbel" w:hAnsi="Corbel"/>
                <w:sz w:val="22"/>
              </w:rPr>
              <w:t>Continuación con los andadores y baquetones hasta el Hospital Regional del lado sur de la Carretera en la Avenida Manuel Ávila Camacho.</w:t>
            </w:r>
          </w:p>
        </w:tc>
      </w:tr>
      <w:tr>
        <w:trPr>
          <w:trHeight w:val="1099" w:hRule="atLeast"/>
        </w:trPr>
        <w:tc>
          <w:tcPr>
            <w:tcW w:w="1099" w:type="dxa"/>
            <w:tcBorders>
              <w:top w:val="single" w:sz="6" w:space="0" w:color="000000"/>
              <w:bottom w:val="single" w:sz="6" w:space="0" w:color="000000"/>
            </w:tcBorders>
          </w:tcPr>
          <w:p>
            <w:pPr>
              <w:pStyle w:val="TableParagraph"/>
              <w:spacing w:before="77"/>
              <w:ind w:left="79"/>
              <w:rPr>
                <w:sz w:val="22"/>
              </w:rPr>
            </w:pPr>
            <w:r>
              <w:rPr>
                <w:sz w:val="22"/>
              </w:rPr>
              <w:t>17</w:t>
            </w:r>
          </w:p>
        </w:tc>
        <w:tc>
          <w:tcPr>
            <w:tcW w:w="7881" w:type="dxa"/>
            <w:tcBorders>
              <w:top w:val="single" w:sz="6" w:space="0" w:color="000000"/>
              <w:bottom w:val="single" w:sz="6" w:space="0" w:color="000000"/>
            </w:tcBorders>
          </w:tcPr>
          <w:p>
            <w:pPr>
              <w:pStyle w:val="TableParagraph"/>
              <w:spacing w:line="276" w:lineRule="auto" w:before="74"/>
              <w:ind w:left="81" w:right="80"/>
              <w:rPr>
                <w:rFonts w:ascii="Corbel" w:hAnsi="Corbel"/>
                <w:sz w:val="22"/>
              </w:rPr>
            </w:pPr>
            <w:r>
              <w:rPr>
                <w:rFonts w:ascii="Corbel" w:hAnsi="Corbel"/>
                <w:sz w:val="22"/>
              </w:rPr>
              <w:t>Empedrado ahogado en concreto en la Avenida Ávila Camacho en el lado lateral sur a la carretera</w:t>
            </w:r>
          </w:p>
        </w:tc>
      </w:tr>
      <w:tr>
        <w:trPr>
          <w:trHeight w:val="853"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18</w:t>
            </w:r>
          </w:p>
        </w:tc>
        <w:tc>
          <w:tcPr>
            <w:tcW w:w="7881" w:type="dxa"/>
            <w:tcBorders>
              <w:top w:val="single" w:sz="6" w:space="0" w:color="000000"/>
              <w:bottom w:val="single" w:sz="6" w:space="0" w:color="000000"/>
            </w:tcBorders>
          </w:tcPr>
          <w:p>
            <w:pPr>
              <w:pStyle w:val="TableParagraph"/>
              <w:spacing w:line="273" w:lineRule="auto" w:before="77"/>
              <w:ind w:left="81" w:right="163"/>
              <w:rPr>
                <w:rFonts w:ascii="Corbel"/>
                <w:sz w:val="22"/>
              </w:rPr>
            </w:pPr>
            <w:r>
              <w:rPr>
                <w:rFonts w:ascii="Corbel"/>
                <w:sz w:val="22"/>
              </w:rPr>
              <w:t>Arreglo de la Calle: Venustiano Carranza, Colonia Los Llanitos, y el tramo faltante de la Colonia San Pedro, Magdalena.</w:t>
            </w:r>
          </w:p>
        </w:tc>
      </w:tr>
      <w:tr>
        <w:trPr>
          <w:trHeight w:val="604" w:hRule="atLeast"/>
        </w:trPr>
        <w:tc>
          <w:tcPr>
            <w:tcW w:w="1099" w:type="dxa"/>
            <w:tcBorders>
              <w:top w:val="single" w:sz="6" w:space="0" w:color="000000"/>
              <w:bottom w:val="single" w:sz="6" w:space="0" w:color="000000"/>
            </w:tcBorders>
          </w:tcPr>
          <w:p>
            <w:pPr>
              <w:pStyle w:val="TableParagraph"/>
              <w:spacing w:before="77"/>
              <w:ind w:left="79"/>
              <w:rPr>
                <w:sz w:val="22"/>
              </w:rPr>
            </w:pPr>
            <w:r>
              <w:rPr>
                <w:sz w:val="22"/>
              </w:rPr>
              <w:t>19</w:t>
            </w:r>
          </w:p>
        </w:tc>
        <w:tc>
          <w:tcPr>
            <w:tcW w:w="7881" w:type="dxa"/>
            <w:tcBorders>
              <w:top w:val="single" w:sz="6" w:space="0" w:color="000000"/>
              <w:bottom w:val="single" w:sz="6" w:space="0" w:color="000000"/>
            </w:tcBorders>
          </w:tcPr>
          <w:p>
            <w:pPr>
              <w:pStyle w:val="TableParagraph"/>
              <w:spacing w:before="74"/>
              <w:ind w:left="81"/>
              <w:rPr>
                <w:rFonts w:ascii="Corbel"/>
                <w:sz w:val="22"/>
              </w:rPr>
            </w:pPr>
            <w:r>
              <w:rPr>
                <w:rFonts w:ascii="Corbel"/>
                <w:sz w:val="22"/>
              </w:rPr>
              <w:t>Arreglo de la Calle: Iturbide, Colonia El Centro, Magdalena.</w:t>
            </w:r>
          </w:p>
        </w:tc>
      </w:tr>
      <w:tr>
        <w:trPr>
          <w:trHeight w:val="851"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20</w:t>
            </w:r>
          </w:p>
        </w:tc>
        <w:tc>
          <w:tcPr>
            <w:tcW w:w="7881" w:type="dxa"/>
            <w:tcBorders>
              <w:top w:val="single" w:sz="6" w:space="0" w:color="000000"/>
              <w:bottom w:val="single" w:sz="6" w:space="0" w:color="000000"/>
            </w:tcBorders>
          </w:tcPr>
          <w:p>
            <w:pPr>
              <w:pStyle w:val="TableParagraph"/>
              <w:spacing w:before="77"/>
              <w:ind w:left="81"/>
              <w:rPr>
                <w:rFonts w:ascii="Corbel"/>
                <w:sz w:val="22"/>
              </w:rPr>
            </w:pPr>
            <w:r>
              <w:rPr>
                <w:rFonts w:ascii="Corbel"/>
                <w:sz w:val="22"/>
              </w:rPr>
              <w:t>Arreglo de la Calle: Tomas Orendain, Colonia El Centro, magdalena.</w:t>
            </w:r>
          </w:p>
        </w:tc>
      </w:tr>
    </w:tbl>
    <w:p>
      <w:pPr>
        <w:pStyle w:val="BodyText"/>
        <w:rPr>
          <w:rFonts w:ascii="Times New Roman"/>
          <w:sz w:val="20"/>
        </w:rPr>
      </w:pPr>
    </w:p>
    <w:p>
      <w:pPr>
        <w:pStyle w:val="BodyText"/>
        <w:spacing w:before="6"/>
        <w:rPr>
          <w:rFonts w:ascii="Times New Roman"/>
          <w:sz w:val="17"/>
        </w:rPr>
      </w:pPr>
    </w:p>
    <w:tbl>
      <w:tblPr>
        <w:tblW w:w="0" w:type="auto"/>
        <w:jc w:val="left"/>
        <w:tblInd w:w="1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2"/>
        <w:gridCol w:w="7984"/>
      </w:tblGrid>
      <w:tr>
        <w:trPr>
          <w:trHeight w:val="1028" w:hRule="atLeast"/>
        </w:trPr>
        <w:tc>
          <w:tcPr>
            <w:tcW w:w="8966" w:type="dxa"/>
            <w:gridSpan w:val="2"/>
            <w:tcBorders>
              <w:bottom w:val="single" w:sz="6" w:space="0" w:color="000000"/>
            </w:tcBorders>
            <w:shd w:val="clear" w:color="auto" w:fill="C2D59B"/>
          </w:tcPr>
          <w:p>
            <w:pPr>
              <w:pStyle w:val="TableParagraph"/>
              <w:spacing w:before="5"/>
              <w:rPr>
                <w:rFonts w:ascii="Times New Roman"/>
                <w:sz w:val="30"/>
              </w:rPr>
            </w:pPr>
          </w:p>
          <w:p>
            <w:pPr>
              <w:pStyle w:val="TableParagraph"/>
              <w:ind w:left="3794"/>
              <w:rPr>
                <w:sz w:val="22"/>
              </w:rPr>
            </w:pPr>
            <w:r>
              <w:rPr>
                <w:sz w:val="22"/>
              </w:rPr>
              <w:t>PUENTES VEHICULARES</w:t>
            </w:r>
          </w:p>
        </w:tc>
      </w:tr>
      <w:tr>
        <w:trPr>
          <w:trHeight w:val="745" w:hRule="atLeast"/>
        </w:trPr>
        <w:tc>
          <w:tcPr>
            <w:tcW w:w="982" w:type="dxa"/>
            <w:tcBorders>
              <w:top w:val="single" w:sz="6" w:space="0" w:color="000000"/>
              <w:bottom w:val="single" w:sz="6" w:space="0" w:color="000000"/>
            </w:tcBorders>
          </w:tcPr>
          <w:p>
            <w:pPr>
              <w:pStyle w:val="TableParagraph"/>
              <w:spacing w:before="79"/>
              <w:ind w:left="79"/>
              <w:rPr>
                <w:sz w:val="22"/>
              </w:rPr>
            </w:pPr>
            <w:r>
              <w:rPr>
                <w:sz w:val="22"/>
              </w:rPr>
              <w:t>21</w:t>
            </w:r>
          </w:p>
        </w:tc>
        <w:tc>
          <w:tcPr>
            <w:tcW w:w="7984" w:type="dxa"/>
            <w:tcBorders>
              <w:top w:val="single" w:sz="6" w:space="0" w:color="000000"/>
              <w:bottom w:val="single" w:sz="6" w:space="0" w:color="000000"/>
            </w:tcBorders>
          </w:tcPr>
          <w:p>
            <w:pPr>
              <w:pStyle w:val="TableParagraph"/>
              <w:spacing w:before="74"/>
              <w:ind w:left="80" w:right="197"/>
              <w:rPr>
                <w:rFonts w:ascii="Corbel" w:hAnsi="Corbel"/>
                <w:sz w:val="22"/>
              </w:rPr>
            </w:pPr>
            <w:r>
              <w:rPr>
                <w:rFonts w:ascii="Corbel" w:hAnsi="Corbel"/>
                <w:sz w:val="22"/>
              </w:rPr>
              <w:t>Construcción de puente Vehicular con banquetas en calle Cedro, Colonia La Cofradía, en Magdalena Jal.</w:t>
            </w:r>
          </w:p>
        </w:tc>
      </w:tr>
      <w:tr>
        <w:trPr>
          <w:trHeight w:val="748" w:hRule="atLeast"/>
        </w:trPr>
        <w:tc>
          <w:tcPr>
            <w:tcW w:w="982" w:type="dxa"/>
            <w:tcBorders>
              <w:top w:val="single" w:sz="6" w:space="0" w:color="000000"/>
              <w:bottom w:val="single" w:sz="6" w:space="0" w:color="000000"/>
            </w:tcBorders>
          </w:tcPr>
          <w:p>
            <w:pPr>
              <w:pStyle w:val="TableParagraph"/>
              <w:spacing w:before="82"/>
              <w:ind w:left="79"/>
              <w:rPr>
                <w:sz w:val="22"/>
              </w:rPr>
            </w:pPr>
            <w:r>
              <w:rPr>
                <w:sz w:val="22"/>
              </w:rPr>
              <w:t>22</w:t>
            </w:r>
          </w:p>
        </w:tc>
        <w:tc>
          <w:tcPr>
            <w:tcW w:w="7984" w:type="dxa"/>
            <w:tcBorders>
              <w:top w:val="single" w:sz="6" w:space="0" w:color="000000"/>
              <w:bottom w:val="single" w:sz="6" w:space="0" w:color="000000"/>
            </w:tcBorders>
          </w:tcPr>
          <w:p>
            <w:pPr>
              <w:pStyle w:val="TableParagraph"/>
              <w:spacing w:before="77"/>
              <w:ind w:left="80" w:right="702"/>
              <w:rPr>
                <w:rFonts w:ascii="Corbel" w:hAnsi="Corbel"/>
                <w:sz w:val="22"/>
              </w:rPr>
            </w:pPr>
            <w:r>
              <w:rPr>
                <w:rFonts w:ascii="Corbel" w:hAnsi="Corbel"/>
                <w:sz w:val="22"/>
              </w:rPr>
              <w:t>Construcción de puente Vehicular con banquetas en calle Belisario Domínguez , Colonia Los Llanitos, en Magdalena Jal.</w:t>
            </w:r>
          </w:p>
        </w:tc>
      </w:tr>
    </w:tbl>
    <w:p>
      <w:pPr>
        <w:spacing w:after="0"/>
        <w:rPr>
          <w:rFonts w:ascii="Corbel" w:hAnsi="Corbel"/>
          <w:sz w:val="22"/>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1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2"/>
        <w:gridCol w:w="7984"/>
      </w:tblGrid>
      <w:tr>
        <w:trPr>
          <w:trHeight w:val="749" w:hRule="atLeast"/>
        </w:trPr>
        <w:tc>
          <w:tcPr>
            <w:tcW w:w="982" w:type="dxa"/>
            <w:tcBorders>
              <w:bottom w:val="single" w:sz="6" w:space="0" w:color="000000"/>
            </w:tcBorders>
          </w:tcPr>
          <w:p>
            <w:pPr>
              <w:pStyle w:val="TableParagraph"/>
              <w:spacing w:before="83"/>
              <w:ind w:left="79"/>
              <w:rPr>
                <w:sz w:val="22"/>
              </w:rPr>
            </w:pPr>
            <w:r>
              <w:rPr>
                <w:sz w:val="22"/>
              </w:rPr>
              <w:t>23</w:t>
            </w:r>
          </w:p>
        </w:tc>
        <w:tc>
          <w:tcPr>
            <w:tcW w:w="7984" w:type="dxa"/>
            <w:tcBorders>
              <w:bottom w:val="single" w:sz="6" w:space="0" w:color="000000"/>
            </w:tcBorders>
          </w:tcPr>
          <w:p>
            <w:pPr>
              <w:pStyle w:val="TableParagraph"/>
              <w:spacing w:line="237" w:lineRule="auto" w:before="80"/>
              <w:ind w:left="80" w:right="5"/>
              <w:rPr>
                <w:rFonts w:ascii="Corbel" w:hAnsi="Corbel"/>
                <w:sz w:val="22"/>
              </w:rPr>
            </w:pPr>
            <w:r>
              <w:rPr>
                <w:rFonts w:ascii="Corbel" w:hAnsi="Corbel"/>
                <w:sz w:val="22"/>
              </w:rPr>
              <w:t>Construcción de puente Vehicular con banquetas en calle Colón, Colonia Los Espinos, en Magdalena Jal.</w:t>
            </w:r>
          </w:p>
        </w:tc>
      </w:tr>
      <w:tr>
        <w:trPr>
          <w:trHeight w:val="745" w:hRule="atLeast"/>
        </w:trPr>
        <w:tc>
          <w:tcPr>
            <w:tcW w:w="982" w:type="dxa"/>
            <w:tcBorders>
              <w:top w:val="single" w:sz="6" w:space="0" w:color="000000"/>
              <w:bottom w:val="single" w:sz="6" w:space="0" w:color="000000"/>
            </w:tcBorders>
          </w:tcPr>
          <w:p>
            <w:pPr>
              <w:pStyle w:val="TableParagraph"/>
              <w:spacing w:before="79"/>
              <w:ind w:left="79"/>
              <w:rPr>
                <w:sz w:val="22"/>
              </w:rPr>
            </w:pPr>
            <w:r>
              <w:rPr>
                <w:sz w:val="22"/>
              </w:rPr>
              <w:t>24</w:t>
            </w:r>
          </w:p>
        </w:tc>
        <w:tc>
          <w:tcPr>
            <w:tcW w:w="7984" w:type="dxa"/>
            <w:tcBorders>
              <w:top w:val="single" w:sz="6" w:space="0" w:color="000000"/>
              <w:bottom w:val="single" w:sz="6" w:space="0" w:color="000000"/>
            </w:tcBorders>
          </w:tcPr>
          <w:p>
            <w:pPr>
              <w:pStyle w:val="TableParagraph"/>
              <w:spacing w:before="74"/>
              <w:ind w:left="80" w:right="197"/>
              <w:rPr>
                <w:rFonts w:ascii="Corbel" w:hAnsi="Corbel"/>
                <w:sz w:val="22"/>
              </w:rPr>
            </w:pPr>
            <w:r>
              <w:rPr>
                <w:rFonts w:ascii="Corbel" w:hAnsi="Corbel"/>
                <w:sz w:val="22"/>
              </w:rPr>
              <w:t>Construcción de puente Vehicular con banquetas en calle El Pile, Colonia El Pile, en Magdalena Jal.</w:t>
            </w:r>
          </w:p>
        </w:tc>
      </w:tr>
    </w:tbl>
    <w:p>
      <w:pPr>
        <w:pStyle w:val="BodyText"/>
        <w:rPr>
          <w:rFonts w:ascii="Times New Roman"/>
          <w:sz w:val="20"/>
        </w:rPr>
      </w:pPr>
    </w:p>
    <w:p>
      <w:pPr>
        <w:pStyle w:val="BodyText"/>
        <w:spacing w:before="2"/>
        <w:rPr>
          <w:rFonts w:ascii="Times New Roman"/>
          <w:sz w:val="19"/>
        </w:rPr>
      </w:pPr>
    </w:p>
    <w:tbl>
      <w:tblPr>
        <w:tblW w:w="0" w:type="auto"/>
        <w:jc w:val="left"/>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1"/>
        <w:gridCol w:w="89"/>
        <w:gridCol w:w="7852"/>
        <w:gridCol w:w="96"/>
      </w:tblGrid>
      <w:tr>
        <w:trPr>
          <w:trHeight w:val="468" w:hRule="atLeast"/>
        </w:trPr>
        <w:tc>
          <w:tcPr>
            <w:tcW w:w="9028" w:type="dxa"/>
            <w:gridSpan w:val="4"/>
            <w:tcBorders>
              <w:bottom w:val="single" w:sz="6" w:space="0" w:color="000000"/>
            </w:tcBorders>
            <w:shd w:val="clear" w:color="auto" w:fill="C2D59B"/>
          </w:tcPr>
          <w:p>
            <w:pPr>
              <w:pStyle w:val="TableParagraph"/>
              <w:spacing w:before="83"/>
              <w:ind w:left="3181" w:right="3201"/>
              <w:jc w:val="center"/>
              <w:rPr>
                <w:sz w:val="22"/>
              </w:rPr>
            </w:pPr>
            <w:r>
              <w:rPr>
                <w:sz w:val="22"/>
              </w:rPr>
              <w:t>EQUIPAMIENTO URBANO</w:t>
            </w:r>
          </w:p>
        </w:tc>
      </w:tr>
      <w:tr>
        <w:trPr>
          <w:trHeight w:val="467" w:hRule="atLeast"/>
        </w:trPr>
        <w:tc>
          <w:tcPr>
            <w:tcW w:w="1080" w:type="dxa"/>
            <w:gridSpan w:val="2"/>
            <w:tcBorders>
              <w:top w:val="single" w:sz="6" w:space="0" w:color="000000"/>
              <w:bottom w:val="single" w:sz="6" w:space="0" w:color="000000"/>
            </w:tcBorders>
          </w:tcPr>
          <w:p>
            <w:pPr>
              <w:pStyle w:val="TableParagraph"/>
              <w:spacing w:before="79"/>
              <w:ind w:left="50"/>
              <w:rPr>
                <w:sz w:val="22"/>
              </w:rPr>
            </w:pPr>
            <w:r>
              <w:rPr>
                <w:sz w:val="22"/>
              </w:rPr>
              <w:t>25</w:t>
            </w:r>
          </w:p>
        </w:tc>
        <w:tc>
          <w:tcPr>
            <w:tcW w:w="7948" w:type="dxa"/>
            <w:gridSpan w:val="2"/>
            <w:tcBorders>
              <w:top w:val="single" w:sz="6" w:space="0" w:color="000000"/>
              <w:bottom w:val="single" w:sz="6" w:space="0" w:color="000000"/>
            </w:tcBorders>
          </w:tcPr>
          <w:p>
            <w:pPr>
              <w:pStyle w:val="TableParagraph"/>
              <w:spacing w:before="74"/>
              <w:ind w:left="78"/>
              <w:rPr>
                <w:rFonts w:ascii="Corbel" w:hAnsi="Corbel"/>
                <w:sz w:val="22"/>
              </w:rPr>
            </w:pPr>
            <w:r>
              <w:rPr>
                <w:rFonts w:ascii="Corbel" w:hAnsi="Corbel"/>
                <w:sz w:val="22"/>
              </w:rPr>
              <w:t>Instalación de paraderos de autobuses</w:t>
            </w:r>
          </w:p>
        </w:tc>
      </w:tr>
      <w:tr>
        <w:trPr>
          <w:trHeight w:val="777" w:hRule="atLeast"/>
        </w:trPr>
        <w:tc>
          <w:tcPr>
            <w:tcW w:w="1080" w:type="dxa"/>
            <w:gridSpan w:val="2"/>
            <w:tcBorders>
              <w:top w:val="single" w:sz="6" w:space="0" w:color="000000"/>
              <w:bottom w:val="single" w:sz="6" w:space="0" w:color="000000"/>
            </w:tcBorders>
          </w:tcPr>
          <w:p>
            <w:pPr>
              <w:pStyle w:val="TableParagraph"/>
              <w:spacing w:before="79"/>
              <w:ind w:left="50"/>
              <w:rPr>
                <w:sz w:val="22"/>
              </w:rPr>
            </w:pPr>
            <w:r>
              <w:rPr>
                <w:sz w:val="22"/>
              </w:rPr>
              <w:t>26</w:t>
            </w:r>
          </w:p>
        </w:tc>
        <w:tc>
          <w:tcPr>
            <w:tcW w:w="7948" w:type="dxa"/>
            <w:gridSpan w:val="2"/>
            <w:tcBorders>
              <w:top w:val="single" w:sz="6" w:space="0" w:color="000000"/>
              <w:bottom w:val="single" w:sz="6" w:space="0" w:color="000000"/>
            </w:tcBorders>
          </w:tcPr>
          <w:p>
            <w:pPr>
              <w:pStyle w:val="TableParagraph"/>
              <w:spacing w:before="74"/>
              <w:ind w:left="78"/>
              <w:rPr>
                <w:rFonts w:ascii="Corbel" w:hAnsi="Corbel"/>
                <w:sz w:val="22"/>
              </w:rPr>
            </w:pPr>
            <w:r>
              <w:rPr>
                <w:rFonts w:ascii="Corbel" w:hAnsi="Corbel"/>
                <w:sz w:val="22"/>
              </w:rPr>
              <w:t>Rehabilitación de banquetas de todo el Centro Histórico.</w:t>
            </w:r>
          </w:p>
        </w:tc>
      </w:tr>
      <w:tr>
        <w:trPr>
          <w:trHeight w:val="896" w:hRule="atLeast"/>
        </w:trPr>
        <w:tc>
          <w:tcPr>
            <w:tcW w:w="8932" w:type="dxa"/>
            <w:gridSpan w:val="3"/>
            <w:tcBorders>
              <w:top w:val="single" w:sz="6" w:space="0" w:color="000000"/>
              <w:bottom w:val="single" w:sz="6" w:space="0" w:color="000000"/>
            </w:tcBorders>
            <w:shd w:val="clear" w:color="auto" w:fill="C2D59B"/>
          </w:tcPr>
          <w:p>
            <w:pPr>
              <w:pStyle w:val="TableParagraph"/>
              <w:spacing w:line="259" w:lineRule="auto" w:before="79"/>
              <w:ind w:left="3871" w:right="380" w:hanging="3469"/>
              <w:rPr>
                <w:sz w:val="22"/>
              </w:rPr>
            </w:pPr>
            <w:r>
              <w:rPr>
                <w:sz w:val="22"/>
              </w:rPr>
              <w:t>INVERSIÓN PARA LA CONSERVACIÓN DEL MEDIO AMBIENTE Y LOS RECURSOS NATURALES</w:t>
            </w:r>
          </w:p>
        </w:tc>
        <w:tc>
          <w:tcPr>
            <w:tcW w:w="96" w:type="dxa"/>
            <w:tcBorders>
              <w:top w:val="single" w:sz="6" w:space="0" w:color="000000"/>
              <w:bottom w:val="nil"/>
              <w:right w:val="nil"/>
            </w:tcBorders>
          </w:tcPr>
          <w:p>
            <w:pPr>
              <w:pStyle w:val="TableParagraph"/>
              <w:rPr>
                <w:rFonts w:ascii="Times New Roman"/>
                <w:sz w:val="20"/>
              </w:rPr>
            </w:pPr>
          </w:p>
        </w:tc>
      </w:tr>
      <w:tr>
        <w:trPr>
          <w:trHeight w:val="462" w:hRule="atLeast"/>
        </w:trPr>
        <w:tc>
          <w:tcPr>
            <w:tcW w:w="991" w:type="dxa"/>
            <w:tcBorders>
              <w:top w:val="single" w:sz="6" w:space="0" w:color="000000"/>
              <w:bottom w:val="single" w:sz="6" w:space="0" w:color="000000"/>
            </w:tcBorders>
          </w:tcPr>
          <w:p>
            <w:pPr>
              <w:pStyle w:val="TableParagraph"/>
              <w:spacing w:before="79"/>
              <w:ind w:left="79"/>
              <w:rPr>
                <w:sz w:val="22"/>
              </w:rPr>
            </w:pPr>
            <w:r>
              <w:rPr>
                <w:sz w:val="22"/>
              </w:rPr>
              <w:t>27</w:t>
            </w:r>
          </w:p>
        </w:tc>
        <w:tc>
          <w:tcPr>
            <w:tcW w:w="7941" w:type="dxa"/>
            <w:gridSpan w:val="2"/>
            <w:tcBorders>
              <w:top w:val="single" w:sz="6" w:space="0" w:color="000000"/>
              <w:bottom w:val="single" w:sz="6" w:space="0" w:color="000000"/>
            </w:tcBorders>
          </w:tcPr>
          <w:p>
            <w:pPr>
              <w:pStyle w:val="TableParagraph"/>
              <w:spacing w:before="74"/>
              <w:ind w:left="81"/>
              <w:rPr>
                <w:rFonts w:ascii="Corbel" w:hAnsi="Corbel"/>
                <w:sz w:val="22"/>
              </w:rPr>
            </w:pPr>
            <w:r>
              <w:rPr>
                <w:rFonts w:ascii="Corbel" w:hAnsi="Corbel"/>
                <w:sz w:val="22"/>
              </w:rPr>
              <w:t>Modernización y ampliación de la planta de tratamiento del municipio.</w:t>
            </w:r>
          </w:p>
        </w:tc>
        <w:tc>
          <w:tcPr>
            <w:tcW w:w="96" w:type="dxa"/>
            <w:tcBorders>
              <w:top w:val="nil"/>
              <w:bottom w:val="nil"/>
              <w:right w:val="nil"/>
            </w:tcBorders>
          </w:tcPr>
          <w:p>
            <w:pPr>
              <w:pStyle w:val="TableParagraph"/>
              <w:rPr>
                <w:rFonts w:ascii="Times New Roman"/>
                <w:sz w:val="20"/>
              </w:rPr>
            </w:pPr>
          </w:p>
        </w:tc>
      </w:tr>
      <w:tr>
        <w:trPr>
          <w:trHeight w:val="1101" w:hRule="atLeast"/>
        </w:trPr>
        <w:tc>
          <w:tcPr>
            <w:tcW w:w="991" w:type="dxa"/>
            <w:tcBorders>
              <w:top w:val="single" w:sz="6" w:space="0" w:color="000000"/>
              <w:bottom w:val="single" w:sz="6" w:space="0" w:color="000000"/>
            </w:tcBorders>
          </w:tcPr>
          <w:p>
            <w:pPr>
              <w:pStyle w:val="TableParagraph"/>
              <w:spacing w:before="82"/>
              <w:ind w:left="79"/>
              <w:rPr>
                <w:sz w:val="22"/>
              </w:rPr>
            </w:pPr>
            <w:r>
              <w:rPr>
                <w:sz w:val="22"/>
              </w:rPr>
              <w:t>28</w:t>
            </w:r>
          </w:p>
        </w:tc>
        <w:tc>
          <w:tcPr>
            <w:tcW w:w="7941" w:type="dxa"/>
            <w:gridSpan w:val="2"/>
            <w:tcBorders>
              <w:top w:val="single" w:sz="6" w:space="0" w:color="000000"/>
              <w:bottom w:val="single" w:sz="6" w:space="0" w:color="000000"/>
            </w:tcBorders>
          </w:tcPr>
          <w:p>
            <w:pPr>
              <w:pStyle w:val="TableParagraph"/>
              <w:spacing w:line="276" w:lineRule="auto" w:before="77"/>
              <w:ind w:left="81" w:right="60"/>
              <w:rPr>
                <w:rFonts w:ascii="Corbel" w:hAnsi="Corbel"/>
                <w:sz w:val="22"/>
              </w:rPr>
            </w:pPr>
            <w:r>
              <w:rPr>
                <w:rFonts w:ascii="Corbel" w:hAnsi="Corbel"/>
                <w:sz w:val="22"/>
              </w:rPr>
              <w:t>Construcción de planta de tratamiento de aguas negras o sistemas de saneamiento de aguas en las delegaciones y localidades que así lo requieren.</w:t>
            </w:r>
          </w:p>
        </w:tc>
        <w:tc>
          <w:tcPr>
            <w:tcW w:w="96" w:type="dxa"/>
            <w:tcBorders>
              <w:top w:val="nil"/>
              <w:bottom w:val="nil"/>
              <w:right w:val="nil"/>
            </w:tcBorders>
          </w:tcPr>
          <w:p>
            <w:pPr>
              <w:pStyle w:val="TableParagraph"/>
              <w:rPr>
                <w:rFonts w:ascii="Times New Roman"/>
                <w:sz w:val="20"/>
              </w:rPr>
            </w:pPr>
          </w:p>
        </w:tc>
      </w:tr>
      <w:tr>
        <w:trPr>
          <w:trHeight w:val="734" w:hRule="atLeast"/>
        </w:trPr>
        <w:tc>
          <w:tcPr>
            <w:tcW w:w="991" w:type="dxa"/>
            <w:tcBorders>
              <w:top w:val="single" w:sz="6" w:space="0" w:color="000000"/>
              <w:bottom w:val="single" w:sz="6" w:space="0" w:color="000000"/>
            </w:tcBorders>
          </w:tcPr>
          <w:p>
            <w:pPr>
              <w:pStyle w:val="TableParagraph"/>
              <w:spacing w:before="79"/>
              <w:ind w:left="79"/>
              <w:rPr>
                <w:sz w:val="22"/>
              </w:rPr>
            </w:pPr>
            <w:r>
              <w:rPr>
                <w:sz w:val="22"/>
              </w:rPr>
              <w:t>29</w:t>
            </w:r>
          </w:p>
        </w:tc>
        <w:tc>
          <w:tcPr>
            <w:tcW w:w="7941" w:type="dxa"/>
            <w:gridSpan w:val="2"/>
            <w:tcBorders>
              <w:top w:val="single" w:sz="6" w:space="0" w:color="000000"/>
              <w:bottom w:val="single" w:sz="6" w:space="0" w:color="000000"/>
            </w:tcBorders>
          </w:tcPr>
          <w:p>
            <w:pPr>
              <w:pStyle w:val="TableParagraph"/>
              <w:spacing w:before="74"/>
              <w:ind w:left="81" w:right="99"/>
              <w:rPr>
                <w:rFonts w:ascii="Corbel" w:hAnsi="Corbel"/>
                <w:sz w:val="22"/>
              </w:rPr>
            </w:pPr>
            <w:r>
              <w:rPr>
                <w:rFonts w:ascii="Corbel" w:hAnsi="Corbel"/>
                <w:color w:val="252525"/>
                <w:sz w:val="22"/>
              </w:rPr>
              <w:t>Construcción del Relleno Sanitario Moderno y con innovación en aprovechamiento de residuos.</w:t>
            </w:r>
          </w:p>
        </w:tc>
        <w:tc>
          <w:tcPr>
            <w:tcW w:w="96" w:type="dxa"/>
            <w:tcBorders>
              <w:top w:val="nil"/>
              <w:bottom w:val="nil"/>
              <w:right w:val="nil"/>
            </w:tcBorders>
          </w:tcPr>
          <w:p>
            <w:pPr>
              <w:pStyle w:val="TableParagraph"/>
              <w:rPr>
                <w:rFonts w:ascii="Times New Roman"/>
                <w:sz w:val="20"/>
              </w:rPr>
            </w:pPr>
          </w:p>
        </w:tc>
      </w:tr>
      <w:tr>
        <w:trPr>
          <w:trHeight w:val="736" w:hRule="atLeast"/>
        </w:trPr>
        <w:tc>
          <w:tcPr>
            <w:tcW w:w="991" w:type="dxa"/>
            <w:tcBorders>
              <w:top w:val="single" w:sz="6" w:space="0" w:color="000000"/>
              <w:bottom w:val="single" w:sz="6" w:space="0" w:color="000000"/>
            </w:tcBorders>
          </w:tcPr>
          <w:p>
            <w:pPr>
              <w:pStyle w:val="TableParagraph"/>
              <w:spacing w:before="82"/>
              <w:ind w:left="79"/>
              <w:rPr>
                <w:sz w:val="22"/>
              </w:rPr>
            </w:pPr>
            <w:r>
              <w:rPr>
                <w:sz w:val="22"/>
              </w:rPr>
              <w:t>30</w:t>
            </w:r>
          </w:p>
        </w:tc>
        <w:tc>
          <w:tcPr>
            <w:tcW w:w="7941" w:type="dxa"/>
            <w:gridSpan w:val="2"/>
            <w:tcBorders>
              <w:top w:val="single" w:sz="6" w:space="0" w:color="000000"/>
              <w:bottom w:val="single" w:sz="6" w:space="0" w:color="000000"/>
            </w:tcBorders>
          </w:tcPr>
          <w:p>
            <w:pPr>
              <w:pStyle w:val="TableParagraph"/>
              <w:spacing w:before="77"/>
              <w:ind w:left="81"/>
              <w:rPr>
                <w:rFonts w:ascii="Corbel" w:hAnsi="Corbel"/>
                <w:sz w:val="22"/>
              </w:rPr>
            </w:pPr>
            <w:r>
              <w:rPr>
                <w:rFonts w:ascii="Corbel" w:hAnsi="Corbel"/>
                <w:color w:val="252525"/>
                <w:sz w:val="22"/>
              </w:rPr>
              <w:t>Instalación de Centros de Acopio de Material para Reciclar</w:t>
            </w:r>
          </w:p>
        </w:tc>
        <w:tc>
          <w:tcPr>
            <w:tcW w:w="96" w:type="dxa"/>
            <w:tcBorders>
              <w:top w:val="nil"/>
              <w:bottom w:val="nil"/>
              <w:right w:val="nil"/>
            </w:tcBorders>
          </w:tcPr>
          <w:p>
            <w:pPr>
              <w:pStyle w:val="TableParagraph"/>
              <w:rPr>
                <w:rFonts w:ascii="Times New Roman"/>
                <w:sz w:val="20"/>
              </w:rPr>
            </w:pPr>
          </w:p>
        </w:tc>
      </w:tr>
    </w:tbl>
    <w:p>
      <w:pPr>
        <w:pStyle w:val="BodyText"/>
        <w:rPr>
          <w:rFonts w:ascii="Times New Roman"/>
          <w:sz w:val="20"/>
        </w:rPr>
      </w:pPr>
    </w:p>
    <w:p>
      <w:pPr>
        <w:pStyle w:val="BodyText"/>
        <w:spacing w:before="2"/>
        <w:rPr>
          <w:rFonts w:ascii="Times New Roman"/>
          <w:sz w:val="19"/>
        </w:rPr>
      </w:pPr>
    </w:p>
    <w:tbl>
      <w:tblPr>
        <w:tblW w:w="0" w:type="auto"/>
        <w:jc w:val="left"/>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32"/>
      </w:tblGrid>
      <w:tr>
        <w:trPr>
          <w:trHeight w:val="1015" w:hRule="atLeast"/>
        </w:trPr>
        <w:tc>
          <w:tcPr>
            <w:tcW w:w="8932" w:type="dxa"/>
            <w:tcBorders>
              <w:bottom w:val="single" w:sz="6" w:space="0" w:color="000000"/>
            </w:tcBorders>
          </w:tcPr>
          <w:p>
            <w:pPr>
              <w:pStyle w:val="TableParagraph"/>
              <w:tabs>
                <w:tab w:pos="8881" w:val="left" w:leader="none"/>
              </w:tabs>
              <w:spacing w:before="81"/>
              <w:ind w:left="50"/>
              <w:rPr>
                <w:sz w:val="22"/>
              </w:rPr>
            </w:pPr>
            <w:r>
              <w:rPr>
                <w:spacing w:val="-33"/>
                <w:w w:val="100"/>
                <w:sz w:val="22"/>
                <w:shd w:fill="C2D59B" w:color="auto" w:val="clear"/>
              </w:rPr>
              <w:t> </w:t>
            </w:r>
            <w:r>
              <w:rPr>
                <w:sz w:val="22"/>
                <w:shd w:fill="C2D59B" w:color="auto" w:val="clear"/>
              </w:rPr>
              <w:t>OTRAS DEMANDAS</w:t>
            </w:r>
            <w:r>
              <w:rPr>
                <w:spacing w:val="-17"/>
                <w:sz w:val="22"/>
                <w:shd w:fill="C2D59B" w:color="auto" w:val="clear"/>
              </w:rPr>
              <w:t> </w:t>
            </w:r>
            <w:r>
              <w:rPr>
                <w:sz w:val="22"/>
                <w:shd w:fill="C2D59B" w:color="auto" w:val="clear"/>
              </w:rPr>
              <w:t>CIUDADANAS*</w:t>
              <w:tab/>
            </w:r>
          </w:p>
          <w:p>
            <w:pPr>
              <w:pStyle w:val="TableParagraph"/>
              <w:spacing w:before="1"/>
              <w:ind w:left="79" w:right="999"/>
              <w:rPr>
                <w:sz w:val="22"/>
              </w:rPr>
            </w:pPr>
            <w:r>
              <w:rPr>
                <w:sz w:val="22"/>
              </w:rPr>
              <w:t>Este banco de proyectos lo constituyen obras que son necesarias para el municipio y que su realización dependerá de la suficiencia presupuestal</w:t>
            </w:r>
          </w:p>
        </w:tc>
      </w:tr>
      <w:tr>
        <w:trPr>
          <w:trHeight w:val="745" w:hRule="atLeast"/>
        </w:trPr>
        <w:tc>
          <w:tcPr>
            <w:tcW w:w="8932" w:type="dxa"/>
            <w:tcBorders>
              <w:top w:val="single" w:sz="6" w:space="0" w:color="000000"/>
              <w:bottom w:val="single" w:sz="6" w:space="0" w:color="000000"/>
            </w:tcBorders>
          </w:tcPr>
          <w:p>
            <w:pPr>
              <w:pStyle w:val="TableParagraph"/>
              <w:spacing w:before="74"/>
              <w:ind w:left="79"/>
              <w:rPr>
                <w:rFonts w:ascii="Corbel" w:hAnsi="Corbel"/>
                <w:sz w:val="22"/>
              </w:rPr>
            </w:pPr>
            <w:r>
              <w:rPr>
                <w:rFonts w:ascii="Corbel" w:hAnsi="Corbel"/>
                <w:sz w:val="22"/>
              </w:rPr>
              <w:t>Arreglo de la Calle: Villa de los Hidalgo, Delegación Lo de Guevara, en Magdalena.</w:t>
            </w:r>
          </w:p>
        </w:tc>
      </w:tr>
      <w:tr>
        <w:trPr>
          <w:trHeight w:val="739" w:hRule="atLeast"/>
        </w:trPr>
        <w:tc>
          <w:tcPr>
            <w:tcW w:w="8932" w:type="dxa"/>
            <w:tcBorders>
              <w:top w:val="single" w:sz="6" w:space="0" w:color="000000"/>
              <w:bottom w:val="single" w:sz="6" w:space="0" w:color="000000"/>
            </w:tcBorders>
          </w:tcPr>
          <w:p>
            <w:pPr>
              <w:pStyle w:val="TableParagraph"/>
              <w:spacing w:before="77"/>
              <w:ind w:left="79"/>
              <w:rPr>
                <w:rFonts w:ascii="Corbel" w:hAnsi="Corbel"/>
                <w:sz w:val="22"/>
              </w:rPr>
            </w:pPr>
            <w:r>
              <w:rPr>
                <w:rFonts w:ascii="Corbel" w:hAnsi="Corbel"/>
                <w:sz w:val="22"/>
              </w:rPr>
              <w:t>Arreglo de la Calle: Morelos, Delegación La Quemada, Magdalena.</w:t>
            </w:r>
          </w:p>
        </w:tc>
      </w:tr>
      <w:tr>
        <w:trPr>
          <w:trHeight w:val="467" w:hRule="atLeast"/>
        </w:trPr>
        <w:tc>
          <w:tcPr>
            <w:tcW w:w="8932" w:type="dxa"/>
            <w:tcBorders>
              <w:top w:val="single" w:sz="6" w:space="0" w:color="000000"/>
              <w:bottom w:val="single" w:sz="6" w:space="0" w:color="000000"/>
            </w:tcBorders>
          </w:tcPr>
          <w:p>
            <w:pPr>
              <w:pStyle w:val="TableParagraph"/>
              <w:spacing w:before="74"/>
              <w:ind w:left="79"/>
              <w:rPr>
                <w:rFonts w:ascii="Corbel" w:hAnsi="Corbel"/>
                <w:sz w:val="22"/>
              </w:rPr>
            </w:pPr>
            <w:r>
              <w:rPr>
                <w:rFonts w:ascii="Corbel" w:hAnsi="Corbel"/>
                <w:sz w:val="22"/>
              </w:rPr>
              <w:t>Arreglo de la Calle: Allende, Delegación San Andrés, Magdalena.</w:t>
            </w:r>
          </w:p>
        </w:tc>
      </w:tr>
      <w:tr>
        <w:trPr>
          <w:trHeight w:val="745" w:hRule="atLeast"/>
        </w:trPr>
        <w:tc>
          <w:tcPr>
            <w:tcW w:w="8932" w:type="dxa"/>
            <w:tcBorders>
              <w:top w:val="single" w:sz="6" w:space="0" w:color="000000"/>
              <w:bottom w:val="single" w:sz="6" w:space="0" w:color="000000"/>
            </w:tcBorders>
          </w:tcPr>
          <w:p>
            <w:pPr>
              <w:pStyle w:val="TableParagraph"/>
              <w:spacing w:before="74"/>
              <w:ind w:left="79"/>
              <w:rPr>
                <w:rFonts w:ascii="Corbel" w:hAnsi="Corbel"/>
                <w:sz w:val="22"/>
              </w:rPr>
            </w:pPr>
            <w:r>
              <w:rPr>
                <w:rFonts w:ascii="Corbel" w:hAnsi="Corbel"/>
                <w:sz w:val="22"/>
              </w:rPr>
              <w:t>Arreglo primera etapa de la calle: Miguel Hidalgo, Delegación Santa María, Magdalena.</w:t>
            </w:r>
          </w:p>
        </w:tc>
      </w:tr>
    </w:tbl>
    <w:p>
      <w:pPr>
        <w:spacing w:after="0"/>
        <w:rPr>
          <w:rFonts w:ascii="Corbel" w:hAnsi="Corbel"/>
          <w:sz w:val="22"/>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32"/>
      </w:tblGrid>
      <w:tr>
        <w:trPr>
          <w:trHeight w:val="749" w:hRule="atLeast"/>
        </w:trPr>
        <w:tc>
          <w:tcPr>
            <w:tcW w:w="8932" w:type="dxa"/>
            <w:tcBorders>
              <w:bottom w:val="single" w:sz="6" w:space="0" w:color="000000"/>
            </w:tcBorders>
          </w:tcPr>
          <w:p>
            <w:pPr>
              <w:pStyle w:val="TableParagraph"/>
              <w:spacing w:before="78"/>
              <w:ind w:left="79"/>
              <w:rPr>
                <w:rFonts w:ascii="Corbel" w:hAnsi="Corbel"/>
                <w:sz w:val="22"/>
              </w:rPr>
            </w:pPr>
            <w:r>
              <w:rPr>
                <w:rFonts w:ascii="Corbel" w:hAnsi="Corbel"/>
                <w:sz w:val="22"/>
              </w:rPr>
              <w:t>Arreglo segunda etapa de la Calle: Manuel Ávila Camacho, Colonia San Pedro, Magdalena.</w:t>
            </w:r>
          </w:p>
        </w:tc>
      </w:tr>
      <w:tr>
        <w:trPr>
          <w:trHeight w:val="745" w:hRule="atLeast"/>
        </w:trPr>
        <w:tc>
          <w:tcPr>
            <w:tcW w:w="8932" w:type="dxa"/>
            <w:tcBorders>
              <w:top w:val="single" w:sz="6" w:space="0" w:color="000000"/>
              <w:bottom w:val="single" w:sz="6" w:space="0" w:color="000000"/>
            </w:tcBorders>
          </w:tcPr>
          <w:p>
            <w:pPr>
              <w:pStyle w:val="TableParagraph"/>
              <w:spacing w:before="74"/>
              <w:ind w:left="79"/>
              <w:rPr>
                <w:rFonts w:ascii="Corbel"/>
                <w:sz w:val="22"/>
              </w:rPr>
            </w:pPr>
            <w:r>
              <w:rPr>
                <w:rFonts w:ascii="Corbel"/>
                <w:sz w:val="22"/>
              </w:rPr>
              <w:t>Arreglo primera etapa de la Calle: Aldama, Colonia Los Valdez, Magdalena.</w:t>
            </w:r>
          </w:p>
        </w:tc>
      </w:tr>
      <w:tr>
        <w:trPr>
          <w:trHeight w:val="748" w:hRule="atLeast"/>
        </w:trPr>
        <w:tc>
          <w:tcPr>
            <w:tcW w:w="8932" w:type="dxa"/>
            <w:tcBorders>
              <w:top w:val="single" w:sz="6" w:space="0" w:color="000000"/>
              <w:bottom w:val="single" w:sz="6" w:space="0" w:color="000000"/>
            </w:tcBorders>
          </w:tcPr>
          <w:p>
            <w:pPr>
              <w:pStyle w:val="TableParagraph"/>
              <w:spacing w:line="237" w:lineRule="auto" w:before="79"/>
              <w:ind w:left="79"/>
              <w:rPr>
                <w:rFonts w:ascii="Corbel"/>
                <w:sz w:val="22"/>
              </w:rPr>
            </w:pPr>
            <w:r>
              <w:rPr>
                <w:rFonts w:ascii="Corbel"/>
                <w:spacing w:val="-2"/>
                <w:w w:val="100"/>
                <w:sz w:val="22"/>
              </w:rPr>
              <w:t>A</w:t>
            </w:r>
            <w:r>
              <w:rPr>
                <w:rFonts w:ascii="Corbel"/>
                <w:w w:val="100"/>
                <w:sz w:val="22"/>
              </w:rPr>
              <w:t>rreg</w:t>
            </w:r>
            <w:r>
              <w:rPr>
                <w:rFonts w:ascii="Corbel"/>
                <w:spacing w:val="-1"/>
                <w:w w:val="100"/>
                <w:sz w:val="22"/>
              </w:rPr>
              <w:t>l</w:t>
            </w:r>
            <w:r>
              <w:rPr>
                <w:rFonts w:ascii="Corbel"/>
                <w:w w:val="100"/>
                <w:sz w:val="22"/>
              </w:rPr>
              <w:t>o</w:t>
            </w:r>
            <w:r>
              <w:rPr>
                <w:rFonts w:ascii="Corbel"/>
                <w:spacing w:val="-1"/>
                <w:sz w:val="22"/>
              </w:rPr>
              <w:t> </w:t>
            </w:r>
            <w:r>
              <w:rPr>
                <w:rFonts w:ascii="Corbel"/>
                <w:spacing w:val="-1"/>
                <w:w w:val="100"/>
                <w:sz w:val="22"/>
              </w:rPr>
              <w:t>d</w:t>
            </w:r>
            <w:r>
              <w:rPr>
                <w:rFonts w:ascii="Corbel"/>
                <w:w w:val="100"/>
                <w:sz w:val="22"/>
              </w:rPr>
              <w:t>e</w:t>
            </w:r>
            <w:r>
              <w:rPr>
                <w:rFonts w:ascii="Corbel"/>
                <w:spacing w:val="-1"/>
                <w:sz w:val="22"/>
              </w:rPr>
              <w:t> </w:t>
            </w:r>
            <w:r>
              <w:rPr>
                <w:rFonts w:ascii="Corbel"/>
                <w:spacing w:val="-1"/>
                <w:w w:val="100"/>
                <w:sz w:val="22"/>
              </w:rPr>
              <w:t>l</w:t>
            </w:r>
            <w:r>
              <w:rPr>
                <w:rFonts w:ascii="Corbel"/>
                <w:w w:val="100"/>
                <w:sz w:val="22"/>
              </w:rPr>
              <w:t>a</w:t>
            </w:r>
            <w:r>
              <w:rPr>
                <w:rFonts w:ascii="Corbel"/>
                <w:spacing w:val="-1"/>
                <w:sz w:val="22"/>
              </w:rPr>
              <w:t> </w:t>
            </w:r>
            <w:r>
              <w:rPr>
                <w:rFonts w:ascii="Corbel"/>
                <w:spacing w:val="-1"/>
                <w:w w:val="100"/>
                <w:sz w:val="22"/>
              </w:rPr>
              <w:t>Ca</w:t>
            </w:r>
            <w:r>
              <w:rPr>
                <w:rFonts w:ascii="Corbel"/>
                <w:spacing w:val="-2"/>
                <w:w w:val="100"/>
                <w:sz w:val="22"/>
              </w:rPr>
              <w:t>l</w:t>
            </w:r>
            <w:r>
              <w:rPr>
                <w:rFonts w:ascii="Corbel"/>
                <w:spacing w:val="-1"/>
                <w:w w:val="100"/>
                <w:sz w:val="22"/>
              </w:rPr>
              <w:t>l</w:t>
            </w:r>
            <w:r>
              <w:rPr>
                <w:rFonts w:ascii="Corbel"/>
                <w:w w:val="100"/>
                <w:sz w:val="22"/>
              </w:rPr>
              <w:t>e:</w:t>
            </w:r>
            <w:r>
              <w:rPr>
                <w:rFonts w:ascii="Corbel"/>
                <w:spacing w:val="-1"/>
                <w:sz w:val="22"/>
              </w:rPr>
              <w:t> </w:t>
            </w:r>
            <w:r>
              <w:rPr>
                <w:rFonts w:ascii="Corbel"/>
                <w:spacing w:val="-1"/>
                <w:w w:val="100"/>
                <w:sz w:val="22"/>
              </w:rPr>
              <w:t>Hid</w:t>
            </w:r>
            <w:r>
              <w:rPr>
                <w:rFonts w:ascii="Corbel"/>
                <w:w w:val="100"/>
                <w:sz w:val="22"/>
              </w:rPr>
              <w:t>a</w:t>
            </w:r>
            <w:r>
              <w:rPr>
                <w:rFonts w:ascii="Corbel"/>
                <w:spacing w:val="-2"/>
                <w:w w:val="100"/>
                <w:sz w:val="22"/>
              </w:rPr>
              <w:t>l</w:t>
            </w:r>
            <w:r>
              <w:rPr>
                <w:rFonts w:ascii="Corbel"/>
                <w:spacing w:val="2"/>
                <w:w w:val="100"/>
                <w:sz w:val="22"/>
              </w:rPr>
              <w:t>g</w:t>
            </w:r>
            <w:r>
              <w:rPr>
                <w:rFonts w:ascii="Corbel"/>
                <w:w w:val="100"/>
                <w:sz w:val="22"/>
              </w:rPr>
              <w:t>o</w:t>
            </w:r>
            <w:r>
              <w:rPr>
                <w:rFonts w:ascii="Corbel"/>
                <w:spacing w:val="-1"/>
                <w:sz w:val="22"/>
              </w:rPr>
              <w:t> </w:t>
            </w:r>
            <w:r>
              <w:rPr>
                <w:rFonts w:ascii="Corbel"/>
                <w:spacing w:val="-2"/>
                <w:w w:val="100"/>
                <w:sz w:val="22"/>
              </w:rPr>
              <w:t>P</w:t>
            </w:r>
            <w:r>
              <w:rPr>
                <w:rFonts w:ascii="Corbel"/>
                <w:spacing w:val="-1"/>
                <w:w w:val="100"/>
                <w:sz w:val="22"/>
              </w:rPr>
              <w:t>o</w:t>
            </w:r>
            <w:r>
              <w:rPr>
                <w:rFonts w:ascii="Corbel"/>
                <w:w w:val="100"/>
                <w:sz w:val="22"/>
              </w:rPr>
              <w:t>n</w:t>
            </w:r>
            <w:r>
              <w:rPr>
                <w:rFonts w:ascii="Corbel"/>
                <w:spacing w:val="-1"/>
                <w:w w:val="100"/>
                <w:sz w:val="22"/>
              </w:rPr>
              <w:t>i</w:t>
            </w:r>
            <w:r>
              <w:rPr>
                <w:rFonts w:ascii="Corbel"/>
                <w:w w:val="100"/>
                <w:sz w:val="22"/>
              </w:rPr>
              <w:t>e</w:t>
            </w:r>
            <w:r>
              <w:rPr>
                <w:rFonts w:ascii="Corbel"/>
                <w:spacing w:val="1"/>
                <w:w w:val="100"/>
                <w:sz w:val="22"/>
              </w:rPr>
              <w:t>n</w:t>
            </w:r>
            <w:r>
              <w:rPr>
                <w:rFonts w:ascii="Corbel"/>
                <w:spacing w:val="-3"/>
                <w:w w:val="100"/>
                <w:sz w:val="22"/>
              </w:rPr>
              <w:t>t</w:t>
            </w:r>
            <w:r>
              <w:rPr>
                <w:rFonts w:ascii="Corbel"/>
                <w:w w:val="100"/>
                <w:sz w:val="22"/>
              </w:rPr>
              <w:t>e,</w:t>
            </w:r>
            <w:r>
              <w:rPr>
                <w:rFonts w:ascii="Corbel"/>
                <w:spacing w:val="-2"/>
                <w:sz w:val="22"/>
              </w:rPr>
              <w:t> </w:t>
            </w:r>
            <w:r>
              <w:rPr>
                <w:rFonts w:ascii="Corbel"/>
                <w:spacing w:val="-1"/>
                <w:w w:val="100"/>
                <w:sz w:val="22"/>
              </w:rPr>
              <w:t>l</w:t>
            </w:r>
            <w:r>
              <w:rPr>
                <w:rFonts w:ascii="Corbel"/>
                <w:w w:val="100"/>
                <w:sz w:val="22"/>
              </w:rPr>
              <w:t>ateral</w:t>
            </w:r>
            <w:r>
              <w:rPr>
                <w:rFonts w:ascii="Corbel"/>
                <w:spacing w:val="-2"/>
                <w:sz w:val="22"/>
              </w:rPr>
              <w:t> </w:t>
            </w:r>
            <w:r>
              <w:rPr>
                <w:rFonts w:ascii="Corbel"/>
                <w:spacing w:val="-1"/>
                <w:w w:val="100"/>
                <w:sz w:val="22"/>
              </w:rPr>
              <w:t>d</w:t>
            </w:r>
            <w:r>
              <w:rPr>
                <w:rFonts w:ascii="Corbel"/>
                <w:w w:val="100"/>
                <w:sz w:val="22"/>
              </w:rPr>
              <w:t>erecha</w:t>
            </w:r>
            <w:r>
              <w:rPr>
                <w:rFonts w:ascii="Corbel"/>
                <w:spacing w:val="-4"/>
                <w:sz w:val="22"/>
              </w:rPr>
              <w:t> </w:t>
            </w:r>
            <w:r>
              <w:rPr>
                <w:rFonts w:ascii="Corbel"/>
                <w:w w:val="100"/>
                <w:sz w:val="22"/>
              </w:rPr>
              <w:t>(e</w:t>
            </w:r>
            <w:r>
              <w:rPr>
                <w:rFonts w:ascii="Corbel"/>
                <w:spacing w:val="1"/>
                <w:w w:val="100"/>
                <w:sz w:val="22"/>
              </w:rPr>
              <w:t>n</w:t>
            </w:r>
            <w:r>
              <w:rPr>
                <w:rFonts w:ascii="Corbel"/>
                <w:spacing w:val="-3"/>
                <w:w w:val="100"/>
                <w:sz w:val="22"/>
              </w:rPr>
              <w:t>t</w:t>
            </w:r>
            <w:r>
              <w:rPr>
                <w:rFonts w:ascii="Corbel"/>
                <w:w w:val="100"/>
                <w:sz w:val="22"/>
              </w:rPr>
              <w:t>re</w:t>
            </w:r>
            <w:r>
              <w:rPr>
                <w:rFonts w:ascii="Corbel"/>
                <w:sz w:val="22"/>
              </w:rPr>
              <w:t> </w:t>
            </w:r>
            <w:r>
              <w:rPr>
                <w:rFonts w:ascii="Corbel"/>
                <w:spacing w:val="-1"/>
                <w:w w:val="100"/>
                <w:sz w:val="22"/>
              </w:rPr>
              <w:t>l</w:t>
            </w:r>
            <w:r>
              <w:rPr>
                <w:rFonts w:ascii="Corbel"/>
                <w:w w:val="100"/>
                <w:sz w:val="22"/>
              </w:rPr>
              <w:t>a</w:t>
            </w:r>
            <w:r>
              <w:rPr>
                <w:rFonts w:ascii="Corbel"/>
                <w:spacing w:val="-1"/>
                <w:sz w:val="22"/>
              </w:rPr>
              <w:t> </w:t>
            </w:r>
            <w:r>
              <w:rPr>
                <w:rFonts w:ascii="Corbel"/>
                <w:spacing w:val="-1"/>
                <w:w w:val="100"/>
                <w:sz w:val="22"/>
              </w:rPr>
              <w:t>c</w:t>
            </w:r>
            <w:r>
              <w:rPr>
                <w:rFonts w:ascii="Corbel"/>
                <w:w w:val="100"/>
                <w:sz w:val="22"/>
              </w:rPr>
              <w:t>a</w:t>
            </w:r>
            <w:r>
              <w:rPr>
                <w:rFonts w:ascii="Corbel"/>
                <w:spacing w:val="-2"/>
                <w:w w:val="100"/>
                <w:sz w:val="22"/>
              </w:rPr>
              <w:t>l</w:t>
            </w:r>
            <w:r>
              <w:rPr>
                <w:rFonts w:ascii="Corbel"/>
                <w:spacing w:val="-1"/>
                <w:w w:val="100"/>
                <w:sz w:val="22"/>
              </w:rPr>
              <w:t>l</w:t>
            </w:r>
            <w:r>
              <w:rPr>
                <w:rFonts w:ascii="Corbel"/>
                <w:w w:val="100"/>
                <w:sz w:val="22"/>
              </w:rPr>
              <w:t>e</w:t>
            </w:r>
            <w:r>
              <w:rPr>
                <w:rFonts w:ascii="Corbel"/>
                <w:spacing w:val="-1"/>
                <w:sz w:val="22"/>
              </w:rPr>
              <w:t> </w:t>
            </w:r>
            <w:r>
              <w:rPr>
                <w:rFonts w:ascii="Corbel"/>
                <w:smallCaps/>
                <w:w w:val="100"/>
                <w:sz w:val="22"/>
              </w:rPr>
              <w:t>2</w:t>
            </w:r>
            <w:r>
              <w:rPr>
                <w:rFonts w:ascii="Corbel"/>
                <w:smallCaps w:val="0"/>
                <w:spacing w:val="-1"/>
                <w:sz w:val="22"/>
              </w:rPr>
              <w:t> </w:t>
            </w:r>
            <w:r>
              <w:rPr>
                <w:rFonts w:ascii="Corbel"/>
                <w:smallCaps w:val="0"/>
                <w:spacing w:val="-1"/>
                <w:w w:val="100"/>
                <w:sz w:val="22"/>
              </w:rPr>
              <w:t>d</w:t>
            </w:r>
            <w:r>
              <w:rPr>
                <w:rFonts w:ascii="Corbel"/>
                <w:smallCaps w:val="0"/>
                <w:w w:val="100"/>
                <w:sz w:val="22"/>
              </w:rPr>
              <w:t>e</w:t>
            </w:r>
            <w:r>
              <w:rPr>
                <w:rFonts w:ascii="Corbel"/>
                <w:smallCaps w:val="0"/>
                <w:spacing w:val="-1"/>
                <w:sz w:val="22"/>
              </w:rPr>
              <w:t> </w:t>
            </w:r>
            <w:r>
              <w:rPr>
                <w:rFonts w:ascii="Corbel"/>
                <w:smallCaps w:val="0"/>
                <w:spacing w:val="-2"/>
                <w:w w:val="100"/>
                <w:sz w:val="22"/>
              </w:rPr>
              <w:t>A</w:t>
            </w:r>
            <w:r>
              <w:rPr>
                <w:rFonts w:ascii="Corbel"/>
                <w:smallCaps w:val="0"/>
                <w:spacing w:val="-1"/>
                <w:w w:val="100"/>
                <w:sz w:val="22"/>
              </w:rPr>
              <w:t>b</w:t>
            </w:r>
            <w:r>
              <w:rPr>
                <w:rFonts w:ascii="Corbel"/>
                <w:smallCaps w:val="0"/>
                <w:w w:val="100"/>
                <w:sz w:val="22"/>
              </w:rPr>
              <w:t>ril</w:t>
            </w:r>
            <w:r>
              <w:rPr>
                <w:rFonts w:ascii="Corbel"/>
                <w:smallCaps w:val="0"/>
                <w:sz w:val="22"/>
              </w:rPr>
              <w:t> </w:t>
            </w:r>
            <w:r>
              <w:rPr>
                <w:rFonts w:ascii="Corbel"/>
                <w:smallCaps w:val="0"/>
                <w:w w:val="100"/>
                <w:sz w:val="22"/>
              </w:rPr>
              <w:t>y</w:t>
            </w:r>
            <w:r>
              <w:rPr>
                <w:rFonts w:ascii="Corbel"/>
                <w:smallCaps w:val="0"/>
                <w:spacing w:val="1"/>
                <w:sz w:val="22"/>
              </w:rPr>
              <w:t> </w:t>
            </w:r>
            <w:r>
              <w:rPr>
                <w:rFonts w:ascii="Corbel"/>
                <w:smallCaps w:val="0"/>
                <w:w w:val="100"/>
                <w:sz w:val="22"/>
              </w:rPr>
              <w:t>M</w:t>
            </w:r>
            <w:r>
              <w:rPr>
                <w:rFonts w:ascii="Corbel"/>
                <w:smallCaps w:val="0"/>
                <w:spacing w:val="-1"/>
                <w:w w:val="100"/>
                <w:sz w:val="22"/>
              </w:rPr>
              <w:t>i</w:t>
            </w:r>
            <w:r>
              <w:rPr>
                <w:rFonts w:ascii="Corbel"/>
                <w:smallCaps w:val="0"/>
                <w:w w:val="100"/>
                <w:sz w:val="22"/>
              </w:rPr>
              <w:t>g</w:t>
            </w:r>
            <w:r>
              <w:rPr>
                <w:rFonts w:ascii="Corbel"/>
                <w:smallCaps w:val="0"/>
                <w:spacing w:val="-2"/>
                <w:w w:val="100"/>
                <w:sz w:val="22"/>
              </w:rPr>
              <w:t>u</w:t>
            </w:r>
            <w:r>
              <w:rPr>
                <w:rFonts w:ascii="Corbel"/>
                <w:smallCaps w:val="0"/>
                <w:w w:val="100"/>
                <w:sz w:val="22"/>
              </w:rPr>
              <w:t>el</w:t>
            </w:r>
            <w:r>
              <w:rPr>
                <w:rFonts w:ascii="Corbel"/>
                <w:smallCaps w:val="0"/>
                <w:spacing w:val="-1"/>
                <w:sz w:val="22"/>
              </w:rPr>
              <w:t> </w:t>
            </w:r>
            <w:r>
              <w:rPr>
                <w:rFonts w:ascii="Corbel"/>
                <w:smallCaps w:val="0"/>
                <w:spacing w:val="-1"/>
                <w:w w:val="100"/>
                <w:sz w:val="22"/>
              </w:rPr>
              <w:t>H</w:t>
            </w:r>
            <w:r>
              <w:rPr>
                <w:rFonts w:ascii="Corbel"/>
                <w:smallCaps w:val="0"/>
                <w:w w:val="100"/>
                <w:sz w:val="22"/>
              </w:rPr>
              <w:t>uer</w:t>
            </w:r>
            <w:r>
              <w:rPr>
                <w:rFonts w:ascii="Corbel"/>
                <w:smallCaps w:val="0"/>
                <w:spacing w:val="-1"/>
                <w:w w:val="100"/>
                <w:sz w:val="22"/>
              </w:rPr>
              <w:t>t</w:t>
            </w:r>
            <w:r>
              <w:rPr>
                <w:rFonts w:ascii="Corbel"/>
                <w:smallCaps w:val="0"/>
                <w:spacing w:val="-3"/>
                <w:w w:val="100"/>
                <w:sz w:val="22"/>
              </w:rPr>
              <w:t>a</w:t>
            </w:r>
            <w:r>
              <w:rPr>
                <w:rFonts w:ascii="Corbel"/>
                <w:smallCaps w:val="0"/>
                <w:w w:val="100"/>
                <w:sz w:val="22"/>
              </w:rPr>
              <w:t>) </w:t>
            </w:r>
            <w:r>
              <w:rPr>
                <w:rFonts w:ascii="Corbel"/>
                <w:smallCaps w:val="0"/>
                <w:spacing w:val="-1"/>
                <w:w w:val="100"/>
                <w:sz w:val="22"/>
              </w:rPr>
              <w:t>Co</w:t>
            </w:r>
            <w:r>
              <w:rPr>
                <w:rFonts w:ascii="Corbel"/>
                <w:smallCaps w:val="0"/>
                <w:spacing w:val="-2"/>
                <w:w w:val="100"/>
                <w:sz w:val="22"/>
              </w:rPr>
              <w:t>l</w:t>
            </w:r>
            <w:r>
              <w:rPr>
                <w:rFonts w:ascii="Corbel"/>
                <w:smallCaps w:val="0"/>
                <w:spacing w:val="-1"/>
                <w:w w:val="100"/>
                <w:sz w:val="22"/>
              </w:rPr>
              <w:t>o</w:t>
            </w:r>
            <w:r>
              <w:rPr>
                <w:rFonts w:ascii="Corbel"/>
                <w:smallCaps w:val="0"/>
                <w:w w:val="100"/>
                <w:sz w:val="22"/>
              </w:rPr>
              <w:t>n</w:t>
            </w:r>
            <w:r>
              <w:rPr>
                <w:rFonts w:ascii="Corbel"/>
                <w:smallCaps w:val="0"/>
                <w:spacing w:val="-1"/>
                <w:w w:val="100"/>
                <w:sz w:val="22"/>
              </w:rPr>
              <w:t>i</w:t>
            </w:r>
            <w:r>
              <w:rPr>
                <w:rFonts w:ascii="Corbel"/>
                <w:smallCaps w:val="0"/>
                <w:w w:val="100"/>
                <w:sz w:val="22"/>
              </w:rPr>
              <w:t>a</w:t>
            </w:r>
            <w:r>
              <w:rPr>
                <w:rFonts w:ascii="Corbel"/>
                <w:smallCaps w:val="0"/>
                <w:spacing w:val="-1"/>
                <w:sz w:val="22"/>
              </w:rPr>
              <w:t> </w:t>
            </w:r>
            <w:r>
              <w:rPr>
                <w:rFonts w:ascii="Corbel"/>
                <w:smallCaps w:val="0"/>
                <w:w w:val="100"/>
                <w:sz w:val="22"/>
              </w:rPr>
              <w:t>L</w:t>
            </w:r>
            <w:r>
              <w:rPr>
                <w:rFonts w:ascii="Corbel"/>
                <w:smallCaps w:val="0"/>
                <w:spacing w:val="-1"/>
                <w:w w:val="100"/>
                <w:sz w:val="22"/>
              </w:rPr>
              <w:t>o</w:t>
            </w:r>
            <w:r>
              <w:rPr>
                <w:rFonts w:ascii="Corbel"/>
                <w:smallCaps w:val="0"/>
                <w:w w:val="100"/>
                <w:sz w:val="22"/>
              </w:rPr>
              <w:t>s</w:t>
            </w:r>
            <w:r>
              <w:rPr>
                <w:rFonts w:ascii="Corbel"/>
                <w:smallCaps w:val="0"/>
                <w:spacing w:val="-2"/>
                <w:sz w:val="22"/>
              </w:rPr>
              <w:t> </w:t>
            </w:r>
            <w:r>
              <w:rPr>
                <w:rFonts w:ascii="Corbel"/>
                <w:smallCaps w:val="0"/>
                <w:spacing w:val="-2"/>
                <w:w w:val="100"/>
                <w:sz w:val="22"/>
              </w:rPr>
              <w:t>P</w:t>
            </w:r>
            <w:r>
              <w:rPr>
                <w:rFonts w:ascii="Corbel"/>
                <w:smallCaps w:val="0"/>
                <w:spacing w:val="-1"/>
                <w:w w:val="100"/>
                <w:sz w:val="22"/>
              </w:rPr>
              <w:t>i</w:t>
            </w:r>
            <w:r>
              <w:rPr>
                <w:rFonts w:ascii="Corbel"/>
                <w:smallCaps w:val="0"/>
                <w:spacing w:val="1"/>
                <w:w w:val="100"/>
                <w:sz w:val="22"/>
              </w:rPr>
              <w:t>n</w:t>
            </w:r>
            <w:r>
              <w:rPr>
                <w:rFonts w:ascii="Corbel"/>
                <w:smallCaps w:val="0"/>
                <w:spacing w:val="-1"/>
                <w:w w:val="100"/>
                <w:sz w:val="22"/>
              </w:rPr>
              <w:t>os</w:t>
            </w:r>
            <w:r>
              <w:rPr>
                <w:rFonts w:ascii="Corbel"/>
                <w:smallCaps w:val="0"/>
                <w:w w:val="100"/>
                <w:sz w:val="22"/>
              </w:rPr>
              <w:t>,</w:t>
            </w:r>
            <w:r>
              <w:rPr>
                <w:rFonts w:ascii="Corbel"/>
                <w:smallCaps w:val="0"/>
                <w:spacing w:val="-2"/>
                <w:sz w:val="22"/>
              </w:rPr>
              <w:t> </w:t>
            </w:r>
            <w:r>
              <w:rPr>
                <w:rFonts w:ascii="Corbel"/>
                <w:smallCaps w:val="0"/>
                <w:w w:val="100"/>
                <w:sz w:val="22"/>
              </w:rPr>
              <w:t>Magd</w:t>
            </w:r>
            <w:r>
              <w:rPr>
                <w:rFonts w:ascii="Corbel"/>
                <w:smallCaps w:val="0"/>
                <w:spacing w:val="-1"/>
                <w:w w:val="100"/>
                <w:sz w:val="22"/>
              </w:rPr>
              <w:t>a</w:t>
            </w:r>
            <w:r>
              <w:rPr>
                <w:rFonts w:ascii="Corbel"/>
                <w:smallCaps w:val="0"/>
                <w:spacing w:val="-4"/>
                <w:w w:val="100"/>
                <w:sz w:val="22"/>
              </w:rPr>
              <w:t>l</w:t>
            </w:r>
            <w:r>
              <w:rPr>
                <w:rFonts w:ascii="Corbel"/>
                <w:smallCaps w:val="0"/>
                <w:w w:val="100"/>
                <w:sz w:val="22"/>
              </w:rPr>
              <w:t>e</w:t>
            </w:r>
            <w:r>
              <w:rPr>
                <w:rFonts w:ascii="Corbel"/>
                <w:smallCaps w:val="0"/>
                <w:spacing w:val="1"/>
                <w:w w:val="100"/>
                <w:sz w:val="22"/>
              </w:rPr>
              <w:t>n</w:t>
            </w:r>
            <w:r>
              <w:rPr>
                <w:rFonts w:ascii="Corbel"/>
                <w:smallCaps w:val="0"/>
                <w:w w:val="100"/>
                <w:sz w:val="22"/>
              </w:rPr>
              <w:t>a.</w:t>
            </w:r>
          </w:p>
        </w:tc>
      </w:tr>
      <w:tr>
        <w:trPr>
          <w:trHeight w:val="736" w:hRule="atLeast"/>
        </w:trPr>
        <w:tc>
          <w:tcPr>
            <w:tcW w:w="8932" w:type="dxa"/>
            <w:tcBorders>
              <w:top w:val="single" w:sz="6" w:space="0" w:color="000000"/>
              <w:bottom w:val="single" w:sz="6" w:space="0" w:color="000000"/>
            </w:tcBorders>
          </w:tcPr>
          <w:p>
            <w:pPr>
              <w:pStyle w:val="TableParagraph"/>
              <w:spacing w:before="74"/>
              <w:ind w:left="79"/>
              <w:rPr>
                <w:rFonts w:ascii="Corbel"/>
                <w:sz w:val="22"/>
              </w:rPr>
            </w:pPr>
            <w:r>
              <w:rPr>
                <w:rFonts w:ascii="Corbel"/>
                <w:sz w:val="22"/>
              </w:rPr>
              <w:t>Arreglo de la Calle: Vicente Guerrero, Colonia El Santuario, Magdalena.</w:t>
            </w:r>
          </w:p>
        </w:tc>
      </w:tr>
      <w:tr>
        <w:trPr>
          <w:trHeight w:val="467" w:hRule="atLeast"/>
        </w:trPr>
        <w:tc>
          <w:tcPr>
            <w:tcW w:w="8932" w:type="dxa"/>
            <w:tcBorders>
              <w:top w:val="single" w:sz="6" w:space="0" w:color="000000"/>
              <w:bottom w:val="single" w:sz="6" w:space="0" w:color="000000"/>
            </w:tcBorders>
          </w:tcPr>
          <w:p>
            <w:pPr>
              <w:pStyle w:val="TableParagraph"/>
              <w:spacing w:before="74"/>
              <w:ind w:left="79"/>
              <w:rPr>
                <w:rFonts w:ascii="Corbel"/>
                <w:sz w:val="22"/>
              </w:rPr>
            </w:pPr>
            <w:r>
              <w:rPr>
                <w:rFonts w:ascii="Corbel"/>
                <w:sz w:val="22"/>
              </w:rPr>
              <w:t>Arreglo de la Calle: Javier Mina, Colonia Los Llanitos, Magdalena.</w:t>
            </w:r>
          </w:p>
        </w:tc>
      </w:tr>
      <w:tr>
        <w:trPr>
          <w:trHeight w:val="467" w:hRule="atLeast"/>
        </w:trPr>
        <w:tc>
          <w:tcPr>
            <w:tcW w:w="8932" w:type="dxa"/>
            <w:tcBorders>
              <w:top w:val="single" w:sz="6" w:space="0" w:color="000000"/>
              <w:bottom w:val="single" w:sz="6" w:space="0" w:color="000000"/>
            </w:tcBorders>
          </w:tcPr>
          <w:p>
            <w:pPr>
              <w:pStyle w:val="TableParagraph"/>
              <w:spacing w:before="74"/>
              <w:ind w:left="79"/>
              <w:rPr>
                <w:rFonts w:ascii="Corbel"/>
                <w:sz w:val="22"/>
              </w:rPr>
            </w:pPr>
            <w:r>
              <w:rPr>
                <w:rFonts w:ascii="Corbel"/>
                <w:sz w:val="22"/>
              </w:rPr>
              <w:t>Arreglo de la Calle: Bella Vista, Colonia El Cerrito, Magdalena.</w:t>
            </w:r>
          </w:p>
        </w:tc>
      </w:tr>
      <w:tr>
        <w:trPr>
          <w:trHeight w:val="467" w:hRule="atLeast"/>
        </w:trPr>
        <w:tc>
          <w:tcPr>
            <w:tcW w:w="8932" w:type="dxa"/>
            <w:tcBorders>
              <w:top w:val="single" w:sz="6" w:space="0" w:color="000000"/>
              <w:bottom w:val="single" w:sz="6" w:space="0" w:color="000000"/>
            </w:tcBorders>
          </w:tcPr>
          <w:p>
            <w:pPr>
              <w:pStyle w:val="TableParagraph"/>
              <w:spacing w:before="74"/>
              <w:ind w:left="79"/>
              <w:rPr>
                <w:rFonts w:ascii="Corbel" w:hAnsi="Corbel"/>
                <w:sz w:val="22"/>
              </w:rPr>
            </w:pPr>
            <w:r>
              <w:rPr>
                <w:rFonts w:ascii="Corbel" w:hAnsi="Corbel"/>
                <w:sz w:val="22"/>
              </w:rPr>
              <w:t>Arreglo de la Calle: Flavio Rodríguez, Colonia El Cerrito, Magdalena.</w:t>
            </w:r>
          </w:p>
        </w:tc>
      </w:tr>
    </w:tbl>
    <w:p>
      <w:pPr>
        <w:pStyle w:val="BodyText"/>
        <w:rPr>
          <w:rFonts w:ascii="Times New Roman"/>
          <w:sz w:val="20"/>
        </w:rPr>
      </w:pPr>
    </w:p>
    <w:p>
      <w:pPr>
        <w:pStyle w:val="BodyText"/>
        <w:spacing w:before="4"/>
        <w:rPr>
          <w:rFonts w:ascii="Times New Roman"/>
          <w:sz w:val="17"/>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84"/>
      </w:tblGrid>
      <w:tr>
        <w:trPr>
          <w:trHeight w:val="735" w:hRule="atLeast"/>
        </w:trPr>
        <w:tc>
          <w:tcPr>
            <w:tcW w:w="7984" w:type="dxa"/>
            <w:tcBorders>
              <w:bottom w:val="single" w:sz="6" w:space="0" w:color="000000"/>
            </w:tcBorders>
          </w:tcPr>
          <w:p>
            <w:pPr>
              <w:pStyle w:val="TableParagraph"/>
              <w:spacing w:before="76"/>
              <w:ind w:left="79"/>
              <w:rPr>
                <w:rFonts w:ascii="Corbel"/>
                <w:sz w:val="22"/>
              </w:rPr>
            </w:pPr>
            <w:r>
              <w:rPr>
                <w:rFonts w:ascii="Corbel"/>
                <w:sz w:val="22"/>
              </w:rPr>
              <w:t>Arreglo de la calle: Zafiro Estrella, Colonia Miguel Hidalgo, Magdalena</w:t>
            </w:r>
          </w:p>
        </w:tc>
      </w:tr>
      <w:tr>
        <w:trPr>
          <w:trHeight w:val="467" w:hRule="atLeast"/>
        </w:trPr>
        <w:tc>
          <w:tcPr>
            <w:tcW w:w="7984" w:type="dxa"/>
            <w:tcBorders>
              <w:top w:val="single" w:sz="6" w:space="0" w:color="000000"/>
              <w:bottom w:val="single" w:sz="6" w:space="0" w:color="000000"/>
            </w:tcBorders>
          </w:tcPr>
          <w:p>
            <w:pPr>
              <w:pStyle w:val="TableParagraph"/>
              <w:spacing w:before="77"/>
              <w:ind w:left="79"/>
              <w:rPr>
                <w:rFonts w:ascii="Corbel" w:hAnsi="Corbel"/>
                <w:sz w:val="22"/>
              </w:rPr>
            </w:pPr>
            <w:r>
              <w:rPr>
                <w:rFonts w:ascii="Corbel" w:hAnsi="Corbel"/>
                <w:sz w:val="22"/>
              </w:rPr>
              <w:t>Arreglo de la calle: Tepic, Colonia La Estación, Magdalena</w:t>
            </w:r>
          </w:p>
        </w:tc>
      </w:tr>
      <w:tr>
        <w:trPr>
          <w:trHeight w:val="467" w:hRule="atLeast"/>
        </w:trPr>
        <w:tc>
          <w:tcPr>
            <w:tcW w:w="7984" w:type="dxa"/>
            <w:tcBorders>
              <w:top w:val="single" w:sz="6" w:space="0" w:color="000000"/>
              <w:bottom w:val="single" w:sz="6" w:space="0" w:color="000000"/>
            </w:tcBorders>
          </w:tcPr>
          <w:p>
            <w:pPr>
              <w:pStyle w:val="TableParagraph"/>
              <w:spacing w:before="74"/>
              <w:ind w:left="79"/>
              <w:rPr>
                <w:rFonts w:ascii="Corbel" w:hAnsi="Corbel"/>
                <w:sz w:val="22"/>
              </w:rPr>
            </w:pPr>
            <w:r>
              <w:rPr>
                <w:rFonts w:ascii="Corbel" w:hAnsi="Corbel"/>
                <w:sz w:val="22"/>
              </w:rPr>
              <w:t>Arreglo de la calle: Álamo, Colonia La Cañita, Magdalena</w:t>
            </w:r>
          </w:p>
        </w:tc>
      </w:tr>
      <w:tr>
        <w:trPr>
          <w:trHeight w:val="746" w:hRule="atLeast"/>
        </w:trPr>
        <w:tc>
          <w:tcPr>
            <w:tcW w:w="7984" w:type="dxa"/>
            <w:tcBorders>
              <w:top w:val="single" w:sz="6" w:space="0" w:color="000000"/>
              <w:bottom w:val="single" w:sz="6" w:space="0" w:color="000000"/>
            </w:tcBorders>
          </w:tcPr>
          <w:p>
            <w:pPr>
              <w:pStyle w:val="TableParagraph"/>
              <w:spacing w:before="75"/>
              <w:ind w:left="79"/>
              <w:rPr>
                <w:rFonts w:ascii="Corbel" w:hAnsi="Corbel"/>
                <w:sz w:val="22"/>
              </w:rPr>
            </w:pPr>
            <w:r>
              <w:rPr>
                <w:rFonts w:ascii="Corbel" w:hAnsi="Corbel"/>
                <w:sz w:val="22"/>
              </w:rPr>
              <w:t>Arreglo de la calle: Felipe Ángeles, Delegación Ojo Zarco, Magdalena</w:t>
            </w:r>
          </w:p>
        </w:tc>
      </w:tr>
    </w:tbl>
    <w:p>
      <w:pPr>
        <w:pStyle w:val="BodyText"/>
        <w:rPr>
          <w:rFonts w:ascii="Times New Roman"/>
          <w:sz w:val="20"/>
        </w:rPr>
      </w:pPr>
    </w:p>
    <w:p>
      <w:pPr>
        <w:pStyle w:val="Heading2"/>
        <w:tabs>
          <w:tab w:pos="10428" w:val="left" w:leader="none"/>
        </w:tabs>
        <w:spacing w:before="222"/>
        <w:rPr>
          <w:rFonts w:ascii="Century Gothic"/>
        </w:rPr>
      </w:pPr>
      <w:r>
        <w:rPr>
          <w:rFonts w:ascii="Century Gothic"/>
          <w:color w:val="3D3D3D"/>
          <w:shd w:fill="C2D59B" w:color="auto" w:val="clear"/>
        </w:rPr>
        <w:t>DESARROLLO</w:t>
      </w:r>
      <w:r>
        <w:rPr>
          <w:rFonts w:ascii="Century Gothic"/>
          <w:color w:val="3D3D3D"/>
          <w:spacing w:val="-9"/>
          <w:shd w:fill="C2D59B" w:color="auto" w:val="clear"/>
        </w:rPr>
        <w:t> </w:t>
      </w:r>
      <w:r>
        <w:rPr>
          <w:rFonts w:ascii="Century Gothic"/>
          <w:color w:val="3D3D3D"/>
          <w:shd w:fill="C2D59B" w:color="auto" w:val="clear"/>
        </w:rPr>
        <w:t>SOCIAL</w:t>
        <w:tab/>
      </w:r>
    </w:p>
    <w:p>
      <w:pPr>
        <w:pStyle w:val="BodyText"/>
        <w:rPr>
          <w:b/>
          <w:sz w:val="20"/>
        </w:rPr>
      </w:pPr>
    </w:p>
    <w:p>
      <w:pPr>
        <w:pStyle w:val="BodyText"/>
        <w:rPr>
          <w:b/>
          <w:sz w:val="20"/>
        </w:rPr>
      </w:pPr>
    </w:p>
    <w:p>
      <w:pPr>
        <w:pStyle w:val="BodyText"/>
        <w:spacing w:before="8"/>
        <w:rPr>
          <w:b/>
          <w:sz w:val="11"/>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7881"/>
      </w:tblGrid>
      <w:tr>
        <w:trPr>
          <w:trHeight w:val="607" w:hRule="atLeast"/>
        </w:trPr>
        <w:tc>
          <w:tcPr>
            <w:tcW w:w="8980" w:type="dxa"/>
            <w:gridSpan w:val="2"/>
            <w:tcBorders>
              <w:bottom w:val="single" w:sz="6" w:space="0" w:color="000000"/>
            </w:tcBorders>
          </w:tcPr>
          <w:p>
            <w:pPr>
              <w:pStyle w:val="TableParagraph"/>
              <w:tabs>
                <w:tab w:pos="1883" w:val="left" w:leader="none"/>
                <w:tab w:pos="8926" w:val="left" w:leader="none"/>
              </w:tabs>
              <w:spacing w:before="81"/>
              <w:ind w:left="50"/>
              <w:rPr>
                <w:sz w:val="22"/>
              </w:rPr>
            </w:pPr>
            <w:r>
              <w:rPr>
                <w:w w:val="100"/>
                <w:sz w:val="22"/>
                <w:shd w:fill="C2D59B" w:color="auto" w:val="clear"/>
              </w:rPr>
              <w:t> </w:t>
            </w:r>
            <w:r>
              <w:rPr>
                <w:sz w:val="22"/>
                <w:shd w:fill="C2D59B" w:color="auto" w:val="clear"/>
              </w:rPr>
              <w:tab/>
              <w:t>INFRAESTRUCTURA DEPORTIVA Y DE</w:t>
            </w:r>
            <w:r>
              <w:rPr>
                <w:spacing w:val="-15"/>
                <w:sz w:val="22"/>
                <w:shd w:fill="C2D59B" w:color="auto" w:val="clear"/>
              </w:rPr>
              <w:t> </w:t>
            </w:r>
            <w:r>
              <w:rPr>
                <w:sz w:val="22"/>
                <w:shd w:fill="C2D59B" w:color="auto" w:val="clear"/>
              </w:rPr>
              <w:t>RECREACIÓN</w:t>
              <w:tab/>
            </w:r>
          </w:p>
        </w:tc>
      </w:tr>
      <w:tr>
        <w:trPr>
          <w:trHeight w:val="736" w:hRule="atLeast"/>
        </w:trPr>
        <w:tc>
          <w:tcPr>
            <w:tcW w:w="1099" w:type="dxa"/>
            <w:tcBorders>
              <w:top w:val="single" w:sz="6" w:space="0" w:color="000000"/>
              <w:bottom w:val="single" w:sz="6" w:space="0" w:color="000000"/>
            </w:tcBorders>
          </w:tcPr>
          <w:p>
            <w:pPr>
              <w:pStyle w:val="TableParagraph"/>
              <w:spacing w:before="82"/>
              <w:ind w:left="79"/>
              <w:rPr>
                <w:sz w:val="22"/>
              </w:rPr>
            </w:pPr>
            <w:r>
              <w:rPr>
                <w:sz w:val="22"/>
              </w:rPr>
              <w:t>31</w:t>
            </w:r>
          </w:p>
        </w:tc>
        <w:tc>
          <w:tcPr>
            <w:tcW w:w="7881" w:type="dxa"/>
            <w:tcBorders>
              <w:top w:val="single" w:sz="6" w:space="0" w:color="000000"/>
              <w:bottom w:val="single" w:sz="6" w:space="0" w:color="000000"/>
            </w:tcBorders>
          </w:tcPr>
          <w:p>
            <w:pPr>
              <w:pStyle w:val="TableParagraph"/>
              <w:spacing w:before="77"/>
              <w:ind w:left="81" w:right="685"/>
              <w:rPr>
                <w:rFonts w:ascii="Corbel" w:hAnsi="Corbel"/>
                <w:sz w:val="22"/>
              </w:rPr>
            </w:pPr>
            <w:r>
              <w:rPr>
                <w:rFonts w:ascii="Corbel" w:hAnsi="Corbel"/>
                <w:sz w:val="22"/>
              </w:rPr>
              <w:t>Construcción de Parque Ecológico "El Tacotal", Colonia Centro, en Magdalena, Jalisco</w:t>
            </w:r>
          </w:p>
        </w:tc>
      </w:tr>
      <w:tr>
        <w:trPr>
          <w:trHeight w:val="453" w:hRule="atLeast"/>
        </w:trPr>
        <w:tc>
          <w:tcPr>
            <w:tcW w:w="1099" w:type="dxa"/>
            <w:tcBorders>
              <w:top w:val="single" w:sz="6" w:space="0" w:color="000000"/>
              <w:bottom w:val="single" w:sz="6" w:space="0" w:color="000000"/>
            </w:tcBorders>
          </w:tcPr>
          <w:p>
            <w:pPr>
              <w:pStyle w:val="TableParagraph"/>
              <w:spacing w:before="80"/>
              <w:ind w:left="79"/>
              <w:rPr>
                <w:sz w:val="22"/>
              </w:rPr>
            </w:pPr>
            <w:r>
              <w:rPr>
                <w:sz w:val="22"/>
              </w:rPr>
              <w:t>32</w:t>
            </w:r>
          </w:p>
        </w:tc>
        <w:tc>
          <w:tcPr>
            <w:tcW w:w="7881" w:type="dxa"/>
            <w:tcBorders>
              <w:top w:val="single" w:sz="6" w:space="0" w:color="000000"/>
              <w:bottom w:val="single" w:sz="6" w:space="0" w:color="000000"/>
            </w:tcBorders>
          </w:tcPr>
          <w:p>
            <w:pPr>
              <w:pStyle w:val="TableParagraph"/>
              <w:spacing w:before="75"/>
              <w:ind w:left="81"/>
              <w:rPr>
                <w:rFonts w:ascii="Corbel" w:hAnsi="Corbel"/>
                <w:sz w:val="22"/>
              </w:rPr>
            </w:pPr>
            <w:r>
              <w:rPr>
                <w:rFonts w:ascii="Corbel" w:hAnsi="Corbel"/>
                <w:sz w:val="22"/>
              </w:rPr>
              <w:t>Construcción de pisos, techos y muros firmes en viviendas</w:t>
            </w:r>
          </w:p>
        </w:tc>
      </w:tr>
      <w:tr>
        <w:trPr>
          <w:trHeight w:val="455" w:hRule="atLeast"/>
        </w:trPr>
        <w:tc>
          <w:tcPr>
            <w:tcW w:w="1099" w:type="dxa"/>
            <w:tcBorders>
              <w:top w:val="single" w:sz="6" w:space="0" w:color="000000"/>
              <w:bottom w:val="single" w:sz="6" w:space="0" w:color="000000"/>
            </w:tcBorders>
          </w:tcPr>
          <w:p>
            <w:pPr>
              <w:pStyle w:val="TableParagraph"/>
              <w:spacing w:before="82"/>
              <w:ind w:left="79"/>
              <w:rPr>
                <w:sz w:val="22"/>
              </w:rPr>
            </w:pPr>
            <w:r>
              <w:rPr>
                <w:sz w:val="22"/>
              </w:rPr>
              <w:t>33</w:t>
            </w:r>
          </w:p>
        </w:tc>
        <w:tc>
          <w:tcPr>
            <w:tcW w:w="7881" w:type="dxa"/>
            <w:tcBorders>
              <w:top w:val="single" w:sz="6" w:space="0" w:color="000000"/>
              <w:bottom w:val="single" w:sz="6" w:space="0" w:color="000000"/>
            </w:tcBorders>
          </w:tcPr>
          <w:p>
            <w:pPr>
              <w:pStyle w:val="TableParagraph"/>
              <w:spacing w:before="77"/>
              <w:ind w:left="81"/>
              <w:rPr>
                <w:rFonts w:ascii="Corbel" w:hAnsi="Corbel"/>
                <w:sz w:val="22"/>
              </w:rPr>
            </w:pPr>
            <w:r>
              <w:rPr>
                <w:rFonts w:ascii="Corbel" w:hAnsi="Corbel"/>
                <w:sz w:val="22"/>
              </w:rPr>
              <w:t>Construcción de cuartos para baño, cocinas y dormitorios en viviendas</w:t>
            </w:r>
          </w:p>
        </w:tc>
      </w:tr>
      <w:tr>
        <w:trPr>
          <w:trHeight w:val="894" w:hRule="atLeast"/>
        </w:trPr>
        <w:tc>
          <w:tcPr>
            <w:tcW w:w="1099" w:type="dxa"/>
            <w:tcBorders>
              <w:top w:val="single" w:sz="6" w:space="0" w:color="000000"/>
              <w:bottom w:val="single" w:sz="6" w:space="0" w:color="000000"/>
            </w:tcBorders>
          </w:tcPr>
          <w:p>
            <w:pPr>
              <w:pStyle w:val="TableParagraph"/>
              <w:spacing w:before="82"/>
              <w:ind w:left="79"/>
              <w:rPr>
                <w:sz w:val="22"/>
              </w:rPr>
            </w:pPr>
            <w:r>
              <w:rPr>
                <w:sz w:val="22"/>
              </w:rPr>
              <w:t>34</w:t>
            </w:r>
          </w:p>
        </w:tc>
        <w:tc>
          <w:tcPr>
            <w:tcW w:w="7881" w:type="dxa"/>
            <w:tcBorders>
              <w:top w:val="single" w:sz="6" w:space="0" w:color="000000"/>
              <w:bottom w:val="single" w:sz="6" w:space="0" w:color="000000"/>
            </w:tcBorders>
          </w:tcPr>
          <w:p>
            <w:pPr>
              <w:pStyle w:val="TableParagraph"/>
              <w:spacing w:line="259" w:lineRule="auto" w:before="77"/>
              <w:ind w:left="81" w:right="272"/>
              <w:rPr>
                <w:rFonts w:ascii="Corbel" w:hAnsi="Corbel"/>
                <w:sz w:val="22"/>
              </w:rPr>
            </w:pPr>
            <w:r>
              <w:rPr>
                <w:rFonts w:ascii="Corbel" w:hAnsi="Corbel"/>
                <w:sz w:val="22"/>
              </w:rPr>
              <w:t>Rehabilitación de Campo de Béisbol en la delegación de San Andrés, en Magdalena Jalisco.</w:t>
            </w:r>
          </w:p>
        </w:tc>
      </w:tr>
    </w:tbl>
    <w:p>
      <w:pPr>
        <w:spacing w:after="0" w:line="259" w:lineRule="auto"/>
        <w:rPr>
          <w:rFonts w:ascii="Corbel" w:hAnsi="Corbel"/>
          <w:sz w:val="22"/>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7881"/>
      </w:tblGrid>
      <w:tr>
        <w:trPr>
          <w:trHeight w:val="895" w:hRule="atLeast"/>
        </w:trPr>
        <w:tc>
          <w:tcPr>
            <w:tcW w:w="1099" w:type="dxa"/>
            <w:tcBorders>
              <w:bottom w:val="single" w:sz="6" w:space="0" w:color="000000"/>
            </w:tcBorders>
          </w:tcPr>
          <w:p>
            <w:pPr>
              <w:pStyle w:val="TableParagraph"/>
              <w:spacing w:before="83"/>
              <w:ind w:left="79"/>
              <w:rPr>
                <w:sz w:val="22"/>
              </w:rPr>
            </w:pPr>
            <w:r>
              <w:rPr>
                <w:sz w:val="22"/>
              </w:rPr>
              <w:t>35</w:t>
            </w:r>
          </w:p>
        </w:tc>
        <w:tc>
          <w:tcPr>
            <w:tcW w:w="7881" w:type="dxa"/>
            <w:tcBorders>
              <w:bottom w:val="single" w:sz="6" w:space="0" w:color="000000"/>
            </w:tcBorders>
          </w:tcPr>
          <w:p>
            <w:pPr>
              <w:pStyle w:val="TableParagraph"/>
              <w:spacing w:line="256" w:lineRule="auto" w:before="78"/>
              <w:ind w:left="81" w:right="372"/>
              <w:rPr>
                <w:rFonts w:ascii="Corbel" w:hAnsi="Corbel"/>
                <w:sz w:val="22"/>
              </w:rPr>
            </w:pPr>
            <w:r>
              <w:rPr>
                <w:rFonts w:ascii="Corbel" w:hAnsi="Corbel"/>
                <w:sz w:val="22"/>
              </w:rPr>
              <w:t>Construcción de Parque Recreativo "La Era", Delegación La Quemada, Magdalena Jal.</w:t>
            </w:r>
          </w:p>
        </w:tc>
      </w:tr>
      <w:tr>
        <w:trPr>
          <w:trHeight w:val="894" w:hRule="atLeast"/>
        </w:trPr>
        <w:tc>
          <w:tcPr>
            <w:tcW w:w="1099" w:type="dxa"/>
            <w:tcBorders>
              <w:top w:val="single" w:sz="6" w:space="0" w:color="000000"/>
              <w:bottom w:val="single" w:sz="6" w:space="0" w:color="000000"/>
            </w:tcBorders>
          </w:tcPr>
          <w:p>
            <w:pPr>
              <w:pStyle w:val="TableParagraph"/>
              <w:spacing w:before="82"/>
              <w:ind w:left="79"/>
              <w:rPr>
                <w:sz w:val="22"/>
              </w:rPr>
            </w:pPr>
            <w:r>
              <w:rPr>
                <w:sz w:val="22"/>
              </w:rPr>
              <w:t>36</w:t>
            </w:r>
          </w:p>
        </w:tc>
        <w:tc>
          <w:tcPr>
            <w:tcW w:w="7881" w:type="dxa"/>
            <w:tcBorders>
              <w:top w:val="single" w:sz="6" w:space="0" w:color="000000"/>
              <w:bottom w:val="single" w:sz="6" w:space="0" w:color="000000"/>
            </w:tcBorders>
          </w:tcPr>
          <w:p>
            <w:pPr>
              <w:pStyle w:val="TableParagraph"/>
              <w:spacing w:line="256" w:lineRule="auto" w:before="77"/>
              <w:ind w:left="81" w:right="1140"/>
              <w:rPr>
                <w:rFonts w:ascii="Corbel" w:hAnsi="Corbel"/>
                <w:sz w:val="22"/>
              </w:rPr>
            </w:pPr>
            <w:r>
              <w:rPr>
                <w:rFonts w:ascii="Corbel" w:hAnsi="Corbel"/>
                <w:sz w:val="22"/>
              </w:rPr>
              <w:t>Construcción de Cancha de Usos Múltiples, Delegación Lo de Guevara, en Magdalena Jal.</w:t>
            </w:r>
          </w:p>
        </w:tc>
      </w:tr>
      <w:tr>
        <w:trPr>
          <w:trHeight w:val="894" w:hRule="atLeast"/>
        </w:trPr>
        <w:tc>
          <w:tcPr>
            <w:tcW w:w="1099" w:type="dxa"/>
            <w:tcBorders>
              <w:top w:val="single" w:sz="6" w:space="0" w:color="000000"/>
              <w:bottom w:val="single" w:sz="6" w:space="0" w:color="000000"/>
            </w:tcBorders>
          </w:tcPr>
          <w:p>
            <w:pPr>
              <w:pStyle w:val="TableParagraph"/>
              <w:spacing w:before="82"/>
              <w:ind w:left="79"/>
              <w:rPr>
                <w:sz w:val="22"/>
              </w:rPr>
            </w:pPr>
            <w:r>
              <w:rPr>
                <w:sz w:val="22"/>
              </w:rPr>
              <w:t>37</w:t>
            </w:r>
          </w:p>
        </w:tc>
        <w:tc>
          <w:tcPr>
            <w:tcW w:w="7881" w:type="dxa"/>
            <w:tcBorders>
              <w:top w:val="single" w:sz="6" w:space="0" w:color="000000"/>
              <w:bottom w:val="single" w:sz="6" w:space="0" w:color="000000"/>
            </w:tcBorders>
          </w:tcPr>
          <w:p>
            <w:pPr>
              <w:pStyle w:val="TableParagraph"/>
              <w:spacing w:line="256" w:lineRule="auto" w:before="77"/>
              <w:ind w:left="81"/>
              <w:rPr>
                <w:rFonts w:ascii="Corbel" w:hAnsi="Corbel"/>
                <w:sz w:val="22"/>
              </w:rPr>
            </w:pPr>
            <w:r>
              <w:rPr>
                <w:rFonts w:ascii="Corbel" w:hAnsi="Corbel"/>
                <w:smallCaps/>
                <w:w w:val="100"/>
                <w:sz w:val="22"/>
              </w:rPr>
              <w:t>2</w:t>
            </w:r>
            <w:r>
              <w:rPr>
                <w:rFonts w:ascii="Corbel" w:hAnsi="Corbel"/>
                <w:smallCaps/>
                <w:spacing w:val="-1"/>
                <w:w w:val="100"/>
                <w:sz w:val="22"/>
              </w:rPr>
              <w:t>d</w:t>
            </w:r>
            <w:r>
              <w:rPr>
                <w:rFonts w:ascii="Corbel" w:hAnsi="Corbel"/>
                <w:smallCaps w:val="0"/>
                <w:w w:val="100"/>
                <w:sz w:val="22"/>
              </w:rPr>
              <w:t>a</w:t>
            </w:r>
            <w:r>
              <w:rPr>
                <w:rFonts w:ascii="Corbel" w:hAnsi="Corbel"/>
                <w:smallCaps w:val="0"/>
                <w:spacing w:val="-1"/>
                <w:sz w:val="22"/>
              </w:rPr>
              <w:t> </w:t>
            </w:r>
            <w:r>
              <w:rPr>
                <w:rFonts w:ascii="Corbel" w:hAnsi="Corbel"/>
                <w:smallCaps w:val="0"/>
                <w:w w:val="100"/>
                <w:sz w:val="22"/>
              </w:rPr>
              <w:t>E</w:t>
            </w:r>
            <w:r>
              <w:rPr>
                <w:rFonts w:ascii="Corbel" w:hAnsi="Corbel"/>
                <w:smallCaps w:val="0"/>
                <w:spacing w:val="-1"/>
                <w:w w:val="100"/>
                <w:sz w:val="22"/>
              </w:rPr>
              <w:t>tap</w:t>
            </w:r>
            <w:r>
              <w:rPr>
                <w:rFonts w:ascii="Corbel" w:hAnsi="Corbel"/>
                <w:smallCaps w:val="0"/>
                <w:w w:val="100"/>
                <w:sz w:val="22"/>
              </w:rPr>
              <w:t>a</w:t>
            </w:r>
            <w:r>
              <w:rPr>
                <w:rFonts w:ascii="Corbel" w:hAnsi="Corbel"/>
                <w:smallCaps w:val="0"/>
                <w:spacing w:val="-1"/>
                <w:sz w:val="22"/>
              </w:rPr>
              <w:t> </w:t>
            </w:r>
            <w:r>
              <w:rPr>
                <w:rFonts w:ascii="Corbel" w:hAnsi="Corbel"/>
                <w:smallCaps w:val="0"/>
                <w:spacing w:val="-1"/>
                <w:w w:val="100"/>
                <w:sz w:val="22"/>
              </w:rPr>
              <w:t>d</w:t>
            </w:r>
            <w:r>
              <w:rPr>
                <w:rFonts w:ascii="Corbel" w:hAnsi="Corbel"/>
                <w:smallCaps w:val="0"/>
                <w:w w:val="100"/>
                <w:sz w:val="22"/>
              </w:rPr>
              <w:t>e</w:t>
            </w:r>
            <w:r>
              <w:rPr>
                <w:rFonts w:ascii="Corbel" w:hAnsi="Corbel"/>
                <w:smallCaps w:val="0"/>
                <w:sz w:val="22"/>
              </w:rPr>
              <w:t> </w:t>
            </w:r>
            <w:r>
              <w:rPr>
                <w:rFonts w:ascii="Corbel" w:hAnsi="Corbel"/>
                <w:smallCaps w:val="0"/>
                <w:spacing w:val="-2"/>
                <w:w w:val="100"/>
                <w:sz w:val="22"/>
              </w:rPr>
              <w:t>R</w:t>
            </w:r>
            <w:r>
              <w:rPr>
                <w:rFonts w:ascii="Corbel" w:hAnsi="Corbel"/>
                <w:smallCaps w:val="0"/>
                <w:w w:val="100"/>
                <w:sz w:val="22"/>
              </w:rPr>
              <w:t>emo</w:t>
            </w:r>
            <w:r>
              <w:rPr>
                <w:rFonts w:ascii="Corbel" w:hAnsi="Corbel"/>
                <w:smallCaps w:val="0"/>
                <w:spacing w:val="-1"/>
                <w:w w:val="100"/>
                <w:sz w:val="22"/>
              </w:rPr>
              <w:t>d</w:t>
            </w:r>
            <w:r>
              <w:rPr>
                <w:rFonts w:ascii="Corbel" w:hAnsi="Corbel"/>
                <w:smallCaps w:val="0"/>
                <w:w w:val="100"/>
                <w:sz w:val="22"/>
              </w:rPr>
              <w:t>ela</w:t>
            </w:r>
            <w:r>
              <w:rPr>
                <w:rFonts w:ascii="Corbel" w:hAnsi="Corbel"/>
                <w:smallCaps w:val="0"/>
                <w:spacing w:val="-2"/>
                <w:w w:val="100"/>
                <w:sz w:val="22"/>
              </w:rPr>
              <w:t>c</w:t>
            </w:r>
            <w:r>
              <w:rPr>
                <w:rFonts w:ascii="Corbel" w:hAnsi="Corbel"/>
                <w:smallCaps w:val="0"/>
                <w:spacing w:val="-1"/>
                <w:w w:val="100"/>
                <w:sz w:val="22"/>
              </w:rPr>
              <w:t>i</w:t>
            </w:r>
            <w:r>
              <w:rPr>
                <w:rFonts w:ascii="Corbel" w:hAnsi="Corbel"/>
                <w:smallCaps w:val="0"/>
                <w:spacing w:val="-3"/>
                <w:w w:val="100"/>
                <w:sz w:val="22"/>
              </w:rPr>
              <w:t>ó</w:t>
            </w:r>
            <w:r>
              <w:rPr>
                <w:rFonts w:ascii="Corbel" w:hAnsi="Corbel"/>
                <w:smallCaps w:val="0"/>
                <w:w w:val="100"/>
                <w:sz w:val="22"/>
              </w:rPr>
              <w:t>n</w:t>
            </w:r>
            <w:r>
              <w:rPr>
                <w:rFonts w:ascii="Corbel" w:hAnsi="Corbel"/>
                <w:smallCaps w:val="0"/>
                <w:spacing w:val="-1"/>
                <w:sz w:val="22"/>
              </w:rPr>
              <w:t> </w:t>
            </w:r>
            <w:r>
              <w:rPr>
                <w:rFonts w:ascii="Corbel" w:hAnsi="Corbel"/>
                <w:smallCaps w:val="0"/>
                <w:spacing w:val="-1"/>
                <w:w w:val="100"/>
                <w:sz w:val="22"/>
              </w:rPr>
              <w:t>d</w:t>
            </w:r>
            <w:r>
              <w:rPr>
                <w:rFonts w:ascii="Corbel" w:hAnsi="Corbel"/>
                <w:smallCaps w:val="0"/>
                <w:w w:val="100"/>
                <w:sz w:val="22"/>
              </w:rPr>
              <w:t>e</w:t>
            </w:r>
            <w:r>
              <w:rPr>
                <w:rFonts w:ascii="Corbel" w:hAnsi="Corbel"/>
                <w:smallCaps w:val="0"/>
                <w:spacing w:val="-1"/>
                <w:sz w:val="22"/>
              </w:rPr>
              <w:t> </w:t>
            </w:r>
            <w:r>
              <w:rPr>
                <w:rFonts w:ascii="Corbel" w:hAnsi="Corbel"/>
                <w:smallCaps w:val="0"/>
                <w:spacing w:val="-2"/>
                <w:w w:val="100"/>
                <w:sz w:val="22"/>
              </w:rPr>
              <w:t>A</w:t>
            </w:r>
            <w:r>
              <w:rPr>
                <w:rFonts w:ascii="Corbel" w:hAnsi="Corbel"/>
                <w:smallCaps w:val="0"/>
                <w:w w:val="100"/>
                <w:sz w:val="22"/>
              </w:rPr>
              <w:t>u</w:t>
            </w:r>
            <w:r>
              <w:rPr>
                <w:rFonts w:ascii="Corbel" w:hAnsi="Corbel"/>
                <w:smallCaps w:val="0"/>
                <w:spacing w:val="-1"/>
                <w:w w:val="100"/>
                <w:sz w:val="22"/>
              </w:rPr>
              <w:t>ditori</w:t>
            </w:r>
            <w:r>
              <w:rPr>
                <w:rFonts w:ascii="Corbel" w:hAnsi="Corbel"/>
                <w:smallCaps w:val="0"/>
                <w:w w:val="100"/>
                <w:sz w:val="22"/>
              </w:rPr>
              <w:t>o</w:t>
            </w:r>
            <w:r>
              <w:rPr>
                <w:rFonts w:ascii="Corbel" w:hAnsi="Corbel"/>
                <w:smallCaps w:val="0"/>
                <w:spacing w:val="-1"/>
                <w:sz w:val="22"/>
              </w:rPr>
              <w:t> </w:t>
            </w:r>
            <w:r>
              <w:rPr>
                <w:rFonts w:ascii="Corbel" w:hAnsi="Corbel"/>
                <w:smallCaps w:val="0"/>
                <w:w w:val="100"/>
                <w:sz w:val="22"/>
              </w:rPr>
              <w:t>M</w:t>
            </w:r>
            <w:r>
              <w:rPr>
                <w:rFonts w:ascii="Corbel" w:hAnsi="Corbel"/>
                <w:smallCaps w:val="0"/>
                <w:spacing w:val="-2"/>
                <w:w w:val="100"/>
                <w:sz w:val="22"/>
              </w:rPr>
              <w:t>u</w:t>
            </w:r>
            <w:r>
              <w:rPr>
                <w:rFonts w:ascii="Corbel" w:hAnsi="Corbel"/>
                <w:smallCaps w:val="0"/>
                <w:spacing w:val="1"/>
                <w:w w:val="100"/>
                <w:sz w:val="22"/>
              </w:rPr>
              <w:t>n</w:t>
            </w:r>
            <w:r>
              <w:rPr>
                <w:rFonts w:ascii="Corbel" w:hAnsi="Corbel"/>
                <w:smallCaps w:val="0"/>
                <w:spacing w:val="-1"/>
                <w:w w:val="100"/>
                <w:sz w:val="22"/>
              </w:rPr>
              <w:t>ici</w:t>
            </w:r>
            <w:r>
              <w:rPr>
                <w:rFonts w:ascii="Corbel" w:hAnsi="Corbel"/>
                <w:smallCaps w:val="0"/>
                <w:w w:val="100"/>
                <w:sz w:val="22"/>
              </w:rPr>
              <w:t>pal</w:t>
            </w:r>
            <w:r>
              <w:rPr>
                <w:rFonts w:ascii="Corbel" w:hAnsi="Corbel"/>
                <w:smallCaps w:val="0"/>
                <w:spacing w:val="-1"/>
                <w:sz w:val="22"/>
              </w:rPr>
              <w:t> </w:t>
            </w:r>
            <w:r>
              <w:rPr>
                <w:rFonts w:ascii="Corbel" w:hAnsi="Corbel"/>
                <w:smallCaps w:val="0"/>
                <w:spacing w:val="-2"/>
                <w:w w:val="100"/>
                <w:sz w:val="22"/>
              </w:rPr>
              <w:t>A</w:t>
            </w:r>
            <w:r>
              <w:rPr>
                <w:rFonts w:ascii="Corbel" w:hAnsi="Corbel"/>
                <w:smallCaps w:val="0"/>
                <w:w w:val="100"/>
                <w:sz w:val="22"/>
              </w:rPr>
              <w:t>rq.</w:t>
            </w:r>
            <w:r>
              <w:rPr>
                <w:rFonts w:ascii="Corbel" w:hAnsi="Corbel"/>
                <w:smallCaps w:val="0"/>
                <w:spacing w:val="-2"/>
                <w:sz w:val="22"/>
              </w:rPr>
              <w:t> </w:t>
            </w:r>
            <w:r>
              <w:rPr>
                <w:rFonts w:ascii="Corbel" w:hAnsi="Corbel"/>
                <w:smallCaps w:val="0"/>
                <w:spacing w:val="-2"/>
                <w:w w:val="100"/>
                <w:sz w:val="22"/>
              </w:rPr>
              <w:t>R</w:t>
            </w:r>
            <w:r>
              <w:rPr>
                <w:rFonts w:ascii="Corbel" w:hAnsi="Corbel"/>
                <w:smallCaps w:val="0"/>
                <w:w w:val="100"/>
                <w:sz w:val="22"/>
              </w:rPr>
              <w:t>u</w:t>
            </w:r>
            <w:r>
              <w:rPr>
                <w:rFonts w:ascii="Corbel" w:hAnsi="Corbel"/>
                <w:smallCaps w:val="0"/>
                <w:spacing w:val="-1"/>
                <w:w w:val="100"/>
                <w:sz w:val="22"/>
              </w:rPr>
              <w:t>b</w:t>
            </w:r>
            <w:r>
              <w:rPr>
                <w:rFonts w:ascii="Corbel" w:hAnsi="Corbel"/>
                <w:smallCaps w:val="0"/>
                <w:w w:val="100"/>
                <w:sz w:val="22"/>
              </w:rPr>
              <w:t>én</w:t>
            </w:r>
            <w:r>
              <w:rPr>
                <w:rFonts w:ascii="Corbel" w:hAnsi="Corbel"/>
                <w:smallCaps w:val="0"/>
                <w:sz w:val="22"/>
              </w:rPr>
              <w:t> </w:t>
            </w:r>
            <w:r>
              <w:rPr>
                <w:rFonts w:ascii="Corbel" w:hAnsi="Corbel"/>
                <w:smallCaps w:val="0"/>
                <w:spacing w:val="-2"/>
                <w:w w:val="100"/>
                <w:sz w:val="22"/>
              </w:rPr>
              <w:t>A</w:t>
            </w:r>
            <w:r>
              <w:rPr>
                <w:rFonts w:ascii="Corbel" w:hAnsi="Corbel"/>
                <w:smallCaps w:val="0"/>
                <w:w w:val="100"/>
                <w:sz w:val="22"/>
              </w:rPr>
              <w:t>rce</w:t>
            </w:r>
            <w:r>
              <w:rPr>
                <w:rFonts w:ascii="Corbel" w:hAnsi="Corbel"/>
                <w:smallCaps w:val="0"/>
                <w:spacing w:val="-1"/>
                <w:sz w:val="22"/>
              </w:rPr>
              <w:t> </w:t>
            </w:r>
            <w:r>
              <w:rPr>
                <w:rFonts w:ascii="Corbel" w:hAnsi="Corbel"/>
                <w:smallCaps w:val="0"/>
                <w:w w:val="100"/>
                <w:sz w:val="22"/>
              </w:rPr>
              <w:t>Ve</w:t>
            </w:r>
            <w:r>
              <w:rPr>
                <w:rFonts w:ascii="Corbel" w:hAnsi="Corbel"/>
                <w:smallCaps w:val="0"/>
                <w:spacing w:val="-1"/>
                <w:w w:val="100"/>
                <w:sz w:val="22"/>
              </w:rPr>
              <w:t>l</w:t>
            </w:r>
            <w:r>
              <w:rPr>
                <w:rFonts w:ascii="Corbel" w:hAnsi="Corbel"/>
                <w:smallCaps w:val="0"/>
                <w:w w:val="100"/>
                <w:sz w:val="22"/>
              </w:rPr>
              <w:t>a</w:t>
            </w:r>
            <w:r>
              <w:rPr>
                <w:rFonts w:ascii="Corbel" w:hAnsi="Corbel"/>
                <w:smallCaps w:val="0"/>
                <w:spacing w:val="-1"/>
                <w:w w:val="100"/>
                <w:sz w:val="22"/>
              </w:rPr>
              <w:t>dor</w:t>
            </w:r>
            <w:r>
              <w:rPr>
                <w:rFonts w:ascii="Corbel" w:hAnsi="Corbel"/>
                <w:smallCaps w:val="0"/>
                <w:w w:val="100"/>
                <w:sz w:val="22"/>
              </w:rPr>
              <w:t>,</w:t>
            </w:r>
            <w:r>
              <w:rPr>
                <w:rFonts w:ascii="Corbel" w:hAnsi="Corbel"/>
                <w:smallCaps w:val="0"/>
                <w:spacing w:val="-1"/>
                <w:sz w:val="22"/>
              </w:rPr>
              <w:t> </w:t>
            </w:r>
            <w:r>
              <w:rPr>
                <w:rFonts w:ascii="Corbel" w:hAnsi="Corbel"/>
                <w:smallCaps w:val="0"/>
                <w:spacing w:val="-2"/>
                <w:w w:val="100"/>
                <w:sz w:val="22"/>
              </w:rPr>
              <w:t>en </w:t>
            </w:r>
            <w:r>
              <w:rPr>
                <w:rFonts w:ascii="Corbel" w:hAnsi="Corbel"/>
                <w:smallCaps w:val="0"/>
                <w:w w:val="100"/>
                <w:sz w:val="22"/>
              </w:rPr>
              <w:t>Magd</w:t>
            </w:r>
            <w:r>
              <w:rPr>
                <w:rFonts w:ascii="Corbel" w:hAnsi="Corbel"/>
                <w:smallCaps w:val="0"/>
                <w:spacing w:val="-1"/>
                <w:w w:val="100"/>
                <w:sz w:val="22"/>
              </w:rPr>
              <w:t>al</w:t>
            </w:r>
            <w:r>
              <w:rPr>
                <w:rFonts w:ascii="Corbel" w:hAnsi="Corbel"/>
                <w:smallCaps w:val="0"/>
                <w:spacing w:val="-2"/>
                <w:w w:val="100"/>
                <w:sz w:val="22"/>
              </w:rPr>
              <w:t>e</w:t>
            </w:r>
            <w:r>
              <w:rPr>
                <w:rFonts w:ascii="Corbel" w:hAnsi="Corbel"/>
                <w:smallCaps w:val="0"/>
                <w:spacing w:val="1"/>
                <w:w w:val="100"/>
                <w:sz w:val="22"/>
              </w:rPr>
              <w:t>n</w:t>
            </w:r>
            <w:r>
              <w:rPr>
                <w:rFonts w:ascii="Corbel" w:hAnsi="Corbel"/>
                <w:smallCaps w:val="0"/>
                <w:w w:val="100"/>
                <w:sz w:val="22"/>
              </w:rPr>
              <w:t>a,</w:t>
            </w:r>
            <w:r>
              <w:rPr>
                <w:rFonts w:ascii="Corbel" w:hAnsi="Corbel"/>
                <w:smallCaps w:val="0"/>
                <w:spacing w:val="-2"/>
                <w:sz w:val="22"/>
              </w:rPr>
              <w:t> </w:t>
            </w:r>
            <w:r>
              <w:rPr>
                <w:rFonts w:ascii="Corbel" w:hAnsi="Corbel"/>
                <w:smallCaps w:val="0"/>
                <w:spacing w:val="-1"/>
                <w:w w:val="100"/>
                <w:sz w:val="22"/>
              </w:rPr>
              <w:t>J</w:t>
            </w:r>
            <w:r>
              <w:rPr>
                <w:rFonts w:ascii="Corbel" w:hAnsi="Corbel"/>
                <w:smallCaps w:val="0"/>
                <w:w w:val="100"/>
                <w:sz w:val="22"/>
              </w:rPr>
              <w:t>a</w:t>
            </w:r>
            <w:r>
              <w:rPr>
                <w:rFonts w:ascii="Corbel" w:hAnsi="Corbel"/>
                <w:smallCaps w:val="0"/>
                <w:spacing w:val="-2"/>
                <w:w w:val="100"/>
                <w:sz w:val="22"/>
              </w:rPr>
              <w:t>l</w:t>
            </w:r>
            <w:r>
              <w:rPr>
                <w:rFonts w:ascii="Corbel" w:hAnsi="Corbel"/>
                <w:smallCaps w:val="0"/>
                <w:spacing w:val="-1"/>
                <w:w w:val="100"/>
                <w:sz w:val="22"/>
              </w:rPr>
              <w:t>is</w:t>
            </w:r>
            <w:r>
              <w:rPr>
                <w:rFonts w:ascii="Corbel" w:hAnsi="Corbel"/>
                <w:smallCaps w:val="0"/>
                <w:spacing w:val="-2"/>
                <w:w w:val="100"/>
                <w:sz w:val="22"/>
              </w:rPr>
              <w:t>c</w:t>
            </w:r>
            <w:r>
              <w:rPr>
                <w:rFonts w:ascii="Corbel" w:hAnsi="Corbel"/>
                <w:smallCaps w:val="0"/>
                <w:spacing w:val="-1"/>
                <w:w w:val="100"/>
                <w:sz w:val="22"/>
              </w:rPr>
              <w:t>o.</w:t>
            </w:r>
          </w:p>
        </w:tc>
      </w:tr>
      <w:tr>
        <w:trPr>
          <w:trHeight w:val="455" w:hRule="atLeast"/>
        </w:trPr>
        <w:tc>
          <w:tcPr>
            <w:tcW w:w="1099" w:type="dxa"/>
            <w:tcBorders>
              <w:top w:val="single" w:sz="6" w:space="0" w:color="000000"/>
              <w:bottom w:val="single" w:sz="6" w:space="0" w:color="000000"/>
            </w:tcBorders>
          </w:tcPr>
          <w:p>
            <w:pPr>
              <w:pStyle w:val="TableParagraph"/>
              <w:spacing w:before="82"/>
              <w:ind w:left="79"/>
              <w:rPr>
                <w:sz w:val="22"/>
              </w:rPr>
            </w:pPr>
            <w:r>
              <w:rPr>
                <w:sz w:val="22"/>
              </w:rPr>
              <w:t>38</w:t>
            </w:r>
          </w:p>
        </w:tc>
        <w:tc>
          <w:tcPr>
            <w:tcW w:w="7881" w:type="dxa"/>
            <w:tcBorders>
              <w:top w:val="single" w:sz="6" w:space="0" w:color="000000"/>
              <w:bottom w:val="single" w:sz="6" w:space="0" w:color="000000"/>
            </w:tcBorders>
          </w:tcPr>
          <w:p>
            <w:pPr>
              <w:pStyle w:val="TableParagraph"/>
              <w:spacing w:before="77"/>
              <w:ind w:left="81"/>
              <w:rPr>
                <w:rFonts w:ascii="Corbel" w:hAnsi="Corbel"/>
                <w:sz w:val="22"/>
              </w:rPr>
            </w:pPr>
            <w:r>
              <w:rPr>
                <w:rFonts w:ascii="Corbel" w:hAnsi="Corbel"/>
                <w:sz w:val="22"/>
              </w:rPr>
              <w:t>Construcción de un parque recreativo en San Andrés.</w:t>
            </w:r>
          </w:p>
        </w:tc>
      </w:tr>
    </w:tbl>
    <w:p>
      <w:pPr>
        <w:pStyle w:val="BodyText"/>
        <w:rPr>
          <w:rFonts w:ascii="Times New Roman"/>
          <w:sz w:val="20"/>
        </w:rPr>
      </w:pPr>
    </w:p>
    <w:p>
      <w:pPr>
        <w:pStyle w:val="BodyText"/>
        <w:spacing w:before="3"/>
        <w:rPr>
          <w:rFonts w:ascii="Times New Roman"/>
          <w:sz w:val="19"/>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7881"/>
      </w:tblGrid>
      <w:tr>
        <w:trPr>
          <w:trHeight w:val="607" w:hRule="atLeast"/>
        </w:trPr>
        <w:tc>
          <w:tcPr>
            <w:tcW w:w="8980" w:type="dxa"/>
            <w:gridSpan w:val="2"/>
            <w:tcBorders>
              <w:bottom w:val="single" w:sz="6" w:space="0" w:color="000000"/>
            </w:tcBorders>
          </w:tcPr>
          <w:p>
            <w:pPr>
              <w:pStyle w:val="TableParagraph"/>
              <w:tabs>
                <w:tab w:pos="3060" w:val="left" w:leader="none"/>
                <w:tab w:pos="8926" w:val="left" w:leader="none"/>
              </w:tabs>
              <w:spacing w:before="81"/>
              <w:ind w:left="50"/>
              <w:rPr>
                <w:sz w:val="22"/>
              </w:rPr>
            </w:pPr>
            <w:r>
              <w:rPr>
                <w:w w:val="100"/>
                <w:sz w:val="22"/>
                <w:shd w:fill="C2D59B" w:color="auto" w:val="clear"/>
              </w:rPr>
              <w:t> </w:t>
            </w:r>
            <w:r>
              <w:rPr>
                <w:sz w:val="22"/>
                <w:shd w:fill="C2D59B" w:color="auto" w:val="clear"/>
              </w:rPr>
              <w:tab/>
              <w:t>EQUIPAMIENTO</w:t>
            </w:r>
            <w:r>
              <w:rPr>
                <w:spacing w:val="-14"/>
                <w:sz w:val="22"/>
                <w:shd w:fill="C2D59B" w:color="auto" w:val="clear"/>
              </w:rPr>
              <w:t> </w:t>
            </w:r>
            <w:r>
              <w:rPr>
                <w:sz w:val="22"/>
                <w:shd w:fill="C2D59B" w:color="auto" w:val="clear"/>
              </w:rPr>
              <w:t>MUNICIPAL</w:t>
              <w:tab/>
            </w:r>
          </w:p>
        </w:tc>
      </w:tr>
      <w:tr>
        <w:trPr>
          <w:trHeight w:val="455"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39</w:t>
            </w:r>
          </w:p>
        </w:tc>
        <w:tc>
          <w:tcPr>
            <w:tcW w:w="7881" w:type="dxa"/>
            <w:tcBorders>
              <w:top w:val="single" w:sz="6" w:space="0" w:color="000000"/>
              <w:bottom w:val="single" w:sz="6" w:space="0" w:color="000000"/>
            </w:tcBorders>
          </w:tcPr>
          <w:p>
            <w:pPr>
              <w:pStyle w:val="TableParagraph"/>
              <w:spacing w:before="74"/>
              <w:ind w:left="81"/>
              <w:rPr>
                <w:rFonts w:ascii="Corbel" w:hAnsi="Corbel"/>
                <w:sz w:val="22"/>
              </w:rPr>
            </w:pPr>
            <w:r>
              <w:rPr>
                <w:rFonts w:ascii="Corbel" w:hAnsi="Corbel"/>
                <w:sz w:val="22"/>
              </w:rPr>
              <w:t>Construcción de Cuartel de Bomberos y Protección Civil.</w:t>
            </w:r>
          </w:p>
        </w:tc>
      </w:tr>
      <w:tr>
        <w:trPr>
          <w:trHeight w:val="604"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40</w:t>
            </w:r>
          </w:p>
        </w:tc>
        <w:tc>
          <w:tcPr>
            <w:tcW w:w="7881" w:type="dxa"/>
            <w:tcBorders>
              <w:top w:val="single" w:sz="6" w:space="0" w:color="000000"/>
              <w:bottom w:val="single" w:sz="6" w:space="0" w:color="000000"/>
            </w:tcBorders>
          </w:tcPr>
          <w:p>
            <w:pPr>
              <w:pStyle w:val="TableParagraph"/>
              <w:spacing w:before="74"/>
              <w:ind w:left="81"/>
              <w:rPr>
                <w:rFonts w:ascii="Corbel" w:hAnsi="Corbel"/>
                <w:sz w:val="22"/>
              </w:rPr>
            </w:pPr>
            <w:r>
              <w:rPr>
                <w:rFonts w:ascii="Corbel" w:hAnsi="Corbel"/>
                <w:sz w:val="22"/>
              </w:rPr>
              <w:t>Ampliación del panteón</w:t>
            </w:r>
          </w:p>
        </w:tc>
      </w:tr>
    </w:tbl>
    <w:p>
      <w:pPr>
        <w:pStyle w:val="BodyText"/>
        <w:rPr>
          <w:rFonts w:ascii="Times New Roman"/>
          <w:sz w:val="20"/>
        </w:rPr>
      </w:pPr>
    </w:p>
    <w:p>
      <w:pPr>
        <w:pStyle w:val="BodyText"/>
        <w:spacing w:before="2"/>
        <w:rPr>
          <w:rFonts w:ascii="Times New Roman"/>
          <w:sz w:val="19"/>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7881"/>
      </w:tblGrid>
      <w:tr>
        <w:trPr>
          <w:trHeight w:val="607" w:hRule="atLeast"/>
        </w:trPr>
        <w:tc>
          <w:tcPr>
            <w:tcW w:w="8980" w:type="dxa"/>
            <w:gridSpan w:val="2"/>
            <w:tcBorders>
              <w:bottom w:val="single" w:sz="6" w:space="0" w:color="000000"/>
            </w:tcBorders>
          </w:tcPr>
          <w:p>
            <w:pPr>
              <w:pStyle w:val="TableParagraph"/>
              <w:tabs>
                <w:tab w:pos="2671" w:val="left" w:leader="none"/>
                <w:tab w:pos="8926" w:val="left" w:leader="none"/>
              </w:tabs>
              <w:spacing w:before="81"/>
              <w:ind w:left="50"/>
              <w:rPr>
                <w:sz w:val="22"/>
              </w:rPr>
            </w:pPr>
            <w:r>
              <w:rPr>
                <w:w w:val="100"/>
                <w:sz w:val="22"/>
                <w:shd w:fill="C2D59B" w:color="auto" w:val="clear"/>
              </w:rPr>
              <w:t> </w:t>
            </w:r>
            <w:r>
              <w:rPr>
                <w:sz w:val="22"/>
                <w:shd w:fill="C2D59B" w:color="auto" w:val="clear"/>
              </w:rPr>
              <w:tab/>
              <w:t>INFRAESTRUCTURA SOCIAL</w:t>
            </w:r>
            <w:r>
              <w:rPr>
                <w:spacing w:val="-12"/>
                <w:sz w:val="22"/>
                <w:shd w:fill="C2D59B" w:color="auto" w:val="clear"/>
              </w:rPr>
              <w:t> </w:t>
            </w:r>
            <w:r>
              <w:rPr>
                <w:sz w:val="22"/>
                <w:shd w:fill="C2D59B" w:color="auto" w:val="clear"/>
              </w:rPr>
              <w:t>BÁSICA</w:t>
              <w:tab/>
            </w:r>
          </w:p>
        </w:tc>
      </w:tr>
      <w:tr>
        <w:trPr>
          <w:trHeight w:val="455"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41</w:t>
            </w:r>
          </w:p>
        </w:tc>
        <w:tc>
          <w:tcPr>
            <w:tcW w:w="7881" w:type="dxa"/>
            <w:tcBorders>
              <w:top w:val="single" w:sz="6" w:space="0" w:color="000000"/>
              <w:bottom w:val="single" w:sz="6" w:space="0" w:color="000000"/>
            </w:tcBorders>
          </w:tcPr>
          <w:p>
            <w:pPr>
              <w:pStyle w:val="TableParagraph"/>
              <w:spacing w:before="74"/>
              <w:ind w:left="81"/>
              <w:rPr>
                <w:rFonts w:ascii="Corbel"/>
                <w:sz w:val="22"/>
              </w:rPr>
            </w:pPr>
            <w:r>
              <w:rPr>
                <w:rFonts w:ascii="Corbel"/>
                <w:sz w:val="22"/>
              </w:rPr>
              <w:t>Drenaje en Calle Reforma</w:t>
            </w:r>
          </w:p>
        </w:tc>
      </w:tr>
      <w:tr>
        <w:trPr>
          <w:trHeight w:val="453"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42</w:t>
            </w:r>
          </w:p>
        </w:tc>
        <w:tc>
          <w:tcPr>
            <w:tcW w:w="7881" w:type="dxa"/>
            <w:tcBorders>
              <w:top w:val="single" w:sz="6" w:space="0" w:color="000000"/>
              <w:bottom w:val="single" w:sz="6" w:space="0" w:color="000000"/>
            </w:tcBorders>
          </w:tcPr>
          <w:p>
            <w:pPr>
              <w:pStyle w:val="TableParagraph"/>
              <w:spacing w:before="74"/>
              <w:ind w:left="81"/>
              <w:rPr>
                <w:rFonts w:ascii="Corbel"/>
                <w:sz w:val="22"/>
              </w:rPr>
            </w:pPr>
            <w:r>
              <w:rPr>
                <w:rFonts w:ascii="Corbel"/>
                <w:sz w:val="22"/>
              </w:rPr>
              <w:t>Drenaje en Colonia Ranchito (vecinas de Roberto Fierro)</w:t>
            </w:r>
          </w:p>
        </w:tc>
      </w:tr>
      <w:tr>
        <w:trPr>
          <w:trHeight w:val="736" w:hRule="atLeast"/>
        </w:trPr>
        <w:tc>
          <w:tcPr>
            <w:tcW w:w="1099" w:type="dxa"/>
            <w:tcBorders>
              <w:top w:val="single" w:sz="6" w:space="0" w:color="000000"/>
              <w:bottom w:val="single" w:sz="6" w:space="0" w:color="000000"/>
            </w:tcBorders>
          </w:tcPr>
          <w:p>
            <w:pPr>
              <w:pStyle w:val="TableParagraph"/>
              <w:spacing w:before="82"/>
              <w:ind w:left="79"/>
              <w:rPr>
                <w:sz w:val="22"/>
              </w:rPr>
            </w:pPr>
            <w:r>
              <w:rPr>
                <w:sz w:val="22"/>
              </w:rPr>
              <w:t>43</w:t>
            </w:r>
          </w:p>
        </w:tc>
        <w:tc>
          <w:tcPr>
            <w:tcW w:w="7881" w:type="dxa"/>
            <w:tcBorders>
              <w:top w:val="single" w:sz="6" w:space="0" w:color="000000"/>
              <w:bottom w:val="single" w:sz="6" w:space="0" w:color="000000"/>
            </w:tcBorders>
          </w:tcPr>
          <w:p>
            <w:pPr>
              <w:pStyle w:val="TableParagraph"/>
              <w:spacing w:before="77"/>
              <w:ind w:left="81" w:right="677"/>
              <w:rPr>
                <w:rFonts w:ascii="Corbel" w:hAnsi="Corbel"/>
                <w:sz w:val="22"/>
              </w:rPr>
            </w:pPr>
            <w:r>
              <w:rPr>
                <w:rFonts w:ascii="Corbel" w:hAnsi="Corbel"/>
                <w:sz w:val="22"/>
              </w:rPr>
              <w:t>Electrificación en Calle Javier Mina en Colonia Los Llanitos (para el Kínder de la Ladrillera)</w:t>
            </w:r>
          </w:p>
        </w:tc>
      </w:tr>
      <w:tr>
        <w:trPr>
          <w:trHeight w:val="455"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44</w:t>
            </w:r>
          </w:p>
        </w:tc>
        <w:tc>
          <w:tcPr>
            <w:tcW w:w="7881" w:type="dxa"/>
            <w:tcBorders>
              <w:top w:val="single" w:sz="6" w:space="0" w:color="000000"/>
              <w:bottom w:val="single" w:sz="6" w:space="0" w:color="000000"/>
            </w:tcBorders>
          </w:tcPr>
          <w:p>
            <w:pPr>
              <w:pStyle w:val="TableParagraph"/>
              <w:spacing w:before="74"/>
              <w:ind w:left="81"/>
              <w:rPr>
                <w:rFonts w:ascii="Corbel" w:hAnsi="Corbel"/>
                <w:sz w:val="22"/>
              </w:rPr>
            </w:pPr>
            <w:r>
              <w:rPr>
                <w:rFonts w:ascii="Corbel" w:hAnsi="Corbel"/>
                <w:sz w:val="22"/>
              </w:rPr>
              <w:t>Electrificación en Calle Hidalgo Ote.</w:t>
            </w:r>
          </w:p>
        </w:tc>
      </w:tr>
      <w:tr>
        <w:trPr>
          <w:trHeight w:val="604" w:hRule="atLeast"/>
        </w:trPr>
        <w:tc>
          <w:tcPr>
            <w:tcW w:w="1099" w:type="dxa"/>
            <w:tcBorders>
              <w:top w:val="single" w:sz="6" w:space="0" w:color="000000"/>
              <w:bottom w:val="single" w:sz="6" w:space="0" w:color="000000"/>
            </w:tcBorders>
          </w:tcPr>
          <w:p>
            <w:pPr>
              <w:pStyle w:val="TableParagraph"/>
              <w:spacing w:before="79"/>
              <w:ind w:left="79"/>
              <w:rPr>
                <w:sz w:val="22"/>
              </w:rPr>
            </w:pPr>
            <w:r>
              <w:rPr>
                <w:sz w:val="22"/>
              </w:rPr>
              <w:t>45</w:t>
            </w:r>
          </w:p>
        </w:tc>
        <w:tc>
          <w:tcPr>
            <w:tcW w:w="7881" w:type="dxa"/>
            <w:tcBorders>
              <w:top w:val="single" w:sz="6" w:space="0" w:color="000000"/>
              <w:bottom w:val="single" w:sz="6" w:space="0" w:color="000000"/>
            </w:tcBorders>
          </w:tcPr>
          <w:p>
            <w:pPr>
              <w:pStyle w:val="TableParagraph"/>
              <w:spacing w:before="74"/>
              <w:ind w:left="81"/>
              <w:rPr>
                <w:rFonts w:ascii="Corbel" w:hAnsi="Corbel"/>
                <w:sz w:val="22"/>
              </w:rPr>
            </w:pPr>
            <w:r>
              <w:rPr>
                <w:rFonts w:ascii="Corbel" w:hAnsi="Corbel"/>
                <w:sz w:val="22"/>
              </w:rPr>
              <w:t>Segunda etapa electrificación en Hutizizilapa municipio de Magdalena</w:t>
            </w:r>
          </w:p>
        </w:tc>
      </w:tr>
      <w:tr>
        <w:trPr>
          <w:trHeight w:val="604" w:hRule="atLeast"/>
        </w:trPr>
        <w:tc>
          <w:tcPr>
            <w:tcW w:w="1099" w:type="dxa"/>
            <w:tcBorders>
              <w:top w:val="single" w:sz="6" w:space="0" w:color="000000"/>
              <w:bottom w:val="single" w:sz="6" w:space="0" w:color="000000"/>
            </w:tcBorders>
          </w:tcPr>
          <w:p>
            <w:pPr>
              <w:pStyle w:val="TableParagraph"/>
              <w:spacing w:before="82"/>
              <w:ind w:left="79"/>
              <w:rPr>
                <w:sz w:val="22"/>
              </w:rPr>
            </w:pPr>
            <w:r>
              <w:rPr>
                <w:sz w:val="22"/>
              </w:rPr>
              <w:t>46</w:t>
            </w:r>
          </w:p>
        </w:tc>
        <w:tc>
          <w:tcPr>
            <w:tcW w:w="7881" w:type="dxa"/>
            <w:tcBorders>
              <w:top w:val="single" w:sz="6" w:space="0" w:color="000000"/>
              <w:bottom w:val="single" w:sz="6" w:space="0" w:color="000000"/>
            </w:tcBorders>
          </w:tcPr>
          <w:p>
            <w:pPr>
              <w:pStyle w:val="TableParagraph"/>
              <w:spacing w:before="77"/>
              <w:ind w:left="81"/>
              <w:rPr>
                <w:rFonts w:ascii="Corbel" w:hAnsi="Corbel"/>
                <w:sz w:val="22"/>
              </w:rPr>
            </w:pPr>
            <w:r>
              <w:rPr>
                <w:rFonts w:ascii="Corbel" w:hAnsi="Corbel"/>
                <w:sz w:val="22"/>
              </w:rPr>
              <w:t>Electrificación en la Colonia Los Fresnos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16"/>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1351" w:hRule="atLeast"/>
        </w:trPr>
        <w:tc>
          <w:tcPr>
            <w:tcW w:w="9040" w:type="dxa"/>
            <w:tcBorders>
              <w:bottom w:val="single" w:sz="6" w:space="0" w:color="000000"/>
            </w:tcBorders>
          </w:tcPr>
          <w:p>
            <w:pPr>
              <w:pStyle w:val="TableParagraph"/>
              <w:tabs>
                <w:tab w:pos="8989" w:val="left" w:leader="none"/>
              </w:tabs>
              <w:spacing w:before="81"/>
              <w:ind w:left="50"/>
              <w:rPr>
                <w:sz w:val="22"/>
              </w:rPr>
            </w:pPr>
            <w:r>
              <w:rPr>
                <w:spacing w:val="-33"/>
                <w:w w:val="100"/>
                <w:sz w:val="22"/>
                <w:shd w:fill="C2D59B" w:color="auto" w:val="clear"/>
              </w:rPr>
              <w:t> </w:t>
            </w:r>
            <w:r>
              <w:rPr>
                <w:sz w:val="22"/>
                <w:shd w:fill="C2D59B" w:color="auto" w:val="clear"/>
              </w:rPr>
              <w:t>OTRAS DEMANDAS</w:t>
            </w:r>
            <w:r>
              <w:rPr>
                <w:spacing w:val="-17"/>
                <w:sz w:val="22"/>
                <w:shd w:fill="C2D59B" w:color="auto" w:val="clear"/>
              </w:rPr>
              <w:t> </w:t>
            </w:r>
            <w:r>
              <w:rPr>
                <w:sz w:val="22"/>
                <w:shd w:fill="C2D59B" w:color="auto" w:val="clear"/>
              </w:rPr>
              <w:t>CIUDADANAS*</w:t>
              <w:tab/>
            </w:r>
          </w:p>
          <w:p>
            <w:pPr>
              <w:pStyle w:val="TableParagraph"/>
              <w:spacing w:line="256" w:lineRule="auto" w:before="183"/>
              <w:ind w:left="79" w:right="1107"/>
              <w:rPr>
                <w:sz w:val="22"/>
              </w:rPr>
            </w:pPr>
            <w:r>
              <w:rPr>
                <w:sz w:val="22"/>
              </w:rPr>
              <w:t>Este banco de proyectos lo constituyen obras que son necesarias para el municipio y que su realización dependerá de la suficiencia presupuestal</w:t>
            </w:r>
          </w:p>
        </w:tc>
      </w:tr>
      <w:tr>
        <w:trPr>
          <w:trHeight w:val="455" w:hRule="atLeast"/>
        </w:trPr>
        <w:tc>
          <w:tcPr>
            <w:tcW w:w="9040" w:type="dxa"/>
            <w:tcBorders>
              <w:top w:val="single" w:sz="6" w:space="0" w:color="000000"/>
              <w:bottom w:val="single" w:sz="6" w:space="0" w:color="000000"/>
            </w:tcBorders>
          </w:tcPr>
          <w:p>
            <w:pPr>
              <w:pStyle w:val="TableParagraph"/>
              <w:spacing w:before="74"/>
              <w:ind w:left="79"/>
              <w:rPr>
                <w:rFonts w:ascii="Corbel" w:hAnsi="Corbel"/>
                <w:sz w:val="22"/>
              </w:rPr>
            </w:pPr>
            <w:r>
              <w:rPr>
                <w:rFonts w:ascii="Corbel" w:hAnsi="Corbel"/>
                <w:sz w:val="22"/>
              </w:rPr>
              <w:t>Rehabilitación de Campo de Béisbol en La Joya, comunidad de Magdalena Jalisco.</w:t>
            </w:r>
          </w:p>
        </w:tc>
      </w:tr>
    </w:tbl>
    <w:p>
      <w:pPr>
        <w:spacing w:after="0"/>
        <w:rPr>
          <w:rFonts w:ascii="Corbel" w:hAnsi="Corbel"/>
          <w:sz w:val="22"/>
        </w:rPr>
        <w:sectPr>
          <w:pgSz w:w="12240" w:h="15840"/>
          <w:pgMar w:header="178" w:footer="1142" w:top="1120" w:bottom="1340" w:left="460" w:right="220"/>
        </w:sectPr>
      </w:pPr>
    </w:p>
    <w:p>
      <w:pPr>
        <w:pStyle w:val="BodyText"/>
        <w:rPr>
          <w:rFonts w:ascii="Times New Roman"/>
          <w:sz w:val="20"/>
        </w:rPr>
      </w:pPr>
    </w:p>
    <w:p>
      <w:pPr>
        <w:pStyle w:val="BodyText"/>
        <w:spacing w:before="9" w:after="1"/>
        <w:rPr>
          <w:rFonts w:ascii="Times New Roman"/>
          <w:sz w:val="23"/>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737" w:hRule="atLeast"/>
        </w:trPr>
        <w:tc>
          <w:tcPr>
            <w:tcW w:w="9040" w:type="dxa"/>
            <w:tcBorders>
              <w:bottom w:val="single" w:sz="6" w:space="0" w:color="000000"/>
            </w:tcBorders>
          </w:tcPr>
          <w:p>
            <w:pPr>
              <w:pStyle w:val="TableParagraph"/>
              <w:spacing w:before="78"/>
              <w:ind w:left="79"/>
              <w:rPr>
                <w:rFonts w:ascii="Corbel" w:hAnsi="Corbel"/>
                <w:sz w:val="22"/>
              </w:rPr>
            </w:pPr>
            <w:r>
              <w:rPr>
                <w:rFonts w:ascii="Corbel" w:hAnsi="Corbel"/>
                <w:sz w:val="22"/>
              </w:rPr>
              <w:t>Rehabilitación de la Plaza Principal en el de Ojo Zarco, comunidad de Magdalena Jalisco.</w:t>
            </w:r>
          </w:p>
        </w:tc>
      </w:tr>
      <w:tr>
        <w:trPr>
          <w:trHeight w:val="453" w:hRule="atLeast"/>
        </w:trPr>
        <w:tc>
          <w:tcPr>
            <w:tcW w:w="9040" w:type="dxa"/>
            <w:tcBorders>
              <w:top w:val="single" w:sz="6" w:space="0" w:color="000000"/>
              <w:bottom w:val="single" w:sz="6" w:space="0" w:color="000000"/>
            </w:tcBorders>
          </w:tcPr>
          <w:p>
            <w:pPr>
              <w:pStyle w:val="TableParagraph"/>
              <w:spacing w:before="74"/>
              <w:ind w:left="79"/>
              <w:rPr>
                <w:rFonts w:ascii="Corbel" w:hAnsi="Corbel"/>
                <w:sz w:val="22"/>
              </w:rPr>
            </w:pPr>
            <w:r>
              <w:rPr>
                <w:rFonts w:ascii="Corbel" w:hAnsi="Corbel"/>
                <w:sz w:val="22"/>
              </w:rPr>
              <w:t>Parque recreativo Colonia La Estación en Magdalena</w:t>
            </w:r>
          </w:p>
        </w:tc>
      </w:tr>
      <w:tr>
        <w:trPr>
          <w:trHeight w:val="606" w:hRule="atLeast"/>
        </w:trPr>
        <w:tc>
          <w:tcPr>
            <w:tcW w:w="9040" w:type="dxa"/>
            <w:tcBorders>
              <w:top w:val="single" w:sz="6" w:space="0" w:color="000000"/>
              <w:bottom w:val="single" w:sz="6" w:space="0" w:color="000000"/>
            </w:tcBorders>
          </w:tcPr>
          <w:p>
            <w:pPr>
              <w:pStyle w:val="TableParagraph"/>
              <w:spacing w:before="77"/>
              <w:ind w:left="79"/>
              <w:rPr>
                <w:rFonts w:ascii="Corbel" w:hAnsi="Corbel"/>
                <w:sz w:val="22"/>
              </w:rPr>
            </w:pPr>
            <w:r>
              <w:rPr>
                <w:rFonts w:ascii="Corbel" w:hAnsi="Corbel"/>
                <w:sz w:val="22"/>
              </w:rPr>
              <w:t>Construcción de Centro de Control Canino</w:t>
            </w:r>
          </w:p>
        </w:tc>
      </w:tr>
      <w:tr>
        <w:trPr>
          <w:trHeight w:val="894" w:hRule="atLeast"/>
        </w:trPr>
        <w:tc>
          <w:tcPr>
            <w:tcW w:w="9040" w:type="dxa"/>
            <w:tcBorders>
              <w:top w:val="single" w:sz="6" w:space="0" w:color="000000"/>
              <w:bottom w:val="single" w:sz="6" w:space="0" w:color="000000"/>
            </w:tcBorders>
          </w:tcPr>
          <w:p>
            <w:pPr>
              <w:pStyle w:val="TableParagraph"/>
              <w:spacing w:line="259" w:lineRule="auto" w:before="74"/>
              <w:ind w:left="79" w:right="299"/>
              <w:rPr>
                <w:rFonts w:ascii="Corbel" w:hAnsi="Corbel"/>
                <w:sz w:val="22"/>
              </w:rPr>
            </w:pPr>
            <w:r>
              <w:rPr>
                <w:rFonts w:ascii="Corbel" w:hAnsi="Corbel"/>
                <w:sz w:val="22"/>
              </w:rPr>
              <w:t>Construcción de Domo en Escuela Secundaria General No. 33 Leyes de Reforma, en Magdalena, Jalisco</w:t>
            </w:r>
          </w:p>
        </w:tc>
      </w:tr>
    </w:tbl>
    <w:p>
      <w:pPr>
        <w:pStyle w:val="BodyText"/>
        <w:rPr>
          <w:rFonts w:ascii="Times New Roman"/>
          <w:sz w:val="20"/>
        </w:rPr>
      </w:pPr>
    </w:p>
    <w:p>
      <w:pPr>
        <w:pStyle w:val="Heading4"/>
        <w:tabs>
          <w:tab w:pos="10428" w:val="left" w:leader="none"/>
        </w:tabs>
        <w:spacing w:before="220"/>
      </w:pPr>
      <w:r>
        <w:rPr>
          <w:shd w:fill="C2D59B" w:color="auto" w:val="clear"/>
        </w:rPr>
        <w:t>DESARROLLO</w:t>
      </w:r>
      <w:r>
        <w:rPr>
          <w:spacing w:val="-6"/>
          <w:shd w:fill="C2D59B" w:color="auto" w:val="clear"/>
        </w:rPr>
        <w:t> </w:t>
      </w:r>
      <w:r>
        <w:rPr>
          <w:shd w:fill="C2D59B" w:color="auto" w:val="clear"/>
        </w:rPr>
        <w:t>ECONÓMICO</w:t>
        <w:tab/>
      </w:r>
    </w:p>
    <w:p>
      <w:pPr>
        <w:pStyle w:val="BodyText"/>
        <w:rPr>
          <w:b/>
          <w:sz w:val="20"/>
        </w:rPr>
      </w:pPr>
    </w:p>
    <w:p>
      <w:pPr>
        <w:pStyle w:val="BodyText"/>
        <w:rPr>
          <w:b/>
          <w:sz w:val="20"/>
        </w:rPr>
      </w:pPr>
    </w:p>
    <w:p>
      <w:pPr>
        <w:pStyle w:val="BodyText"/>
        <w:spacing w:before="9"/>
        <w:rPr>
          <w:b/>
          <w:sz w:val="11"/>
        </w:rPr>
      </w:pPr>
    </w:p>
    <w:tbl>
      <w:tblPr>
        <w:tblW w:w="0" w:type="auto"/>
        <w:jc w:val="left"/>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8234"/>
      </w:tblGrid>
      <w:tr>
        <w:trPr>
          <w:trHeight w:val="1027" w:hRule="atLeast"/>
        </w:trPr>
        <w:tc>
          <w:tcPr>
            <w:tcW w:w="845" w:type="dxa"/>
            <w:tcBorders>
              <w:bottom w:val="single" w:sz="6" w:space="0" w:color="000000"/>
              <w:right w:val="nil"/>
            </w:tcBorders>
          </w:tcPr>
          <w:p>
            <w:pPr>
              <w:pStyle w:val="TableParagraph"/>
              <w:rPr>
                <w:rFonts w:ascii="Times New Roman"/>
                <w:sz w:val="20"/>
              </w:rPr>
            </w:pPr>
          </w:p>
        </w:tc>
        <w:tc>
          <w:tcPr>
            <w:tcW w:w="8234" w:type="dxa"/>
            <w:tcBorders>
              <w:left w:val="nil"/>
              <w:bottom w:val="single" w:sz="6" w:space="0" w:color="000000"/>
            </w:tcBorders>
            <w:shd w:val="clear" w:color="auto" w:fill="C2D59B"/>
          </w:tcPr>
          <w:p>
            <w:pPr>
              <w:pStyle w:val="TableParagraph"/>
              <w:spacing w:before="8"/>
              <w:rPr>
                <w:b/>
                <w:sz w:val="28"/>
              </w:rPr>
            </w:pPr>
          </w:p>
          <w:p>
            <w:pPr>
              <w:pStyle w:val="TableParagraph"/>
              <w:spacing w:before="1"/>
              <w:ind w:left="1002" w:right="987"/>
              <w:jc w:val="center"/>
              <w:rPr>
                <w:sz w:val="22"/>
              </w:rPr>
            </w:pPr>
            <w:r>
              <w:rPr>
                <w:sz w:val="22"/>
              </w:rPr>
              <w:t>INFRAESTRUCTURA PARA LA PRODUCTIVIDAD Y EL TURISMO</w:t>
            </w:r>
          </w:p>
        </w:tc>
      </w:tr>
      <w:tr>
        <w:trPr>
          <w:trHeight w:val="745" w:hRule="atLeast"/>
        </w:trPr>
        <w:tc>
          <w:tcPr>
            <w:tcW w:w="845" w:type="dxa"/>
            <w:tcBorders>
              <w:top w:val="single" w:sz="6" w:space="0" w:color="000000"/>
              <w:bottom w:val="single" w:sz="6" w:space="0" w:color="000000"/>
            </w:tcBorders>
          </w:tcPr>
          <w:p>
            <w:pPr>
              <w:pStyle w:val="TableParagraph"/>
              <w:spacing w:before="79"/>
              <w:ind w:left="79"/>
              <w:rPr>
                <w:sz w:val="22"/>
              </w:rPr>
            </w:pPr>
            <w:r>
              <w:rPr>
                <w:sz w:val="22"/>
              </w:rPr>
              <w:t>47</w:t>
            </w:r>
          </w:p>
        </w:tc>
        <w:tc>
          <w:tcPr>
            <w:tcW w:w="8234" w:type="dxa"/>
            <w:tcBorders>
              <w:top w:val="single" w:sz="6" w:space="0" w:color="000000"/>
              <w:bottom w:val="single" w:sz="6" w:space="0" w:color="000000"/>
            </w:tcBorders>
          </w:tcPr>
          <w:p>
            <w:pPr>
              <w:pStyle w:val="TableParagraph"/>
              <w:spacing w:before="74"/>
              <w:ind w:left="81"/>
              <w:rPr>
                <w:rFonts w:ascii="Corbel" w:hAnsi="Corbel"/>
                <w:sz w:val="22"/>
              </w:rPr>
            </w:pPr>
            <w:r>
              <w:rPr>
                <w:rFonts w:ascii="Corbel" w:hAnsi="Corbel"/>
                <w:sz w:val="22"/>
              </w:rPr>
              <w:t>Construcción de la 3ra etapa de Rastro Municipal en el Municipio de Magdalena Jal.</w:t>
            </w:r>
          </w:p>
        </w:tc>
      </w:tr>
      <w:tr>
        <w:trPr>
          <w:trHeight w:val="467" w:hRule="atLeast"/>
        </w:trPr>
        <w:tc>
          <w:tcPr>
            <w:tcW w:w="845" w:type="dxa"/>
            <w:tcBorders>
              <w:top w:val="single" w:sz="6" w:space="0" w:color="000000"/>
              <w:bottom w:val="single" w:sz="6" w:space="0" w:color="000000"/>
            </w:tcBorders>
          </w:tcPr>
          <w:p>
            <w:pPr>
              <w:pStyle w:val="TableParagraph"/>
              <w:spacing w:before="82"/>
              <w:ind w:left="79"/>
              <w:rPr>
                <w:sz w:val="22"/>
              </w:rPr>
            </w:pPr>
            <w:r>
              <w:rPr>
                <w:sz w:val="22"/>
              </w:rPr>
              <w:t>48</w:t>
            </w:r>
          </w:p>
        </w:tc>
        <w:tc>
          <w:tcPr>
            <w:tcW w:w="8234" w:type="dxa"/>
            <w:tcBorders>
              <w:top w:val="single" w:sz="6" w:space="0" w:color="000000"/>
              <w:bottom w:val="single" w:sz="6" w:space="0" w:color="000000"/>
            </w:tcBorders>
          </w:tcPr>
          <w:p>
            <w:pPr>
              <w:pStyle w:val="TableParagraph"/>
              <w:spacing w:before="77"/>
              <w:ind w:left="81"/>
              <w:rPr>
                <w:rFonts w:ascii="Corbel" w:hAnsi="Corbel"/>
                <w:sz w:val="22"/>
              </w:rPr>
            </w:pPr>
            <w:r>
              <w:rPr>
                <w:rFonts w:ascii="Corbel" w:hAnsi="Corbel"/>
                <w:sz w:val="22"/>
              </w:rPr>
              <w:t>Rehabilitación e iluminación de la Plaza Principal en Magdalena, Jalisco.</w:t>
            </w:r>
          </w:p>
        </w:tc>
      </w:tr>
    </w:tbl>
    <w:p>
      <w:pPr>
        <w:pStyle w:val="BodyText"/>
        <w:rPr>
          <w:b/>
          <w:sz w:val="20"/>
        </w:rPr>
      </w:pPr>
    </w:p>
    <w:p>
      <w:pPr>
        <w:pStyle w:val="BodyText"/>
        <w:rPr>
          <w:b/>
          <w:sz w:val="20"/>
        </w:rPr>
      </w:pPr>
    </w:p>
    <w:p>
      <w:pPr>
        <w:pStyle w:val="BodyText"/>
        <w:spacing w:before="4"/>
        <w:rPr>
          <w:b/>
          <w:sz w:val="25"/>
        </w:rPr>
      </w:pPr>
    </w:p>
    <w:p>
      <w:pPr>
        <w:pStyle w:val="BodyText"/>
        <w:tabs>
          <w:tab w:pos="10428" w:val="left" w:leader="none"/>
        </w:tabs>
        <w:spacing w:before="101"/>
        <w:ind w:left="872"/>
      </w:pPr>
      <w:r>
        <w:rPr>
          <w:spacing w:val="-33"/>
          <w:w w:val="100"/>
          <w:shd w:fill="C2D59B" w:color="auto" w:val="clear"/>
        </w:rPr>
        <w:t> </w:t>
      </w:r>
      <w:r>
        <w:rPr>
          <w:shd w:fill="C2D59B" w:color="auto" w:val="clear"/>
        </w:rPr>
        <w:t>GOBIERNO</w:t>
        <w:tab/>
      </w:r>
    </w:p>
    <w:p>
      <w:pPr>
        <w:pStyle w:val="BodyText"/>
        <w:spacing w:before="182"/>
        <w:ind w:left="901"/>
      </w:pPr>
      <w:r>
        <w:rPr/>
        <w:t>* En este eje no se tienen contempladas acciones de inversión pública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7"/>
        </w:rPr>
      </w:pPr>
    </w:p>
    <w:p>
      <w:pPr>
        <w:pStyle w:val="Heading4"/>
        <w:tabs>
          <w:tab w:pos="10428" w:val="left" w:leader="none"/>
        </w:tabs>
        <w:spacing w:before="101"/>
      </w:pPr>
      <w:r>
        <w:rPr>
          <w:shd w:fill="C2D59B" w:color="auto" w:val="clear"/>
        </w:rPr>
        <w:t>Índice de</w:t>
      </w:r>
      <w:r>
        <w:rPr>
          <w:spacing w:val="-3"/>
          <w:shd w:fill="C2D59B" w:color="auto" w:val="clear"/>
        </w:rPr>
        <w:t> </w:t>
      </w:r>
      <w:r>
        <w:rPr>
          <w:shd w:fill="C2D59B" w:color="auto" w:val="clear"/>
        </w:rPr>
        <w:t>Tablas</w:t>
        <w:tab/>
      </w:r>
    </w:p>
    <w:p>
      <w:pPr>
        <w:pStyle w:val="BodyText"/>
        <w:rPr>
          <w:b/>
          <w:sz w:val="26"/>
        </w:rPr>
      </w:pPr>
    </w:p>
    <w:p>
      <w:pPr>
        <w:pStyle w:val="BodyText"/>
        <w:spacing w:before="9"/>
        <w:rPr>
          <w:b/>
          <w:sz w:val="26"/>
        </w:rPr>
      </w:pPr>
    </w:p>
    <w:p>
      <w:pPr>
        <w:spacing w:line="245" w:lineRule="exact" w:before="0"/>
        <w:ind w:left="901" w:right="0" w:firstLine="0"/>
        <w:jc w:val="left"/>
        <w:rPr>
          <w:sz w:val="20"/>
        </w:rPr>
      </w:pPr>
      <w:r>
        <w:rPr>
          <w:b/>
          <w:sz w:val="20"/>
        </w:rPr>
        <w:t>Tabla 1. </w:t>
      </w:r>
      <w:r>
        <w:rPr>
          <w:sz w:val="20"/>
        </w:rPr>
        <w:t>Climática</w:t>
      </w:r>
    </w:p>
    <w:p>
      <w:pPr>
        <w:spacing w:before="0"/>
        <w:ind w:left="901" w:right="5945" w:firstLine="0"/>
        <w:jc w:val="left"/>
        <w:rPr>
          <w:sz w:val="20"/>
        </w:rPr>
      </w:pPr>
      <w:r>
        <w:rPr>
          <w:b/>
          <w:sz w:val="20"/>
        </w:rPr>
        <w:t>Tabla 2. </w:t>
      </w:r>
      <w:r>
        <w:rPr>
          <w:sz w:val="20"/>
        </w:rPr>
        <w:t>Superficie forestal a nivel municipal </w:t>
      </w:r>
      <w:r>
        <w:rPr>
          <w:b/>
          <w:sz w:val="20"/>
        </w:rPr>
        <w:t>Tabla 3. </w:t>
      </w:r>
      <w:r>
        <w:rPr>
          <w:sz w:val="20"/>
        </w:rPr>
        <w:t>Población del municipio de Magdalena </w:t>
      </w:r>
      <w:r>
        <w:rPr>
          <w:b/>
          <w:sz w:val="20"/>
        </w:rPr>
        <w:t>Tabla 4. </w:t>
      </w:r>
      <w:r>
        <w:rPr>
          <w:sz w:val="20"/>
        </w:rPr>
        <w:t>Índice y grado de intensidad migratoria</w:t>
      </w:r>
    </w:p>
    <w:p>
      <w:pPr>
        <w:spacing w:line="245" w:lineRule="exact" w:before="1"/>
        <w:ind w:left="901" w:right="0" w:firstLine="0"/>
        <w:jc w:val="left"/>
        <w:rPr>
          <w:sz w:val="20"/>
        </w:rPr>
      </w:pPr>
      <w:r>
        <w:rPr>
          <w:b/>
          <w:sz w:val="20"/>
        </w:rPr>
        <w:t>Tabla 5</w:t>
      </w:r>
      <w:r>
        <w:rPr>
          <w:sz w:val="20"/>
        </w:rPr>
        <w:t>. Equipamiento de Infraestructura deportiva</w:t>
      </w:r>
    </w:p>
    <w:p>
      <w:pPr>
        <w:spacing w:line="245" w:lineRule="exact" w:before="0"/>
        <w:ind w:left="901" w:right="0" w:firstLine="0"/>
        <w:jc w:val="left"/>
        <w:rPr>
          <w:sz w:val="20"/>
        </w:rPr>
      </w:pPr>
      <w:r>
        <w:rPr>
          <w:b/>
          <w:sz w:val="20"/>
        </w:rPr>
        <w:t>Tabla 6. </w:t>
      </w:r>
      <w:r>
        <w:rPr>
          <w:sz w:val="20"/>
        </w:rPr>
        <w:t>Pobreza multidimensional en Magdalena 2015</w:t>
      </w:r>
    </w:p>
    <w:p>
      <w:pPr>
        <w:spacing w:line="245" w:lineRule="exact" w:before="0"/>
        <w:ind w:left="901" w:right="0" w:firstLine="0"/>
        <w:jc w:val="left"/>
        <w:rPr>
          <w:sz w:val="20"/>
        </w:rPr>
      </w:pPr>
      <w:r>
        <w:rPr>
          <w:b/>
          <w:sz w:val="20"/>
        </w:rPr>
        <w:t>Tabla 7. </w:t>
      </w:r>
      <w:r>
        <w:rPr>
          <w:sz w:val="20"/>
        </w:rPr>
        <w:t>Grado de Marginación e indicadores sociodemográficos 2010</w:t>
      </w:r>
    </w:p>
    <w:p>
      <w:pPr>
        <w:spacing w:line="245" w:lineRule="exact" w:before="0"/>
        <w:ind w:left="901" w:right="0" w:firstLine="0"/>
        <w:jc w:val="left"/>
        <w:rPr>
          <w:sz w:val="20"/>
        </w:rPr>
      </w:pPr>
      <w:r>
        <w:rPr>
          <w:b/>
          <w:sz w:val="20"/>
        </w:rPr>
        <w:t>Tabla 8. </w:t>
      </w:r>
      <w:r>
        <w:rPr>
          <w:sz w:val="20"/>
        </w:rPr>
        <w:t>Grado de Marginación</w:t>
      </w:r>
    </w:p>
    <w:p>
      <w:pPr>
        <w:spacing w:before="2"/>
        <w:ind w:left="901" w:right="0" w:firstLine="0"/>
        <w:jc w:val="left"/>
        <w:rPr>
          <w:sz w:val="20"/>
        </w:rPr>
      </w:pPr>
      <w:r>
        <w:rPr>
          <w:b/>
          <w:sz w:val="20"/>
        </w:rPr>
        <w:t>Tabla 9. </w:t>
      </w:r>
      <w:r>
        <w:rPr>
          <w:sz w:val="20"/>
        </w:rPr>
        <w:t>Ingresos Municipales</w:t>
      </w:r>
    </w:p>
    <w:p>
      <w:pPr>
        <w:spacing w:after="0"/>
        <w:jc w:val="left"/>
        <w:rPr>
          <w:sz w:val="20"/>
        </w:rPr>
        <w:sectPr>
          <w:pgSz w:w="12240" w:h="15840"/>
          <w:pgMar w:header="178" w:footer="1142" w:top="1120" w:bottom="1340" w:left="460" w:right="220"/>
        </w:sectPr>
      </w:pPr>
    </w:p>
    <w:p>
      <w:pPr>
        <w:pStyle w:val="BodyText"/>
        <w:rPr>
          <w:sz w:val="20"/>
        </w:rPr>
      </w:pPr>
    </w:p>
    <w:p>
      <w:pPr>
        <w:pStyle w:val="BodyText"/>
        <w:spacing w:before="4"/>
        <w:rPr>
          <w:sz w:val="21"/>
        </w:rPr>
      </w:pPr>
    </w:p>
    <w:p>
      <w:pPr>
        <w:spacing w:line="245" w:lineRule="exact" w:before="0"/>
        <w:ind w:left="901" w:right="0" w:firstLine="0"/>
        <w:jc w:val="left"/>
        <w:rPr>
          <w:sz w:val="20"/>
        </w:rPr>
      </w:pPr>
      <w:r>
        <w:rPr>
          <w:b/>
          <w:sz w:val="20"/>
        </w:rPr>
        <w:t>Tabla 10</w:t>
      </w:r>
      <w:r>
        <w:rPr>
          <w:sz w:val="20"/>
        </w:rPr>
        <w:t>. Egresos Municipales</w:t>
      </w:r>
    </w:p>
    <w:p>
      <w:pPr>
        <w:spacing w:line="245" w:lineRule="exact" w:before="0"/>
        <w:ind w:left="901" w:right="0" w:firstLine="0"/>
        <w:jc w:val="left"/>
        <w:rPr>
          <w:sz w:val="20"/>
        </w:rPr>
      </w:pPr>
      <w:r>
        <w:rPr>
          <w:b/>
          <w:sz w:val="20"/>
        </w:rPr>
        <w:t>Tabla 11</w:t>
      </w:r>
      <w:r>
        <w:rPr>
          <w:sz w:val="20"/>
        </w:rPr>
        <w:t>. Desarrollo Institucional de los municipios</w:t>
      </w:r>
    </w:p>
    <w:p>
      <w:pPr>
        <w:spacing w:line="245" w:lineRule="exact" w:before="0"/>
        <w:ind w:left="901" w:right="0" w:firstLine="0"/>
        <w:jc w:val="left"/>
        <w:rPr>
          <w:sz w:val="20"/>
        </w:rPr>
      </w:pPr>
      <w:r>
        <w:rPr>
          <w:b/>
          <w:sz w:val="20"/>
        </w:rPr>
        <w:t>Tabla 12</w:t>
      </w:r>
      <w:r>
        <w:rPr>
          <w:sz w:val="20"/>
        </w:rPr>
        <w:t>. Población económicamente activa</w:t>
      </w:r>
    </w:p>
    <w:p>
      <w:pPr>
        <w:spacing w:line="245" w:lineRule="exact" w:before="2"/>
        <w:ind w:left="901" w:right="0" w:firstLine="0"/>
        <w:jc w:val="left"/>
        <w:rPr>
          <w:sz w:val="20"/>
        </w:rPr>
      </w:pPr>
      <w:r>
        <w:rPr>
          <w:b/>
          <w:sz w:val="20"/>
        </w:rPr>
        <w:t>Tabla 13. </w:t>
      </w:r>
      <w:r>
        <w:rPr>
          <w:sz w:val="20"/>
        </w:rPr>
        <w:t>Subsectores con mayor valor agregado Censal Bruto</w:t>
      </w:r>
    </w:p>
    <w:p>
      <w:pPr>
        <w:spacing w:line="245" w:lineRule="exact" w:before="0"/>
        <w:ind w:left="901" w:right="0" w:firstLine="0"/>
        <w:jc w:val="left"/>
        <w:rPr>
          <w:sz w:val="20"/>
        </w:rPr>
      </w:pPr>
      <w:r>
        <w:rPr>
          <w:b/>
          <w:sz w:val="20"/>
        </w:rPr>
        <w:t>Tabla 14. </w:t>
      </w:r>
      <w:r>
        <w:rPr>
          <w:sz w:val="20"/>
        </w:rPr>
        <w:t>Trabajadores asegurados</w:t>
      </w:r>
    </w:p>
    <w:p>
      <w:pPr>
        <w:spacing w:line="245" w:lineRule="exact" w:before="0"/>
        <w:ind w:left="901" w:right="0" w:firstLine="0"/>
        <w:jc w:val="left"/>
        <w:rPr>
          <w:sz w:val="20"/>
        </w:rPr>
      </w:pPr>
      <w:r>
        <w:rPr>
          <w:b/>
          <w:sz w:val="20"/>
        </w:rPr>
        <w:t>Tabla 15</w:t>
      </w:r>
      <w:r>
        <w:rPr>
          <w:sz w:val="20"/>
        </w:rPr>
        <w:t>. Estado actual de las carreteras y caminos</w:t>
      </w:r>
    </w:p>
    <w:p>
      <w:pPr>
        <w:pStyle w:val="BodyText"/>
        <w:rPr>
          <w:sz w:val="20"/>
        </w:rPr>
      </w:pPr>
    </w:p>
    <w:p>
      <w:pPr>
        <w:pStyle w:val="Heading2"/>
        <w:rPr>
          <w:rFonts w:ascii="Century Gothic" w:hAnsi="Century Gothic"/>
        </w:rPr>
      </w:pPr>
      <w:r>
        <w:rPr>
          <w:rFonts w:ascii="Century Gothic" w:hAnsi="Century Gothic"/>
        </w:rPr>
        <w:t>Índice de Figuras</w:t>
      </w:r>
    </w:p>
    <w:p>
      <w:pPr>
        <w:spacing w:before="199"/>
        <w:ind w:left="901" w:right="6471" w:firstLine="0"/>
        <w:jc w:val="left"/>
        <w:rPr>
          <w:sz w:val="20"/>
        </w:rPr>
      </w:pPr>
      <w:r>
        <w:rPr>
          <w:b/>
          <w:sz w:val="20"/>
        </w:rPr>
        <w:t>Figura 1. </w:t>
      </w:r>
      <w:r>
        <w:rPr>
          <w:sz w:val="20"/>
        </w:rPr>
        <w:t>Mapa de Límites territoriales </w:t>
      </w:r>
      <w:r>
        <w:rPr>
          <w:b/>
          <w:sz w:val="20"/>
        </w:rPr>
        <w:t>Figura 2. </w:t>
      </w:r>
      <w:r>
        <w:rPr>
          <w:sz w:val="20"/>
        </w:rPr>
        <w:t>Mapa de límites municipales </w:t>
      </w:r>
      <w:r>
        <w:rPr>
          <w:b/>
          <w:sz w:val="20"/>
        </w:rPr>
        <w:t>Figura 3. </w:t>
      </w:r>
      <w:r>
        <w:rPr>
          <w:sz w:val="20"/>
        </w:rPr>
        <w:t>Límites de municipio y</w:t>
      </w:r>
      <w:r>
        <w:rPr>
          <w:spacing w:val="-22"/>
          <w:sz w:val="20"/>
        </w:rPr>
        <w:t> </w:t>
      </w:r>
      <w:r>
        <w:rPr>
          <w:sz w:val="20"/>
        </w:rPr>
        <w:t>localidades</w:t>
      </w:r>
    </w:p>
    <w:p>
      <w:pPr>
        <w:spacing w:before="2"/>
        <w:ind w:left="901" w:right="5522" w:firstLine="0"/>
        <w:jc w:val="left"/>
        <w:rPr>
          <w:sz w:val="20"/>
        </w:rPr>
      </w:pPr>
      <w:r>
        <w:rPr>
          <w:b/>
          <w:sz w:val="20"/>
        </w:rPr>
        <w:t>Figura 4. </w:t>
      </w:r>
      <w:r>
        <w:rPr>
          <w:sz w:val="20"/>
        </w:rPr>
        <w:t>Población total y tasa de crecimiento </w:t>
      </w:r>
      <w:r>
        <w:rPr>
          <w:b/>
          <w:sz w:val="20"/>
        </w:rPr>
        <w:t>Figura 5. </w:t>
      </w:r>
      <w:r>
        <w:rPr>
          <w:sz w:val="20"/>
        </w:rPr>
        <w:t>Pirámide de población de Magdalena</w:t>
      </w:r>
      <w:r>
        <w:rPr>
          <w:spacing w:val="-24"/>
          <w:sz w:val="20"/>
        </w:rPr>
        <w:t> </w:t>
      </w:r>
      <w:r>
        <w:rPr>
          <w:sz w:val="20"/>
        </w:rPr>
        <w:t>2010 </w:t>
      </w:r>
      <w:r>
        <w:rPr>
          <w:b/>
          <w:sz w:val="20"/>
        </w:rPr>
        <w:t>Figura 6. </w:t>
      </w:r>
      <w:r>
        <w:rPr>
          <w:sz w:val="20"/>
        </w:rPr>
        <w:t>Organigrama</w:t>
      </w:r>
      <w:r>
        <w:rPr>
          <w:spacing w:val="-3"/>
          <w:sz w:val="20"/>
        </w:rPr>
        <w:t> </w:t>
      </w:r>
      <w:r>
        <w:rPr>
          <w:sz w:val="20"/>
        </w:rPr>
        <w:t>municipal</w:t>
      </w:r>
    </w:p>
    <w:p>
      <w:pPr>
        <w:spacing w:line="244" w:lineRule="exact" w:before="0"/>
        <w:ind w:left="901" w:right="0" w:firstLine="0"/>
        <w:jc w:val="left"/>
        <w:rPr>
          <w:sz w:val="20"/>
        </w:rPr>
      </w:pPr>
      <w:r>
        <w:rPr>
          <w:b/>
          <w:sz w:val="20"/>
        </w:rPr>
        <w:t>Figura 7. </w:t>
      </w:r>
      <w:r>
        <w:rPr>
          <w:sz w:val="20"/>
        </w:rPr>
        <w:t>Distribución porcentual de la población ocupada.</w:t>
      </w:r>
    </w:p>
    <w:p>
      <w:pPr>
        <w:spacing w:line="245" w:lineRule="exact" w:before="0"/>
        <w:ind w:left="901" w:right="0" w:firstLine="0"/>
        <w:jc w:val="left"/>
        <w:rPr>
          <w:sz w:val="20"/>
        </w:rPr>
      </w:pPr>
      <w:r>
        <w:rPr>
          <w:b/>
          <w:sz w:val="20"/>
        </w:rPr>
        <w:t>Figura 8. </w:t>
      </w:r>
      <w:r>
        <w:rPr>
          <w:sz w:val="20"/>
        </w:rPr>
        <w:t>Distribución de las unidades económicas</w:t>
      </w:r>
    </w:p>
    <w:p>
      <w:pPr>
        <w:spacing w:line="245" w:lineRule="exact" w:before="2"/>
        <w:ind w:left="901" w:right="0" w:firstLine="0"/>
        <w:jc w:val="left"/>
        <w:rPr>
          <w:sz w:val="20"/>
        </w:rPr>
      </w:pPr>
      <w:r>
        <w:rPr>
          <w:b/>
          <w:sz w:val="20"/>
        </w:rPr>
        <w:t>Figura 9. </w:t>
      </w:r>
      <w:r>
        <w:rPr>
          <w:sz w:val="20"/>
        </w:rPr>
        <w:t>Valor de la producción agrícola</w:t>
      </w:r>
    </w:p>
    <w:p>
      <w:pPr>
        <w:spacing w:line="245" w:lineRule="exact" w:before="0"/>
        <w:ind w:left="901" w:right="0" w:firstLine="0"/>
        <w:jc w:val="left"/>
        <w:rPr>
          <w:sz w:val="20"/>
        </w:rPr>
      </w:pPr>
      <w:r>
        <w:rPr>
          <w:b/>
          <w:sz w:val="20"/>
        </w:rPr>
        <w:t>Figura 10. </w:t>
      </w:r>
      <w:r>
        <w:rPr>
          <w:sz w:val="20"/>
        </w:rPr>
        <w:t>Valor de la producción ganadera</w:t>
      </w:r>
    </w:p>
    <w:sectPr>
      <w:footerReference w:type="default" r:id="rId67"/>
      <w:pgSz w:w="12240" w:h="15840"/>
      <w:pgMar w:footer="1179" w:header="178" w:top="1120" w:bottom="1360" w:left="46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rbel">
    <w:altName w:val="Corbel"/>
    <w:charset w:val="0"/>
    <w:family w:val="swiss"/>
    <w:pitch w:val="variable"/>
  </w:font>
  <w:font w:name="Century Gothic">
    <w:altName w:val="Century Gothic"/>
    <w:charset w:val="0"/>
    <w:family w:val="swiss"/>
    <w:pitch w:val="variable"/>
  </w:font>
  <w:font w:name="Trebuchet MS">
    <w:altName w:val="Trebuchet MS"/>
    <w:charset w:val="0"/>
    <w:family w:val="swiss"/>
    <w:pitch w:val="variable"/>
  </w:font>
  <w:font w:name="Tw Cen MT Condensed Extra Bold">
    <w:altName w:val="Tw Cen MT Condensed Extra Bold"/>
    <w:charset w:val="0"/>
    <w:family w:val="swiss"/>
    <w:pitch w:val="variable"/>
  </w:font>
  <w:font w:name="Cambria Math">
    <w:altName w:val="Cambria Math"/>
    <w:charset w:val="0"/>
    <w:family w:val="roman"/>
    <w:pitch w:val="variable"/>
  </w:font>
  <w:font w:name="Symbol">
    <w:altName w:val="Symbol"/>
    <w:charset w:val="2"/>
    <w:family w:val="roman"/>
    <w:pitch w:val="variable"/>
  </w:font>
  <w:font w:name="MS Gothic">
    <w:altName w:val="MS Gothic"/>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74400" coordorigin="0,14381" coordsize="12240,420">
          <v:shape style="position:absolute;left:0;top:14380;width:12240;height:358" type="#_x0000_t75" stroked="false">
            <v:imagedata r:id="rId1" o:title=""/>
          </v:shape>
          <v:shape style="position:absolute;left:991;top:14416;width:3516;height:384" type="#_x0000_t75" stroked="false">
            <v:imagedata r:id="rId2" o:title=""/>
          </v:shape>
          <w10:wrap type="none"/>
        </v:group>
      </w:pict>
    </w:r>
    <w:r>
      <w:rPr/>
      <w:pict>
        <v:shapetype id="_x0000_t202" o:spt="202" coordsize="21600,21600" path="m,l,21600r21600,l21600,xe">
          <v:stroke joinstyle="miter"/>
          <v:path gradientshapeok="t" o:connecttype="rect"/>
        </v:shapetype>
        <v:shape style="position:absolute;margin-left:-.16pt;margin-top:719.891724pt;width:612.8pt;height:23.2pt;mso-position-horizontal-relative:page;mso-position-vertical-relative:page;z-index:-262373376"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87" w:firstLine="0"/>
                  <w:jc w:val="right"/>
                  <w:rPr>
                    <w:rFonts w:ascii="Corbel"/>
                    <w:sz w:val="15"/>
                  </w:rPr>
                </w:pPr>
                <w:r>
                  <w:rPr/>
                  <w:fldChar w:fldCharType="begin"/>
                </w:r>
                <w:r>
                  <w:rPr>
                    <w:rFonts w:ascii="Corbel"/>
                    <w:sz w:val="15"/>
                  </w:rPr>
                  <w:instrText> PAGE </w:instrText>
                </w:r>
                <w:r>
                  <w:rPr/>
                  <w:fldChar w:fldCharType="separate"/>
                </w:r>
                <w:r>
                  <w:rPr/>
                  <w:t>46</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56992" coordorigin="0,14381" coordsize="12240,420">
          <v:shape style="position:absolute;left:0;top:14380;width:12240;height:351" type="#_x0000_t75" stroked="false">
            <v:imagedata r:id="rId1" o:title=""/>
          </v:shape>
          <v:shape style="position:absolute;left:991;top:14416;width:3516;height:384" type="#_x0000_t75" stroked="false">
            <v:imagedata r:id="rId2" o:title=""/>
          </v:shape>
          <w10:wrap type="none"/>
        </v:group>
      </w:pict>
    </w:r>
    <w:r>
      <w:rPr/>
      <w:pict>
        <v:shape style="position:absolute;margin-left:-.16pt;margin-top:719.891724pt;width:612.8pt;height:23.2pt;mso-position-horizontal-relative:page;mso-position-vertical-relative:page;z-index:-262355968"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89" w:firstLine="0"/>
                  <w:jc w:val="right"/>
                  <w:rPr>
                    <w:rFonts w:ascii="Corbel"/>
                    <w:sz w:val="15"/>
                  </w:rPr>
                </w:pPr>
                <w:r>
                  <w:rPr/>
                  <w:fldChar w:fldCharType="begin"/>
                </w:r>
                <w:r>
                  <w:rPr>
                    <w:rFonts w:ascii="Corbel"/>
                    <w:smallCaps/>
                    <w:w w:val="100"/>
                    <w:sz w:val="15"/>
                  </w:rPr>
                  <w:instrText> PAGE </w:instrText>
                </w:r>
                <w:r>
                  <w:rPr/>
                  <w:fldChar w:fldCharType="separate"/>
                </w:r>
                <w:r>
                  <w:rPr/>
                  <w:t>156</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54944" coordorigin="0,14381" coordsize="12240,420">
          <v:shape style="position:absolute;left:0;top:14380;width:12240;height:351" type="#_x0000_t75" stroked="false">
            <v:imagedata r:id="rId1" o:title=""/>
          </v:shape>
          <v:shape style="position:absolute;left:991;top:14416;width:3516;height:384" type="#_x0000_t75" stroked="false">
            <v:imagedata r:id="rId2" o:title=""/>
          </v:shape>
          <w10:wrap type="none"/>
        </v:group>
      </w:pict>
    </w:r>
    <w:r>
      <w:rPr/>
      <w:pict>
        <v:shape style="position:absolute;margin-left:-.16pt;margin-top:719.891724pt;width:612.8pt;height:23.2pt;mso-position-horizontal-relative:page;mso-position-vertical-relative:page;z-index:-262353920"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90" w:firstLine="0"/>
                  <w:jc w:val="right"/>
                  <w:rPr>
                    <w:rFonts w:ascii="Corbel"/>
                    <w:sz w:val="15"/>
                  </w:rPr>
                </w:pPr>
                <w:r>
                  <w:rPr>
                    <w:rFonts w:ascii="Corbel"/>
                    <w:smallCaps/>
                    <w:spacing w:val="-1"/>
                    <w:w w:val="100"/>
                    <w:sz w:val="15"/>
                  </w:rPr>
                  <w:t>1</w:t>
                </w:r>
                <w:r>
                  <w:rPr>
                    <w:rFonts w:ascii="Corbel"/>
                    <w:smallCaps w:val="0"/>
                    <w:spacing w:val="-1"/>
                    <w:w w:val="100"/>
                    <w:sz w:val="15"/>
                  </w:rPr>
                  <w:t>60</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71328" coordorigin="0,14381" coordsize="12240,420">
          <v:shape style="position:absolute;left:0;top:14380;width:12240;height:351" type="#_x0000_t75" stroked="false">
            <v:imagedata r:id="rId1" o:title=""/>
          </v:shape>
          <v:shape style="position:absolute;left:991;top:14416;width:3516;height:384" type="#_x0000_t75" stroked="false">
            <v:imagedata r:id="rId2" o:title=""/>
          </v:shape>
          <w10:wrap type="none"/>
        </v:group>
      </w:pict>
    </w:r>
    <w:r>
      <w:rPr/>
      <w:pict>
        <v:shape style="position:absolute;margin-left:-.16pt;margin-top:719.891724pt;width:612.8pt;height:23.2pt;mso-position-horizontal-relative:page;mso-position-vertical-relative:page;z-index:-262370304"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89" w:firstLine="0"/>
                  <w:jc w:val="right"/>
                  <w:rPr>
                    <w:rFonts w:ascii="Corbel"/>
                    <w:sz w:val="15"/>
                  </w:rPr>
                </w:pPr>
                <w:r>
                  <w:rPr/>
                  <w:fldChar w:fldCharType="begin"/>
                </w:r>
                <w:r>
                  <w:rPr>
                    <w:rFonts w:ascii="Corbel"/>
                    <w:sz w:val="15"/>
                  </w:rPr>
                  <w:instrText> PAGE </w:instrText>
                </w:r>
                <w:r>
                  <w:rPr/>
                  <w:fldChar w:fldCharType="separate"/>
                </w:r>
                <w:r>
                  <w:rPr/>
                  <w:t>94</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69280" coordorigin="0,14381" coordsize="12240,420">
          <v:shape style="position:absolute;left:0;top:14380;width:12240;height:351" type="#_x0000_t75" stroked="false">
            <v:imagedata r:id="rId1" o:title=""/>
          </v:shape>
          <v:shape style="position:absolute;left:991;top:14416;width:3516;height:384" type="#_x0000_t75" stroked="false">
            <v:imagedata r:id="rId2" o:title=""/>
          </v:shape>
          <w10:wrap type="none"/>
        </v:group>
      </w:pict>
    </w:r>
    <w:r>
      <w:rPr/>
      <w:pict>
        <v:shape style="position:absolute;margin-left:-.16pt;margin-top:719.891724pt;width:612.8pt;height:23.2pt;mso-position-horizontal-relative:page;mso-position-vertical-relative:page;z-index:-262368256"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91" w:firstLine="0"/>
                  <w:jc w:val="right"/>
                  <w:rPr>
                    <w:rFonts w:ascii="Corbel"/>
                    <w:sz w:val="15"/>
                  </w:rPr>
                </w:pPr>
                <w:r>
                  <w:rPr/>
                  <w:fldChar w:fldCharType="begin"/>
                </w:r>
                <w:r>
                  <w:rPr>
                    <w:rFonts w:ascii="Corbel"/>
                    <w:smallCaps/>
                    <w:w w:val="100"/>
                    <w:sz w:val="15"/>
                  </w:rPr>
                  <w:instrText> PAGE </w:instrText>
                </w:r>
                <w:r>
                  <w:rPr/>
                  <w:fldChar w:fldCharType="separate"/>
                </w:r>
                <w:r>
                  <w:rPr/>
                  <w:t>106</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67232" coordorigin="0,14381" coordsize="12240,420">
          <v:shape style="position:absolute;left:0;top:14380;width:12240;height:351" type="#_x0000_t75" stroked="false">
            <v:imagedata r:id="rId1" o:title=""/>
          </v:shape>
          <v:shape style="position:absolute;left:991;top:14416;width:3516;height:384" type="#_x0000_t75" stroked="false">
            <v:imagedata r:id="rId2" o:title=""/>
          </v:shape>
          <w10:wrap type="none"/>
        </v:group>
      </w:pict>
    </w:r>
    <w:r>
      <w:rPr/>
      <w:pict>
        <v:shape style="position:absolute;margin-left:-.16pt;margin-top:719.891724pt;width:612.8pt;height:23.2pt;mso-position-horizontal-relative:page;mso-position-vertical-relative:page;z-index:-262366208"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89" w:firstLine="0"/>
                  <w:jc w:val="right"/>
                  <w:rPr>
                    <w:rFonts w:ascii="Corbel"/>
                    <w:sz w:val="15"/>
                  </w:rPr>
                </w:pPr>
                <w:r>
                  <w:rPr/>
                  <w:fldChar w:fldCharType="begin"/>
                </w:r>
                <w:r>
                  <w:rPr>
                    <w:rFonts w:ascii="Corbel"/>
                    <w:smallCaps/>
                    <w:w w:val="100"/>
                    <w:sz w:val="15"/>
                  </w:rPr>
                  <w:instrText> PAGE </w:instrText>
                </w:r>
                <w:r>
                  <w:rPr/>
                  <w:fldChar w:fldCharType="separate"/>
                </w:r>
                <w:r>
                  <w:rPr/>
                  <w:t>116</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65184" coordorigin="0,14381" coordsize="12240,420">
          <v:shape style="position:absolute;left:0;top:14380;width:12240;height:351" type="#_x0000_t75" stroked="false">
            <v:imagedata r:id="rId1" o:title=""/>
          </v:shape>
          <v:shape style="position:absolute;left:991;top:14416;width:3516;height:384" type="#_x0000_t75" stroked="false">
            <v:imagedata r:id="rId2" o:title=""/>
          </v:shape>
          <w10:wrap type="none"/>
        </v:group>
      </w:pict>
    </w:r>
    <w:r>
      <w:rPr/>
      <w:pict>
        <v:shape style="position:absolute;margin-left:-.16pt;margin-top:719.891724pt;width:612.8pt;height:23.2pt;mso-position-horizontal-relative:page;mso-position-vertical-relative:page;z-index:-262364160"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91" w:firstLine="0"/>
                  <w:jc w:val="right"/>
                  <w:rPr>
                    <w:rFonts w:ascii="Corbel"/>
                    <w:sz w:val="15"/>
                  </w:rPr>
                </w:pPr>
                <w:r>
                  <w:rPr>
                    <w:rFonts w:ascii="Corbel"/>
                    <w:smallCaps/>
                    <w:spacing w:val="-1"/>
                    <w:w w:val="100"/>
                    <w:sz w:val="15"/>
                  </w:rPr>
                  <w:t>120</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63136" coordorigin="0,14381" coordsize="12240,420">
          <v:shape style="position:absolute;left:0;top:14380;width:12240;height:351" type="#_x0000_t75" stroked="false">
            <v:imagedata r:id="rId1" o:title=""/>
          </v:shape>
          <v:shape style="position:absolute;left:991;top:14416;width:3516;height:384" type="#_x0000_t75" stroked="false">
            <v:imagedata r:id="rId2" o:title=""/>
          </v:shape>
          <w10:wrap type="none"/>
        </v:group>
      </w:pict>
    </w:r>
    <w:r>
      <w:rPr/>
      <w:pict>
        <v:shape style="position:absolute;margin-left:-.16pt;margin-top:719.891724pt;width:612.8pt;height:23.2pt;mso-position-horizontal-relative:page;mso-position-vertical-relative:page;z-index:-262362112"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90" w:firstLine="0"/>
                  <w:jc w:val="right"/>
                  <w:rPr>
                    <w:rFonts w:ascii="Corbel"/>
                    <w:sz w:val="15"/>
                  </w:rPr>
                </w:pPr>
                <w:r>
                  <w:rPr/>
                  <w:fldChar w:fldCharType="begin"/>
                </w:r>
                <w:r>
                  <w:rPr>
                    <w:rFonts w:ascii="Corbel"/>
                    <w:smallCaps/>
                    <w:w w:val="100"/>
                    <w:sz w:val="15"/>
                  </w:rPr>
                  <w:instrText> PAGE </w:instrText>
                </w:r>
                <w:r>
                  <w:rPr/>
                  <w:fldChar w:fldCharType="separate"/>
                </w:r>
                <w:r>
                  <w:rPr/>
                  <w:t>124</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61088" coordorigin="0,14381" coordsize="12240,420">
          <v:shape style="position:absolute;left:0;top:14380;width:12240;height:351" type="#_x0000_t75" stroked="false">
            <v:imagedata r:id="rId1" o:title=""/>
          </v:shape>
          <v:shape style="position:absolute;left:991;top:14416;width:3516;height:384" type="#_x0000_t75" stroked="false">
            <v:imagedata r:id="rId2" o:title=""/>
          </v:shape>
          <w10:wrap type="none"/>
        </v:group>
      </w:pict>
    </w:r>
    <w:r>
      <w:rPr/>
      <w:pict>
        <v:shape style="position:absolute;margin-left:-.16pt;margin-top:719.891724pt;width:612.8pt;height:23.2pt;mso-position-horizontal-relative:page;mso-position-vertical-relative:page;z-index:-262360064"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88" w:firstLine="0"/>
                  <w:jc w:val="right"/>
                  <w:rPr>
                    <w:rFonts w:ascii="Corbel"/>
                    <w:sz w:val="15"/>
                  </w:rPr>
                </w:pPr>
                <w:r>
                  <w:rPr/>
                  <w:fldChar w:fldCharType="begin"/>
                </w:r>
                <w:r>
                  <w:rPr>
                    <w:rFonts w:ascii="Corbel"/>
                    <w:smallCaps/>
                    <w:w w:val="100"/>
                    <w:sz w:val="15"/>
                  </w:rPr>
                  <w:instrText> PAGE </w:instrText>
                </w:r>
                <w:r>
                  <w:rPr/>
                  <w:fldChar w:fldCharType="separate"/>
                </w:r>
                <w:r>
                  <w:rPr/>
                  <w:t>136</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19.039978pt;width:612pt;height:21pt;mso-position-horizontal-relative:page;mso-position-vertical-relative:page;z-index:-262359040" coordorigin="0,14381" coordsize="12240,420">
          <v:shape style="position:absolute;left:0;top:14380;width:12240;height:351" type="#_x0000_t75" stroked="false">
            <v:imagedata r:id="rId1" o:title=""/>
          </v:shape>
          <v:shape style="position:absolute;left:991;top:14416;width:3516;height:384" type="#_x0000_t75" stroked="false">
            <v:imagedata r:id="rId2" o:title=""/>
          </v:shape>
          <w10:wrap type="none"/>
        </v:group>
      </w:pict>
    </w:r>
    <w:r>
      <w:rPr/>
      <w:pict>
        <v:shape style="position:absolute;margin-left:-.16pt;margin-top:719.891724pt;width:612.8pt;height:23.2pt;mso-position-horizontal-relative:page;mso-position-vertical-relative:page;z-index:-262358016" type="#_x0000_t202" filled="false" stroked="false">
          <v:textbox inset="0,0,0,0">
            <w:txbxContent>
              <w:p>
                <w:pPr>
                  <w:tabs>
                    <w:tab w:pos="1095" w:val="left" w:leader="none"/>
                    <w:tab w:pos="12235" w:val="left" w:leader="none"/>
                  </w:tabs>
                  <w:spacing w:before="21"/>
                  <w:ind w:left="20" w:right="0" w:firstLine="0"/>
                  <w:jc w:val="left"/>
                  <w:rPr>
                    <w:sz w:val="15"/>
                  </w:rPr>
                </w:pPr>
                <w:r>
                  <w:rPr>
                    <w:color w:val="F1F1F1"/>
                    <w:w w:val="100"/>
                    <w:sz w:val="15"/>
                    <w:shd w:fill="3D3D3D" w:color="auto" w:val="clear"/>
                  </w:rPr>
                  <w:t> </w:t>
                </w:r>
                <w:r>
                  <w:rPr>
                    <w:color w:val="F1F1F1"/>
                    <w:sz w:val="15"/>
                    <w:shd w:fill="3D3D3D" w:color="auto" w:val="clear"/>
                  </w:rPr>
                  <w:tab/>
                  <w:t>ADMINISTRACIÓN 2018 -</w:t>
                </w:r>
                <w:r>
                  <w:rPr>
                    <w:color w:val="F1F1F1"/>
                    <w:spacing w:val="-8"/>
                    <w:sz w:val="15"/>
                    <w:shd w:fill="3D3D3D" w:color="auto" w:val="clear"/>
                  </w:rPr>
                  <w:t> </w:t>
                </w:r>
                <w:r>
                  <w:rPr>
                    <w:color w:val="F1F1F1"/>
                    <w:sz w:val="15"/>
                    <w:shd w:fill="3D3D3D" w:color="auto" w:val="clear"/>
                  </w:rPr>
                  <w:t>2021</w:t>
                  <w:tab/>
                </w:r>
              </w:p>
              <w:p>
                <w:pPr>
                  <w:spacing w:before="57"/>
                  <w:ind w:left="0" w:right="1388" w:firstLine="0"/>
                  <w:jc w:val="right"/>
                  <w:rPr>
                    <w:rFonts w:ascii="Corbel"/>
                    <w:sz w:val="15"/>
                  </w:rPr>
                </w:pPr>
                <w:r>
                  <w:rPr/>
                  <w:fldChar w:fldCharType="begin"/>
                </w:r>
                <w:r>
                  <w:rPr>
                    <w:rFonts w:ascii="Corbel"/>
                    <w:smallCaps/>
                    <w:w w:val="100"/>
                    <w:sz w:val="15"/>
                  </w:rPr>
                  <w:instrText> PAGE </w:instrText>
                </w:r>
                <w:r>
                  <w:rPr/>
                  <w:fldChar w:fldCharType="separate"/>
                </w:r>
                <w:r>
                  <w:rPr/>
                  <w:t>146</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0941056">
          <wp:simplePos x="0" y="0"/>
          <wp:positionH relativeFrom="page">
            <wp:posOffset>6259067</wp:posOffset>
          </wp:positionH>
          <wp:positionV relativeFrom="page">
            <wp:posOffset>112776</wp:posOffset>
          </wp:positionV>
          <wp:extent cx="1513331" cy="505968"/>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513331" cy="505968"/>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0944128">
          <wp:simplePos x="0" y="0"/>
          <wp:positionH relativeFrom="page">
            <wp:posOffset>6259067</wp:posOffset>
          </wp:positionH>
          <wp:positionV relativeFrom="page">
            <wp:posOffset>112776</wp:posOffset>
          </wp:positionV>
          <wp:extent cx="1513331" cy="505968"/>
          <wp:effectExtent l="0" t="0" r="0" b="0"/>
          <wp:wrapNone/>
          <wp:docPr id="27" name="image1.jpeg"/>
          <wp:cNvGraphicFramePr>
            <a:graphicFrameLocks noChangeAspect="1"/>
          </wp:cNvGraphicFramePr>
          <a:graphic>
            <a:graphicData uri="http://schemas.openxmlformats.org/drawingml/2006/picture">
              <pic:pic>
                <pic:nvPicPr>
                  <pic:cNvPr id="28" name="image1.jpeg"/>
                  <pic:cNvPicPr/>
                </pic:nvPicPr>
                <pic:blipFill>
                  <a:blip r:embed="rId1" cstate="print"/>
                  <a:stretch>
                    <a:fillRect/>
                  </a:stretch>
                </pic:blipFill>
                <pic:spPr>
                  <a:xfrm>
                    <a:off x="0" y="0"/>
                    <a:ext cx="1513331" cy="50596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
    <w:multiLevelType w:val="hybridMultilevel"/>
    <w:lvl w:ilvl="0">
      <w:start w:val="1"/>
      <w:numFmt w:val="decimal"/>
      <w:lvlText w:val="%1."/>
      <w:lvlJc w:val="left"/>
      <w:pPr>
        <w:ind w:left="1621" w:hanging="360"/>
        <w:jc w:val="left"/>
      </w:pPr>
      <w:rPr>
        <w:rFonts w:hint="default" w:ascii="Century Gothic" w:hAnsi="Century Gothic" w:eastAsia="Century Gothic" w:cs="Century Gothic"/>
        <w:w w:val="100"/>
        <w:sz w:val="22"/>
        <w:szCs w:val="22"/>
        <w:lang w:val="es-ES" w:eastAsia="es-ES" w:bidi="es-ES"/>
      </w:rPr>
    </w:lvl>
    <w:lvl w:ilvl="1">
      <w:start w:val="0"/>
      <w:numFmt w:val="bullet"/>
      <w:lvlText w:val="•"/>
      <w:lvlJc w:val="left"/>
      <w:pPr>
        <w:ind w:left="2614" w:hanging="360"/>
      </w:pPr>
      <w:rPr>
        <w:rFonts w:hint="default"/>
        <w:lang w:val="es-ES" w:eastAsia="es-ES" w:bidi="es-ES"/>
      </w:rPr>
    </w:lvl>
    <w:lvl w:ilvl="2">
      <w:start w:val="0"/>
      <w:numFmt w:val="bullet"/>
      <w:lvlText w:val="•"/>
      <w:lvlJc w:val="left"/>
      <w:pPr>
        <w:ind w:left="3608" w:hanging="360"/>
      </w:pPr>
      <w:rPr>
        <w:rFonts w:hint="default"/>
        <w:lang w:val="es-ES" w:eastAsia="es-ES" w:bidi="es-ES"/>
      </w:rPr>
    </w:lvl>
    <w:lvl w:ilvl="3">
      <w:start w:val="0"/>
      <w:numFmt w:val="bullet"/>
      <w:lvlText w:val="•"/>
      <w:lvlJc w:val="left"/>
      <w:pPr>
        <w:ind w:left="4602" w:hanging="360"/>
      </w:pPr>
      <w:rPr>
        <w:rFonts w:hint="default"/>
        <w:lang w:val="es-ES" w:eastAsia="es-ES" w:bidi="es-ES"/>
      </w:rPr>
    </w:lvl>
    <w:lvl w:ilvl="4">
      <w:start w:val="0"/>
      <w:numFmt w:val="bullet"/>
      <w:lvlText w:val="•"/>
      <w:lvlJc w:val="left"/>
      <w:pPr>
        <w:ind w:left="5596" w:hanging="360"/>
      </w:pPr>
      <w:rPr>
        <w:rFonts w:hint="default"/>
        <w:lang w:val="es-ES" w:eastAsia="es-ES" w:bidi="es-ES"/>
      </w:rPr>
    </w:lvl>
    <w:lvl w:ilvl="5">
      <w:start w:val="0"/>
      <w:numFmt w:val="bullet"/>
      <w:lvlText w:val="•"/>
      <w:lvlJc w:val="left"/>
      <w:pPr>
        <w:ind w:left="6590" w:hanging="360"/>
      </w:pPr>
      <w:rPr>
        <w:rFonts w:hint="default"/>
        <w:lang w:val="es-ES" w:eastAsia="es-ES" w:bidi="es-ES"/>
      </w:rPr>
    </w:lvl>
    <w:lvl w:ilvl="6">
      <w:start w:val="0"/>
      <w:numFmt w:val="bullet"/>
      <w:lvlText w:val="•"/>
      <w:lvlJc w:val="left"/>
      <w:pPr>
        <w:ind w:left="7584" w:hanging="360"/>
      </w:pPr>
      <w:rPr>
        <w:rFonts w:hint="default"/>
        <w:lang w:val="es-ES" w:eastAsia="es-ES" w:bidi="es-ES"/>
      </w:rPr>
    </w:lvl>
    <w:lvl w:ilvl="7">
      <w:start w:val="0"/>
      <w:numFmt w:val="bullet"/>
      <w:lvlText w:val="•"/>
      <w:lvlJc w:val="left"/>
      <w:pPr>
        <w:ind w:left="8578" w:hanging="360"/>
      </w:pPr>
      <w:rPr>
        <w:rFonts w:hint="default"/>
        <w:lang w:val="es-ES" w:eastAsia="es-ES" w:bidi="es-ES"/>
      </w:rPr>
    </w:lvl>
    <w:lvl w:ilvl="8">
      <w:start w:val="0"/>
      <w:numFmt w:val="bullet"/>
      <w:lvlText w:val="•"/>
      <w:lvlJc w:val="left"/>
      <w:pPr>
        <w:ind w:left="9572" w:hanging="360"/>
      </w:pPr>
      <w:rPr>
        <w:rFonts w:hint="default"/>
        <w:lang w:val="es-ES" w:eastAsia="es-ES" w:bidi="es-ES"/>
      </w:rPr>
    </w:lvl>
  </w:abstractNum>
  <w:abstractNum w:abstractNumId="74">
    <w:multiLevelType w:val="hybridMultilevel"/>
    <w:lvl w:ilvl="0">
      <w:start w:val="0"/>
      <w:numFmt w:val="bullet"/>
      <w:lvlText w:val=""/>
      <w:lvlJc w:val="left"/>
      <w:pPr>
        <w:ind w:left="849" w:hanging="411"/>
      </w:pPr>
      <w:rPr>
        <w:rFonts w:hint="default" w:ascii="Symbol" w:hAnsi="Symbol" w:eastAsia="Symbol" w:cs="Symbol"/>
        <w:color w:val="252525"/>
        <w:w w:val="100"/>
        <w:sz w:val="24"/>
        <w:szCs w:val="24"/>
        <w:lang w:val="es-ES" w:eastAsia="es-ES" w:bidi="es-ES"/>
      </w:rPr>
    </w:lvl>
    <w:lvl w:ilvl="1">
      <w:start w:val="0"/>
      <w:numFmt w:val="bullet"/>
      <w:lvlText w:val="•"/>
      <w:lvlJc w:val="left"/>
      <w:pPr>
        <w:ind w:left="1258" w:hanging="411"/>
      </w:pPr>
      <w:rPr>
        <w:rFonts w:hint="default"/>
        <w:lang w:val="es-ES" w:eastAsia="es-ES" w:bidi="es-ES"/>
      </w:rPr>
    </w:lvl>
    <w:lvl w:ilvl="2">
      <w:start w:val="0"/>
      <w:numFmt w:val="bullet"/>
      <w:lvlText w:val="•"/>
      <w:lvlJc w:val="left"/>
      <w:pPr>
        <w:ind w:left="1676" w:hanging="411"/>
      </w:pPr>
      <w:rPr>
        <w:rFonts w:hint="default"/>
        <w:lang w:val="es-ES" w:eastAsia="es-ES" w:bidi="es-ES"/>
      </w:rPr>
    </w:lvl>
    <w:lvl w:ilvl="3">
      <w:start w:val="0"/>
      <w:numFmt w:val="bullet"/>
      <w:lvlText w:val="•"/>
      <w:lvlJc w:val="left"/>
      <w:pPr>
        <w:ind w:left="2094" w:hanging="411"/>
      </w:pPr>
      <w:rPr>
        <w:rFonts w:hint="default"/>
        <w:lang w:val="es-ES" w:eastAsia="es-ES" w:bidi="es-ES"/>
      </w:rPr>
    </w:lvl>
    <w:lvl w:ilvl="4">
      <w:start w:val="0"/>
      <w:numFmt w:val="bullet"/>
      <w:lvlText w:val="•"/>
      <w:lvlJc w:val="left"/>
      <w:pPr>
        <w:ind w:left="2512" w:hanging="411"/>
      </w:pPr>
      <w:rPr>
        <w:rFonts w:hint="default"/>
        <w:lang w:val="es-ES" w:eastAsia="es-ES" w:bidi="es-ES"/>
      </w:rPr>
    </w:lvl>
    <w:lvl w:ilvl="5">
      <w:start w:val="0"/>
      <w:numFmt w:val="bullet"/>
      <w:lvlText w:val="•"/>
      <w:lvlJc w:val="left"/>
      <w:pPr>
        <w:ind w:left="2930" w:hanging="411"/>
      </w:pPr>
      <w:rPr>
        <w:rFonts w:hint="default"/>
        <w:lang w:val="es-ES" w:eastAsia="es-ES" w:bidi="es-ES"/>
      </w:rPr>
    </w:lvl>
    <w:lvl w:ilvl="6">
      <w:start w:val="0"/>
      <w:numFmt w:val="bullet"/>
      <w:lvlText w:val="•"/>
      <w:lvlJc w:val="left"/>
      <w:pPr>
        <w:ind w:left="3348" w:hanging="411"/>
      </w:pPr>
      <w:rPr>
        <w:rFonts w:hint="default"/>
        <w:lang w:val="es-ES" w:eastAsia="es-ES" w:bidi="es-ES"/>
      </w:rPr>
    </w:lvl>
    <w:lvl w:ilvl="7">
      <w:start w:val="0"/>
      <w:numFmt w:val="bullet"/>
      <w:lvlText w:val="•"/>
      <w:lvlJc w:val="left"/>
      <w:pPr>
        <w:ind w:left="3766" w:hanging="411"/>
      </w:pPr>
      <w:rPr>
        <w:rFonts w:hint="default"/>
        <w:lang w:val="es-ES" w:eastAsia="es-ES" w:bidi="es-ES"/>
      </w:rPr>
    </w:lvl>
    <w:lvl w:ilvl="8">
      <w:start w:val="0"/>
      <w:numFmt w:val="bullet"/>
      <w:lvlText w:val="•"/>
      <w:lvlJc w:val="left"/>
      <w:pPr>
        <w:ind w:left="4184" w:hanging="411"/>
      </w:pPr>
      <w:rPr>
        <w:rFonts w:hint="default"/>
        <w:lang w:val="es-ES" w:eastAsia="es-ES" w:bidi="es-ES"/>
      </w:rPr>
    </w:lvl>
  </w:abstractNum>
  <w:abstractNum w:abstractNumId="73">
    <w:multiLevelType w:val="hybridMultilevel"/>
    <w:lvl w:ilvl="0">
      <w:start w:val="0"/>
      <w:numFmt w:val="bullet"/>
      <w:lvlText w:val=""/>
      <w:lvlJc w:val="left"/>
      <w:pPr>
        <w:ind w:left="815" w:hanging="377"/>
      </w:pPr>
      <w:rPr>
        <w:rFonts w:hint="default"/>
        <w:w w:val="100"/>
        <w:lang w:val="es-ES" w:eastAsia="es-ES" w:bidi="es-ES"/>
      </w:rPr>
    </w:lvl>
    <w:lvl w:ilvl="1">
      <w:start w:val="0"/>
      <w:numFmt w:val="bullet"/>
      <w:lvlText w:val="•"/>
      <w:lvlJc w:val="left"/>
      <w:pPr>
        <w:ind w:left="1240" w:hanging="377"/>
      </w:pPr>
      <w:rPr>
        <w:rFonts w:hint="default"/>
        <w:lang w:val="es-ES" w:eastAsia="es-ES" w:bidi="es-ES"/>
      </w:rPr>
    </w:lvl>
    <w:lvl w:ilvl="2">
      <w:start w:val="0"/>
      <w:numFmt w:val="bullet"/>
      <w:lvlText w:val="•"/>
      <w:lvlJc w:val="left"/>
      <w:pPr>
        <w:ind w:left="1660" w:hanging="377"/>
      </w:pPr>
      <w:rPr>
        <w:rFonts w:hint="default"/>
        <w:lang w:val="es-ES" w:eastAsia="es-ES" w:bidi="es-ES"/>
      </w:rPr>
    </w:lvl>
    <w:lvl w:ilvl="3">
      <w:start w:val="0"/>
      <w:numFmt w:val="bullet"/>
      <w:lvlText w:val="•"/>
      <w:lvlJc w:val="left"/>
      <w:pPr>
        <w:ind w:left="2080" w:hanging="377"/>
      </w:pPr>
      <w:rPr>
        <w:rFonts w:hint="default"/>
        <w:lang w:val="es-ES" w:eastAsia="es-ES" w:bidi="es-ES"/>
      </w:rPr>
    </w:lvl>
    <w:lvl w:ilvl="4">
      <w:start w:val="0"/>
      <w:numFmt w:val="bullet"/>
      <w:lvlText w:val="•"/>
      <w:lvlJc w:val="left"/>
      <w:pPr>
        <w:ind w:left="2500" w:hanging="377"/>
      </w:pPr>
      <w:rPr>
        <w:rFonts w:hint="default"/>
        <w:lang w:val="es-ES" w:eastAsia="es-ES" w:bidi="es-ES"/>
      </w:rPr>
    </w:lvl>
    <w:lvl w:ilvl="5">
      <w:start w:val="0"/>
      <w:numFmt w:val="bullet"/>
      <w:lvlText w:val="•"/>
      <w:lvlJc w:val="left"/>
      <w:pPr>
        <w:ind w:left="2921" w:hanging="377"/>
      </w:pPr>
      <w:rPr>
        <w:rFonts w:hint="default"/>
        <w:lang w:val="es-ES" w:eastAsia="es-ES" w:bidi="es-ES"/>
      </w:rPr>
    </w:lvl>
    <w:lvl w:ilvl="6">
      <w:start w:val="0"/>
      <w:numFmt w:val="bullet"/>
      <w:lvlText w:val="•"/>
      <w:lvlJc w:val="left"/>
      <w:pPr>
        <w:ind w:left="3341" w:hanging="377"/>
      </w:pPr>
      <w:rPr>
        <w:rFonts w:hint="default"/>
        <w:lang w:val="es-ES" w:eastAsia="es-ES" w:bidi="es-ES"/>
      </w:rPr>
    </w:lvl>
    <w:lvl w:ilvl="7">
      <w:start w:val="0"/>
      <w:numFmt w:val="bullet"/>
      <w:lvlText w:val="•"/>
      <w:lvlJc w:val="left"/>
      <w:pPr>
        <w:ind w:left="3761" w:hanging="377"/>
      </w:pPr>
      <w:rPr>
        <w:rFonts w:hint="default"/>
        <w:lang w:val="es-ES" w:eastAsia="es-ES" w:bidi="es-ES"/>
      </w:rPr>
    </w:lvl>
    <w:lvl w:ilvl="8">
      <w:start w:val="0"/>
      <w:numFmt w:val="bullet"/>
      <w:lvlText w:val="•"/>
      <w:lvlJc w:val="left"/>
      <w:pPr>
        <w:ind w:left="4181" w:hanging="377"/>
      </w:pPr>
      <w:rPr>
        <w:rFonts w:hint="default"/>
        <w:lang w:val="es-ES" w:eastAsia="es-ES" w:bidi="es-ES"/>
      </w:rPr>
    </w:lvl>
  </w:abstractNum>
  <w:abstractNum w:abstractNumId="72">
    <w:multiLevelType w:val="hybridMultilevel"/>
    <w:lvl w:ilvl="0">
      <w:start w:val="0"/>
      <w:numFmt w:val="bullet"/>
      <w:lvlText w:val=""/>
      <w:lvlJc w:val="left"/>
      <w:pPr>
        <w:ind w:left="857" w:hanging="394"/>
      </w:pPr>
      <w:rPr>
        <w:rFonts w:hint="default"/>
        <w:w w:val="100"/>
        <w:lang w:val="es-ES" w:eastAsia="es-ES" w:bidi="es-ES"/>
      </w:rPr>
    </w:lvl>
    <w:lvl w:ilvl="1">
      <w:start w:val="0"/>
      <w:numFmt w:val="bullet"/>
      <w:lvlText w:val="•"/>
      <w:lvlJc w:val="left"/>
      <w:pPr>
        <w:ind w:left="1247" w:hanging="394"/>
      </w:pPr>
      <w:rPr>
        <w:rFonts w:hint="default"/>
        <w:lang w:val="es-ES" w:eastAsia="es-ES" w:bidi="es-ES"/>
      </w:rPr>
    </w:lvl>
    <w:lvl w:ilvl="2">
      <w:start w:val="0"/>
      <w:numFmt w:val="bullet"/>
      <w:lvlText w:val="•"/>
      <w:lvlJc w:val="left"/>
      <w:pPr>
        <w:ind w:left="1634" w:hanging="394"/>
      </w:pPr>
      <w:rPr>
        <w:rFonts w:hint="default"/>
        <w:lang w:val="es-ES" w:eastAsia="es-ES" w:bidi="es-ES"/>
      </w:rPr>
    </w:lvl>
    <w:lvl w:ilvl="3">
      <w:start w:val="0"/>
      <w:numFmt w:val="bullet"/>
      <w:lvlText w:val="•"/>
      <w:lvlJc w:val="left"/>
      <w:pPr>
        <w:ind w:left="2021" w:hanging="394"/>
      </w:pPr>
      <w:rPr>
        <w:rFonts w:hint="default"/>
        <w:lang w:val="es-ES" w:eastAsia="es-ES" w:bidi="es-ES"/>
      </w:rPr>
    </w:lvl>
    <w:lvl w:ilvl="4">
      <w:start w:val="0"/>
      <w:numFmt w:val="bullet"/>
      <w:lvlText w:val="•"/>
      <w:lvlJc w:val="left"/>
      <w:pPr>
        <w:ind w:left="2409" w:hanging="394"/>
      </w:pPr>
      <w:rPr>
        <w:rFonts w:hint="default"/>
        <w:lang w:val="es-ES" w:eastAsia="es-ES" w:bidi="es-ES"/>
      </w:rPr>
    </w:lvl>
    <w:lvl w:ilvl="5">
      <w:start w:val="0"/>
      <w:numFmt w:val="bullet"/>
      <w:lvlText w:val="•"/>
      <w:lvlJc w:val="left"/>
      <w:pPr>
        <w:ind w:left="2796" w:hanging="394"/>
      </w:pPr>
      <w:rPr>
        <w:rFonts w:hint="default"/>
        <w:lang w:val="es-ES" w:eastAsia="es-ES" w:bidi="es-ES"/>
      </w:rPr>
    </w:lvl>
    <w:lvl w:ilvl="6">
      <w:start w:val="0"/>
      <w:numFmt w:val="bullet"/>
      <w:lvlText w:val="•"/>
      <w:lvlJc w:val="left"/>
      <w:pPr>
        <w:ind w:left="3183" w:hanging="394"/>
      </w:pPr>
      <w:rPr>
        <w:rFonts w:hint="default"/>
        <w:lang w:val="es-ES" w:eastAsia="es-ES" w:bidi="es-ES"/>
      </w:rPr>
    </w:lvl>
    <w:lvl w:ilvl="7">
      <w:start w:val="0"/>
      <w:numFmt w:val="bullet"/>
      <w:lvlText w:val="•"/>
      <w:lvlJc w:val="left"/>
      <w:pPr>
        <w:ind w:left="3571" w:hanging="394"/>
      </w:pPr>
      <w:rPr>
        <w:rFonts w:hint="default"/>
        <w:lang w:val="es-ES" w:eastAsia="es-ES" w:bidi="es-ES"/>
      </w:rPr>
    </w:lvl>
    <w:lvl w:ilvl="8">
      <w:start w:val="0"/>
      <w:numFmt w:val="bullet"/>
      <w:lvlText w:val="•"/>
      <w:lvlJc w:val="left"/>
      <w:pPr>
        <w:ind w:left="3958" w:hanging="394"/>
      </w:pPr>
      <w:rPr>
        <w:rFonts w:hint="default"/>
        <w:lang w:val="es-ES" w:eastAsia="es-ES" w:bidi="es-ES"/>
      </w:rPr>
    </w:lvl>
  </w:abstractNum>
  <w:abstractNum w:abstractNumId="71">
    <w:multiLevelType w:val="hybridMultilevel"/>
    <w:lvl w:ilvl="0">
      <w:start w:val="0"/>
      <w:numFmt w:val="bullet"/>
      <w:lvlText w:val=""/>
      <w:lvlJc w:val="left"/>
      <w:pPr>
        <w:ind w:left="867" w:hanging="394"/>
      </w:pPr>
      <w:rPr>
        <w:rFonts w:hint="default" w:ascii="Symbol" w:hAnsi="Symbol" w:eastAsia="Symbol" w:cs="Symbol"/>
        <w:color w:val="252525"/>
        <w:w w:val="100"/>
        <w:sz w:val="24"/>
        <w:szCs w:val="24"/>
        <w:lang w:val="es-ES" w:eastAsia="es-ES" w:bidi="es-ES"/>
      </w:rPr>
    </w:lvl>
    <w:lvl w:ilvl="1">
      <w:start w:val="0"/>
      <w:numFmt w:val="bullet"/>
      <w:lvlText w:val="•"/>
      <w:lvlJc w:val="left"/>
      <w:pPr>
        <w:ind w:left="1248" w:hanging="394"/>
      </w:pPr>
      <w:rPr>
        <w:rFonts w:hint="default"/>
        <w:lang w:val="es-ES" w:eastAsia="es-ES" w:bidi="es-ES"/>
      </w:rPr>
    </w:lvl>
    <w:lvl w:ilvl="2">
      <w:start w:val="0"/>
      <w:numFmt w:val="bullet"/>
      <w:lvlText w:val="•"/>
      <w:lvlJc w:val="left"/>
      <w:pPr>
        <w:ind w:left="1636" w:hanging="394"/>
      </w:pPr>
      <w:rPr>
        <w:rFonts w:hint="default"/>
        <w:lang w:val="es-ES" w:eastAsia="es-ES" w:bidi="es-ES"/>
      </w:rPr>
    </w:lvl>
    <w:lvl w:ilvl="3">
      <w:start w:val="0"/>
      <w:numFmt w:val="bullet"/>
      <w:lvlText w:val="•"/>
      <w:lvlJc w:val="left"/>
      <w:pPr>
        <w:ind w:left="2024" w:hanging="394"/>
      </w:pPr>
      <w:rPr>
        <w:rFonts w:hint="default"/>
        <w:lang w:val="es-ES" w:eastAsia="es-ES" w:bidi="es-ES"/>
      </w:rPr>
    </w:lvl>
    <w:lvl w:ilvl="4">
      <w:start w:val="0"/>
      <w:numFmt w:val="bullet"/>
      <w:lvlText w:val="•"/>
      <w:lvlJc w:val="left"/>
      <w:pPr>
        <w:ind w:left="2413" w:hanging="394"/>
      </w:pPr>
      <w:rPr>
        <w:rFonts w:hint="default"/>
        <w:lang w:val="es-ES" w:eastAsia="es-ES" w:bidi="es-ES"/>
      </w:rPr>
    </w:lvl>
    <w:lvl w:ilvl="5">
      <w:start w:val="0"/>
      <w:numFmt w:val="bullet"/>
      <w:lvlText w:val="•"/>
      <w:lvlJc w:val="left"/>
      <w:pPr>
        <w:ind w:left="2801" w:hanging="394"/>
      </w:pPr>
      <w:rPr>
        <w:rFonts w:hint="default"/>
        <w:lang w:val="es-ES" w:eastAsia="es-ES" w:bidi="es-ES"/>
      </w:rPr>
    </w:lvl>
    <w:lvl w:ilvl="6">
      <w:start w:val="0"/>
      <w:numFmt w:val="bullet"/>
      <w:lvlText w:val="•"/>
      <w:lvlJc w:val="left"/>
      <w:pPr>
        <w:ind w:left="3189" w:hanging="394"/>
      </w:pPr>
      <w:rPr>
        <w:rFonts w:hint="default"/>
        <w:lang w:val="es-ES" w:eastAsia="es-ES" w:bidi="es-ES"/>
      </w:rPr>
    </w:lvl>
    <w:lvl w:ilvl="7">
      <w:start w:val="0"/>
      <w:numFmt w:val="bullet"/>
      <w:lvlText w:val="•"/>
      <w:lvlJc w:val="left"/>
      <w:pPr>
        <w:ind w:left="3578" w:hanging="394"/>
      </w:pPr>
      <w:rPr>
        <w:rFonts w:hint="default"/>
        <w:lang w:val="es-ES" w:eastAsia="es-ES" w:bidi="es-ES"/>
      </w:rPr>
    </w:lvl>
    <w:lvl w:ilvl="8">
      <w:start w:val="0"/>
      <w:numFmt w:val="bullet"/>
      <w:lvlText w:val="•"/>
      <w:lvlJc w:val="left"/>
      <w:pPr>
        <w:ind w:left="3966" w:hanging="394"/>
      </w:pPr>
      <w:rPr>
        <w:rFonts w:hint="default"/>
        <w:lang w:val="es-ES" w:eastAsia="es-ES" w:bidi="es-ES"/>
      </w:rPr>
    </w:lvl>
  </w:abstractNum>
  <w:abstractNum w:abstractNumId="70">
    <w:multiLevelType w:val="hybridMultilevel"/>
    <w:lvl w:ilvl="0">
      <w:start w:val="11"/>
      <w:numFmt w:val="decimal"/>
      <w:lvlText w:val="%1."/>
      <w:lvlJc w:val="left"/>
      <w:pPr>
        <w:ind w:left="1611" w:hanging="360"/>
        <w:jc w:val="left"/>
      </w:pPr>
      <w:rPr>
        <w:rFonts w:hint="default" w:ascii="Century Gothic" w:hAnsi="Century Gothic" w:eastAsia="Century Gothic" w:cs="Century Gothic"/>
        <w:w w:val="100"/>
        <w:sz w:val="21"/>
        <w:szCs w:val="21"/>
        <w:lang w:val="es-ES" w:eastAsia="es-ES" w:bidi="es-ES"/>
      </w:rPr>
    </w:lvl>
    <w:lvl w:ilvl="1">
      <w:start w:val="0"/>
      <w:numFmt w:val="bullet"/>
      <w:lvlText w:val="•"/>
      <w:lvlJc w:val="left"/>
      <w:pPr>
        <w:ind w:left="2614" w:hanging="360"/>
      </w:pPr>
      <w:rPr>
        <w:rFonts w:hint="default"/>
        <w:lang w:val="es-ES" w:eastAsia="es-ES" w:bidi="es-ES"/>
      </w:rPr>
    </w:lvl>
    <w:lvl w:ilvl="2">
      <w:start w:val="0"/>
      <w:numFmt w:val="bullet"/>
      <w:lvlText w:val="•"/>
      <w:lvlJc w:val="left"/>
      <w:pPr>
        <w:ind w:left="3608" w:hanging="360"/>
      </w:pPr>
      <w:rPr>
        <w:rFonts w:hint="default"/>
        <w:lang w:val="es-ES" w:eastAsia="es-ES" w:bidi="es-ES"/>
      </w:rPr>
    </w:lvl>
    <w:lvl w:ilvl="3">
      <w:start w:val="0"/>
      <w:numFmt w:val="bullet"/>
      <w:lvlText w:val="•"/>
      <w:lvlJc w:val="left"/>
      <w:pPr>
        <w:ind w:left="4602" w:hanging="360"/>
      </w:pPr>
      <w:rPr>
        <w:rFonts w:hint="default"/>
        <w:lang w:val="es-ES" w:eastAsia="es-ES" w:bidi="es-ES"/>
      </w:rPr>
    </w:lvl>
    <w:lvl w:ilvl="4">
      <w:start w:val="0"/>
      <w:numFmt w:val="bullet"/>
      <w:lvlText w:val="•"/>
      <w:lvlJc w:val="left"/>
      <w:pPr>
        <w:ind w:left="5596" w:hanging="360"/>
      </w:pPr>
      <w:rPr>
        <w:rFonts w:hint="default"/>
        <w:lang w:val="es-ES" w:eastAsia="es-ES" w:bidi="es-ES"/>
      </w:rPr>
    </w:lvl>
    <w:lvl w:ilvl="5">
      <w:start w:val="0"/>
      <w:numFmt w:val="bullet"/>
      <w:lvlText w:val="•"/>
      <w:lvlJc w:val="left"/>
      <w:pPr>
        <w:ind w:left="6590" w:hanging="360"/>
      </w:pPr>
      <w:rPr>
        <w:rFonts w:hint="default"/>
        <w:lang w:val="es-ES" w:eastAsia="es-ES" w:bidi="es-ES"/>
      </w:rPr>
    </w:lvl>
    <w:lvl w:ilvl="6">
      <w:start w:val="0"/>
      <w:numFmt w:val="bullet"/>
      <w:lvlText w:val="•"/>
      <w:lvlJc w:val="left"/>
      <w:pPr>
        <w:ind w:left="7584" w:hanging="360"/>
      </w:pPr>
      <w:rPr>
        <w:rFonts w:hint="default"/>
        <w:lang w:val="es-ES" w:eastAsia="es-ES" w:bidi="es-ES"/>
      </w:rPr>
    </w:lvl>
    <w:lvl w:ilvl="7">
      <w:start w:val="0"/>
      <w:numFmt w:val="bullet"/>
      <w:lvlText w:val="•"/>
      <w:lvlJc w:val="left"/>
      <w:pPr>
        <w:ind w:left="8578" w:hanging="360"/>
      </w:pPr>
      <w:rPr>
        <w:rFonts w:hint="default"/>
        <w:lang w:val="es-ES" w:eastAsia="es-ES" w:bidi="es-ES"/>
      </w:rPr>
    </w:lvl>
    <w:lvl w:ilvl="8">
      <w:start w:val="0"/>
      <w:numFmt w:val="bullet"/>
      <w:lvlText w:val="•"/>
      <w:lvlJc w:val="left"/>
      <w:pPr>
        <w:ind w:left="9572" w:hanging="360"/>
      </w:pPr>
      <w:rPr>
        <w:rFonts w:hint="default"/>
        <w:lang w:val="es-ES" w:eastAsia="es-ES" w:bidi="es-ES"/>
      </w:rPr>
    </w:lvl>
  </w:abstractNum>
  <w:abstractNum w:abstractNumId="69">
    <w:multiLevelType w:val="hybridMultilevel"/>
    <w:lvl w:ilvl="0">
      <w:start w:val="9"/>
      <w:numFmt w:val="decimal"/>
      <w:lvlText w:val="%1."/>
      <w:lvlJc w:val="left"/>
      <w:pPr>
        <w:ind w:left="791" w:hanging="360"/>
        <w:jc w:val="left"/>
      </w:pPr>
      <w:rPr>
        <w:rFonts w:hint="default" w:ascii="Century Gothic" w:hAnsi="Century Gothic" w:eastAsia="Century Gothic" w:cs="Century Gothic"/>
        <w:w w:val="100"/>
        <w:sz w:val="21"/>
        <w:szCs w:val="21"/>
        <w:lang w:val="es-ES" w:eastAsia="es-ES" w:bidi="es-ES"/>
      </w:rPr>
    </w:lvl>
    <w:lvl w:ilvl="1">
      <w:start w:val="0"/>
      <w:numFmt w:val="bullet"/>
      <w:lvlText w:val="•"/>
      <w:lvlJc w:val="left"/>
      <w:pPr>
        <w:ind w:left="1164" w:hanging="360"/>
      </w:pPr>
      <w:rPr>
        <w:rFonts w:hint="default"/>
        <w:lang w:val="es-ES" w:eastAsia="es-ES" w:bidi="es-ES"/>
      </w:rPr>
    </w:lvl>
    <w:lvl w:ilvl="2">
      <w:start w:val="0"/>
      <w:numFmt w:val="bullet"/>
      <w:lvlText w:val="•"/>
      <w:lvlJc w:val="left"/>
      <w:pPr>
        <w:ind w:left="1528" w:hanging="360"/>
      </w:pPr>
      <w:rPr>
        <w:rFonts w:hint="default"/>
        <w:lang w:val="es-ES" w:eastAsia="es-ES" w:bidi="es-ES"/>
      </w:rPr>
    </w:lvl>
    <w:lvl w:ilvl="3">
      <w:start w:val="0"/>
      <w:numFmt w:val="bullet"/>
      <w:lvlText w:val="•"/>
      <w:lvlJc w:val="left"/>
      <w:pPr>
        <w:ind w:left="1892" w:hanging="360"/>
      </w:pPr>
      <w:rPr>
        <w:rFonts w:hint="default"/>
        <w:lang w:val="es-ES" w:eastAsia="es-ES" w:bidi="es-ES"/>
      </w:rPr>
    </w:lvl>
    <w:lvl w:ilvl="4">
      <w:start w:val="0"/>
      <w:numFmt w:val="bullet"/>
      <w:lvlText w:val="•"/>
      <w:lvlJc w:val="left"/>
      <w:pPr>
        <w:ind w:left="2256" w:hanging="360"/>
      </w:pPr>
      <w:rPr>
        <w:rFonts w:hint="default"/>
        <w:lang w:val="es-ES" w:eastAsia="es-ES" w:bidi="es-ES"/>
      </w:rPr>
    </w:lvl>
    <w:lvl w:ilvl="5">
      <w:start w:val="0"/>
      <w:numFmt w:val="bullet"/>
      <w:lvlText w:val="•"/>
      <w:lvlJc w:val="left"/>
      <w:pPr>
        <w:ind w:left="2620" w:hanging="360"/>
      </w:pPr>
      <w:rPr>
        <w:rFonts w:hint="default"/>
        <w:lang w:val="es-ES" w:eastAsia="es-ES" w:bidi="es-ES"/>
      </w:rPr>
    </w:lvl>
    <w:lvl w:ilvl="6">
      <w:start w:val="0"/>
      <w:numFmt w:val="bullet"/>
      <w:lvlText w:val="•"/>
      <w:lvlJc w:val="left"/>
      <w:pPr>
        <w:ind w:left="2984" w:hanging="360"/>
      </w:pPr>
      <w:rPr>
        <w:rFonts w:hint="default"/>
        <w:lang w:val="es-ES" w:eastAsia="es-ES" w:bidi="es-ES"/>
      </w:rPr>
    </w:lvl>
    <w:lvl w:ilvl="7">
      <w:start w:val="0"/>
      <w:numFmt w:val="bullet"/>
      <w:lvlText w:val="•"/>
      <w:lvlJc w:val="left"/>
      <w:pPr>
        <w:ind w:left="3348" w:hanging="360"/>
      </w:pPr>
      <w:rPr>
        <w:rFonts w:hint="default"/>
        <w:lang w:val="es-ES" w:eastAsia="es-ES" w:bidi="es-ES"/>
      </w:rPr>
    </w:lvl>
    <w:lvl w:ilvl="8">
      <w:start w:val="0"/>
      <w:numFmt w:val="bullet"/>
      <w:lvlText w:val="•"/>
      <w:lvlJc w:val="left"/>
      <w:pPr>
        <w:ind w:left="3712" w:hanging="360"/>
      </w:pPr>
      <w:rPr>
        <w:rFonts w:hint="default"/>
        <w:lang w:val="es-ES" w:eastAsia="es-ES" w:bidi="es-ES"/>
      </w:rPr>
    </w:lvl>
  </w:abstractNum>
  <w:abstractNum w:abstractNumId="68">
    <w:multiLevelType w:val="hybridMultilevel"/>
    <w:lvl w:ilvl="0">
      <w:start w:val="6"/>
      <w:numFmt w:val="decimal"/>
      <w:lvlText w:val="%1."/>
      <w:lvlJc w:val="left"/>
      <w:pPr>
        <w:ind w:left="359" w:hanging="360"/>
        <w:jc w:val="left"/>
      </w:pPr>
      <w:rPr>
        <w:rFonts w:hint="default" w:ascii="Corbel" w:hAnsi="Corbel" w:eastAsia="Corbel" w:cs="Corbel"/>
        <w:spacing w:val="-1"/>
        <w:w w:val="100"/>
        <w:sz w:val="21"/>
        <w:szCs w:val="21"/>
        <w:lang w:val="es-ES" w:eastAsia="es-ES" w:bidi="es-ES"/>
      </w:rPr>
    </w:lvl>
    <w:lvl w:ilvl="1">
      <w:start w:val="0"/>
      <w:numFmt w:val="bullet"/>
      <w:lvlText w:val="•"/>
      <w:lvlJc w:val="left"/>
      <w:pPr>
        <w:ind w:left="718" w:hanging="360"/>
      </w:pPr>
      <w:rPr>
        <w:rFonts w:hint="default"/>
        <w:lang w:val="es-ES" w:eastAsia="es-ES" w:bidi="es-ES"/>
      </w:rPr>
    </w:lvl>
    <w:lvl w:ilvl="2">
      <w:start w:val="0"/>
      <w:numFmt w:val="bullet"/>
      <w:lvlText w:val="•"/>
      <w:lvlJc w:val="left"/>
      <w:pPr>
        <w:ind w:left="1076" w:hanging="360"/>
      </w:pPr>
      <w:rPr>
        <w:rFonts w:hint="default"/>
        <w:lang w:val="es-ES" w:eastAsia="es-ES" w:bidi="es-ES"/>
      </w:rPr>
    </w:lvl>
    <w:lvl w:ilvl="3">
      <w:start w:val="0"/>
      <w:numFmt w:val="bullet"/>
      <w:lvlText w:val="•"/>
      <w:lvlJc w:val="left"/>
      <w:pPr>
        <w:ind w:left="1435" w:hanging="360"/>
      </w:pPr>
      <w:rPr>
        <w:rFonts w:hint="default"/>
        <w:lang w:val="es-ES" w:eastAsia="es-ES" w:bidi="es-ES"/>
      </w:rPr>
    </w:lvl>
    <w:lvl w:ilvl="4">
      <w:start w:val="0"/>
      <w:numFmt w:val="bullet"/>
      <w:lvlText w:val="•"/>
      <w:lvlJc w:val="left"/>
      <w:pPr>
        <w:ind w:left="1793" w:hanging="360"/>
      </w:pPr>
      <w:rPr>
        <w:rFonts w:hint="default"/>
        <w:lang w:val="es-ES" w:eastAsia="es-ES" w:bidi="es-ES"/>
      </w:rPr>
    </w:lvl>
    <w:lvl w:ilvl="5">
      <w:start w:val="0"/>
      <w:numFmt w:val="bullet"/>
      <w:lvlText w:val="•"/>
      <w:lvlJc w:val="left"/>
      <w:pPr>
        <w:ind w:left="2152" w:hanging="360"/>
      </w:pPr>
      <w:rPr>
        <w:rFonts w:hint="default"/>
        <w:lang w:val="es-ES" w:eastAsia="es-ES" w:bidi="es-ES"/>
      </w:rPr>
    </w:lvl>
    <w:lvl w:ilvl="6">
      <w:start w:val="0"/>
      <w:numFmt w:val="bullet"/>
      <w:lvlText w:val="•"/>
      <w:lvlJc w:val="left"/>
      <w:pPr>
        <w:ind w:left="2510" w:hanging="360"/>
      </w:pPr>
      <w:rPr>
        <w:rFonts w:hint="default"/>
        <w:lang w:val="es-ES" w:eastAsia="es-ES" w:bidi="es-ES"/>
      </w:rPr>
    </w:lvl>
    <w:lvl w:ilvl="7">
      <w:start w:val="0"/>
      <w:numFmt w:val="bullet"/>
      <w:lvlText w:val="•"/>
      <w:lvlJc w:val="left"/>
      <w:pPr>
        <w:ind w:left="2869" w:hanging="360"/>
      </w:pPr>
      <w:rPr>
        <w:rFonts w:hint="default"/>
        <w:lang w:val="es-ES" w:eastAsia="es-ES" w:bidi="es-ES"/>
      </w:rPr>
    </w:lvl>
    <w:lvl w:ilvl="8">
      <w:start w:val="0"/>
      <w:numFmt w:val="bullet"/>
      <w:lvlText w:val="•"/>
      <w:lvlJc w:val="left"/>
      <w:pPr>
        <w:ind w:left="3227" w:hanging="360"/>
      </w:pPr>
      <w:rPr>
        <w:rFonts w:hint="default"/>
        <w:lang w:val="es-ES" w:eastAsia="es-ES" w:bidi="es-ES"/>
      </w:rPr>
    </w:lvl>
  </w:abstractNum>
  <w:abstractNum w:abstractNumId="67">
    <w:multiLevelType w:val="hybridMultilevel"/>
    <w:lvl w:ilvl="0">
      <w:start w:val="0"/>
      <w:numFmt w:val="bullet"/>
      <w:lvlText w:val=""/>
      <w:lvlJc w:val="left"/>
      <w:pPr>
        <w:ind w:left="835" w:hanging="394"/>
      </w:pPr>
      <w:rPr>
        <w:rFonts w:hint="default" w:ascii="Symbol" w:hAnsi="Symbol" w:eastAsia="Symbol" w:cs="Symbol"/>
        <w:color w:val="252525"/>
        <w:w w:val="100"/>
        <w:sz w:val="24"/>
        <w:szCs w:val="24"/>
        <w:lang w:val="es-ES" w:eastAsia="es-ES" w:bidi="es-ES"/>
      </w:rPr>
    </w:lvl>
    <w:lvl w:ilvl="1">
      <w:start w:val="0"/>
      <w:numFmt w:val="bullet"/>
      <w:lvlText w:val="•"/>
      <w:lvlJc w:val="left"/>
      <w:pPr>
        <w:ind w:left="1166" w:hanging="394"/>
      </w:pPr>
      <w:rPr>
        <w:rFonts w:hint="default"/>
        <w:lang w:val="es-ES" w:eastAsia="es-ES" w:bidi="es-ES"/>
      </w:rPr>
    </w:lvl>
    <w:lvl w:ilvl="2">
      <w:start w:val="0"/>
      <w:numFmt w:val="bullet"/>
      <w:lvlText w:val="•"/>
      <w:lvlJc w:val="left"/>
      <w:pPr>
        <w:ind w:left="1492" w:hanging="394"/>
      </w:pPr>
      <w:rPr>
        <w:rFonts w:hint="default"/>
        <w:lang w:val="es-ES" w:eastAsia="es-ES" w:bidi="es-ES"/>
      </w:rPr>
    </w:lvl>
    <w:lvl w:ilvl="3">
      <w:start w:val="0"/>
      <w:numFmt w:val="bullet"/>
      <w:lvlText w:val="•"/>
      <w:lvlJc w:val="left"/>
      <w:pPr>
        <w:ind w:left="1818" w:hanging="394"/>
      </w:pPr>
      <w:rPr>
        <w:rFonts w:hint="default"/>
        <w:lang w:val="es-ES" w:eastAsia="es-ES" w:bidi="es-ES"/>
      </w:rPr>
    </w:lvl>
    <w:lvl w:ilvl="4">
      <w:start w:val="0"/>
      <w:numFmt w:val="bullet"/>
      <w:lvlText w:val="•"/>
      <w:lvlJc w:val="left"/>
      <w:pPr>
        <w:ind w:left="2144" w:hanging="394"/>
      </w:pPr>
      <w:rPr>
        <w:rFonts w:hint="default"/>
        <w:lang w:val="es-ES" w:eastAsia="es-ES" w:bidi="es-ES"/>
      </w:rPr>
    </w:lvl>
    <w:lvl w:ilvl="5">
      <w:start w:val="0"/>
      <w:numFmt w:val="bullet"/>
      <w:lvlText w:val="•"/>
      <w:lvlJc w:val="left"/>
      <w:pPr>
        <w:ind w:left="2471" w:hanging="394"/>
      </w:pPr>
      <w:rPr>
        <w:rFonts w:hint="default"/>
        <w:lang w:val="es-ES" w:eastAsia="es-ES" w:bidi="es-ES"/>
      </w:rPr>
    </w:lvl>
    <w:lvl w:ilvl="6">
      <w:start w:val="0"/>
      <w:numFmt w:val="bullet"/>
      <w:lvlText w:val="•"/>
      <w:lvlJc w:val="left"/>
      <w:pPr>
        <w:ind w:left="2797" w:hanging="394"/>
      </w:pPr>
      <w:rPr>
        <w:rFonts w:hint="default"/>
        <w:lang w:val="es-ES" w:eastAsia="es-ES" w:bidi="es-ES"/>
      </w:rPr>
    </w:lvl>
    <w:lvl w:ilvl="7">
      <w:start w:val="0"/>
      <w:numFmt w:val="bullet"/>
      <w:lvlText w:val="•"/>
      <w:lvlJc w:val="left"/>
      <w:pPr>
        <w:ind w:left="3123" w:hanging="394"/>
      </w:pPr>
      <w:rPr>
        <w:rFonts w:hint="default"/>
        <w:lang w:val="es-ES" w:eastAsia="es-ES" w:bidi="es-ES"/>
      </w:rPr>
    </w:lvl>
    <w:lvl w:ilvl="8">
      <w:start w:val="0"/>
      <w:numFmt w:val="bullet"/>
      <w:lvlText w:val="•"/>
      <w:lvlJc w:val="left"/>
      <w:pPr>
        <w:ind w:left="3449" w:hanging="394"/>
      </w:pPr>
      <w:rPr>
        <w:rFonts w:hint="default"/>
        <w:lang w:val="es-ES" w:eastAsia="es-ES" w:bidi="es-ES"/>
      </w:rPr>
    </w:lvl>
  </w:abstractNum>
  <w:abstractNum w:abstractNumId="66">
    <w:multiLevelType w:val="hybridMultilevel"/>
    <w:lvl w:ilvl="0">
      <w:start w:val="4"/>
      <w:numFmt w:val="decimal"/>
      <w:lvlText w:val="%1."/>
      <w:lvlJc w:val="left"/>
      <w:pPr>
        <w:ind w:left="798" w:hanging="360"/>
        <w:jc w:val="left"/>
      </w:pPr>
      <w:rPr>
        <w:rFonts w:hint="default" w:ascii="Corbel" w:hAnsi="Corbel" w:eastAsia="Corbel" w:cs="Corbel"/>
        <w:spacing w:val="-2"/>
        <w:w w:val="100"/>
        <w:sz w:val="21"/>
        <w:szCs w:val="21"/>
        <w:lang w:val="es-ES" w:eastAsia="es-ES" w:bidi="es-ES"/>
      </w:rPr>
    </w:lvl>
    <w:lvl w:ilvl="1">
      <w:start w:val="0"/>
      <w:numFmt w:val="bullet"/>
      <w:lvlText w:val="•"/>
      <w:lvlJc w:val="left"/>
      <w:pPr>
        <w:ind w:left="1165" w:hanging="360"/>
      </w:pPr>
      <w:rPr>
        <w:rFonts w:hint="default"/>
        <w:lang w:val="es-ES" w:eastAsia="es-ES" w:bidi="es-ES"/>
      </w:rPr>
    </w:lvl>
    <w:lvl w:ilvl="2">
      <w:start w:val="0"/>
      <w:numFmt w:val="bullet"/>
      <w:lvlText w:val="•"/>
      <w:lvlJc w:val="left"/>
      <w:pPr>
        <w:ind w:left="1530" w:hanging="360"/>
      </w:pPr>
      <w:rPr>
        <w:rFonts w:hint="default"/>
        <w:lang w:val="es-ES" w:eastAsia="es-ES" w:bidi="es-ES"/>
      </w:rPr>
    </w:lvl>
    <w:lvl w:ilvl="3">
      <w:start w:val="0"/>
      <w:numFmt w:val="bullet"/>
      <w:lvlText w:val="•"/>
      <w:lvlJc w:val="left"/>
      <w:pPr>
        <w:ind w:left="1896" w:hanging="360"/>
      </w:pPr>
      <w:rPr>
        <w:rFonts w:hint="default"/>
        <w:lang w:val="es-ES" w:eastAsia="es-ES" w:bidi="es-ES"/>
      </w:rPr>
    </w:lvl>
    <w:lvl w:ilvl="4">
      <w:start w:val="0"/>
      <w:numFmt w:val="bullet"/>
      <w:lvlText w:val="•"/>
      <w:lvlJc w:val="left"/>
      <w:pPr>
        <w:ind w:left="2261" w:hanging="360"/>
      </w:pPr>
      <w:rPr>
        <w:rFonts w:hint="default"/>
        <w:lang w:val="es-ES" w:eastAsia="es-ES" w:bidi="es-ES"/>
      </w:rPr>
    </w:lvl>
    <w:lvl w:ilvl="5">
      <w:start w:val="0"/>
      <w:numFmt w:val="bullet"/>
      <w:lvlText w:val="•"/>
      <w:lvlJc w:val="left"/>
      <w:pPr>
        <w:ind w:left="2627" w:hanging="360"/>
      </w:pPr>
      <w:rPr>
        <w:rFonts w:hint="default"/>
        <w:lang w:val="es-ES" w:eastAsia="es-ES" w:bidi="es-ES"/>
      </w:rPr>
    </w:lvl>
    <w:lvl w:ilvl="6">
      <w:start w:val="0"/>
      <w:numFmt w:val="bullet"/>
      <w:lvlText w:val="•"/>
      <w:lvlJc w:val="left"/>
      <w:pPr>
        <w:ind w:left="2992" w:hanging="360"/>
      </w:pPr>
      <w:rPr>
        <w:rFonts w:hint="default"/>
        <w:lang w:val="es-ES" w:eastAsia="es-ES" w:bidi="es-ES"/>
      </w:rPr>
    </w:lvl>
    <w:lvl w:ilvl="7">
      <w:start w:val="0"/>
      <w:numFmt w:val="bullet"/>
      <w:lvlText w:val="•"/>
      <w:lvlJc w:val="left"/>
      <w:pPr>
        <w:ind w:left="3357" w:hanging="360"/>
      </w:pPr>
      <w:rPr>
        <w:rFonts w:hint="default"/>
        <w:lang w:val="es-ES" w:eastAsia="es-ES" w:bidi="es-ES"/>
      </w:rPr>
    </w:lvl>
    <w:lvl w:ilvl="8">
      <w:start w:val="0"/>
      <w:numFmt w:val="bullet"/>
      <w:lvlText w:val="•"/>
      <w:lvlJc w:val="left"/>
      <w:pPr>
        <w:ind w:left="3723" w:hanging="360"/>
      </w:pPr>
      <w:rPr>
        <w:rFonts w:hint="default"/>
        <w:lang w:val="es-ES" w:eastAsia="es-ES" w:bidi="es-ES"/>
      </w:rPr>
    </w:lvl>
  </w:abstractNum>
  <w:abstractNum w:abstractNumId="65">
    <w:multiLevelType w:val="hybridMultilevel"/>
    <w:lvl w:ilvl="0">
      <w:start w:val="0"/>
      <w:numFmt w:val="bullet"/>
      <w:lvlText w:val=""/>
      <w:lvlJc w:val="left"/>
      <w:pPr>
        <w:ind w:left="832" w:hanging="394"/>
      </w:pPr>
      <w:rPr>
        <w:rFonts w:hint="default" w:ascii="Symbol" w:hAnsi="Symbol" w:eastAsia="Symbol" w:cs="Symbol"/>
        <w:color w:val="252525"/>
        <w:w w:val="100"/>
        <w:sz w:val="24"/>
        <w:szCs w:val="24"/>
        <w:lang w:val="es-ES" w:eastAsia="es-ES" w:bidi="es-ES"/>
      </w:rPr>
    </w:lvl>
    <w:lvl w:ilvl="1">
      <w:start w:val="0"/>
      <w:numFmt w:val="bullet"/>
      <w:lvlText w:val="•"/>
      <w:lvlJc w:val="left"/>
      <w:pPr>
        <w:ind w:left="1179" w:hanging="394"/>
      </w:pPr>
      <w:rPr>
        <w:rFonts w:hint="default"/>
        <w:lang w:val="es-ES" w:eastAsia="es-ES" w:bidi="es-ES"/>
      </w:rPr>
    </w:lvl>
    <w:lvl w:ilvl="2">
      <w:start w:val="0"/>
      <w:numFmt w:val="bullet"/>
      <w:lvlText w:val="•"/>
      <w:lvlJc w:val="left"/>
      <w:pPr>
        <w:ind w:left="1519" w:hanging="394"/>
      </w:pPr>
      <w:rPr>
        <w:rFonts w:hint="default"/>
        <w:lang w:val="es-ES" w:eastAsia="es-ES" w:bidi="es-ES"/>
      </w:rPr>
    </w:lvl>
    <w:lvl w:ilvl="3">
      <w:start w:val="0"/>
      <w:numFmt w:val="bullet"/>
      <w:lvlText w:val="•"/>
      <w:lvlJc w:val="left"/>
      <w:pPr>
        <w:ind w:left="1858" w:hanging="394"/>
      </w:pPr>
      <w:rPr>
        <w:rFonts w:hint="default"/>
        <w:lang w:val="es-ES" w:eastAsia="es-ES" w:bidi="es-ES"/>
      </w:rPr>
    </w:lvl>
    <w:lvl w:ilvl="4">
      <w:start w:val="0"/>
      <w:numFmt w:val="bullet"/>
      <w:lvlText w:val="•"/>
      <w:lvlJc w:val="left"/>
      <w:pPr>
        <w:ind w:left="2198" w:hanging="394"/>
      </w:pPr>
      <w:rPr>
        <w:rFonts w:hint="default"/>
        <w:lang w:val="es-ES" w:eastAsia="es-ES" w:bidi="es-ES"/>
      </w:rPr>
    </w:lvl>
    <w:lvl w:ilvl="5">
      <w:start w:val="0"/>
      <w:numFmt w:val="bullet"/>
      <w:lvlText w:val="•"/>
      <w:lvlJc w:val="left"/>
      <w:pPr>
        <w:ind w:left="2538" w:hanging="394"/>
      </w:pPr>
      <w:rPr>
        <w:rFonts w:hint="default"/>
        <w:lang w:val="es-ES" w:eastAsia="es-ES" w:bidi="es-ES"/>
      </w:rPr>
    </w:lvl>
    <w:lvl w:ilvl="6">
      <w:start w:val="0"/>
      <w:numFmt w:val="bullet"/>
      <w:lvlText w:val="•"/>
      <w:lvlJc w:val="left"/>
      <w:pPr>
        <w:ind w:left="2877" w:hanging="394"/>
      </w:pPr>
      <w:rPr>
        <w:rFonts w:hint="default"/>
        <w:lang w:val="es-ES" w:eastAsia="es-ES" w:bidi="es-ES"/>
      </w:rPr>
    </w:lvl>
    <w:lvl w:ilvl="7">
      <w:start w:val="0"/>
      <w:numFmt w:val="bullet"/>
      <w:lvlText w:val="•"/>
      <w:lvlJc w:val="left"/>
      <w:pPr>
        <w:ind w:left="3217" w:hanging="394"/>
      </w:pPr>
      <w:rPr>
        <w:rFonts w:hint="default"/>
        <w:lang w:val="es-ES" w:eastAsia="es-ES" w:bidi="es-ES"/>
      </w:rPr>
    </w:lvl>
    <w:lvl w:ilvl="8">
      <w:start w:val="0"/>
      <w:numFmt w:val="bullet"/>
      <w:lvlText w:val="•"/>
      <w:lvlJc w:val="left"/>
      <w:pPr>
        <w:ind w:left="3556" w:hanging="394"/>
      </w:pPr>
      <w:rPr>
        <w:rFonts w:hint="default"/>
        <w:lang w:val="es-ES" w:eastAsia="es-ES" w:bidi="es-ES"/>
      </w:rPr>
    </w:lvl>
  </w:abstractNum>
  <w:abstractNum w:abstractNumId="64">
    <w:multiLevelType w:val="hybridMultilevel"/>
    <w:lvl w:ilvl="0">
      <w:start w:val="2"/>
      <w:numFmt w:val="decimal"/>
      <w:lvlText w:val="%1."/>
      <w:lvlJc w:val="left"/>
      <w:pPr>
        <w:ind w:left="798" w:hanging="360"/>
        <w:jc w:val="left"/>
      </w:pPr>
      <w:rPr>
        <w:rFonts w:hint="default"/>
        <w:w w:val="100"/>
        <w:lang w:val="es-ES" w:eastAsia="es-ES" w:bidi="es-ES"/>
      </w:rPr>
    </w:lvl>
    <w:lvl w:ilvl="1">
      <w:start w:val="0"/>
      <w:numFmt w:val="bullet"/>
      <w:lvlText w:val="•"/>
      <w:lvlJc w:val="left"/>
      <w:pPr>
        <w:ind w:left="1152" w:hanging="360"/>
      </w:pPr>
      <w:rPr>
        <w:rFonts w:hint="default"/>
        <w:lang w:val="es-ES" w:eastAsia="es-ES" w:bidi="es-ES"/>
      </w:rPr>
    </w:lvl>
    <w:lvl w:ilvl="2">
      <w:start w:val="0"/>
      <w:numFmt w:val="bullet"/>
      <w:lvlText w:val="•"/>
      <w:lvlJc w:val="left"/>
      <w:pPr>
        <w:ind w:left="1504" w:hanging="360"/>
      </w:pPr>
      <w:rPr>
        <w:rFonts w:hint="default"/>
        <w:lang w:val="es-ES" w:eastAsia="es-ES" w:bidi="es-ES"/>
      </w:rPr>
    </w:lvl>
    <w:lvl w:ilvl="3">
      <w:start w:val="0"/>
      <w:numFmt w:val="bullet"/>
      <w:lvlText w:val="•"/>
      <w:lvlJc w:val="left"/>
      <w:pPr>
        <w:ind w:left="1856" w:hanging="360"/>
      </w:pPr>
      <w:rPr>
        <w:rFonts w:hint="default"/>
        <w:lang w:val="es-ES" w:eastAsia="es-ES" w:bidi="es-ES"/>
      </w:rPr>
    </w:lvl>
    <w:lvl w:ilvl="4">
      <w:start w:val="0"/>
      <w:numFmt w:val="bullet"/>
      <w:lvlText w:val="•"/>
      <w:lvlJc w:val="left"/>
      <w:pPr>
        <w:ind w:left="2208" w:hanging="360"/>
      </w:pPr>
      <w:rPr>
        <w:rFonts w:hint="default"/>
        <w:lang w:val="es-ES" w:eastAsia="es-ES" w:bidi="es-ES"/>
      </w:rPr>
    </w:lvl>
    <w:lvl w:ilvl="5">
      <w:start w:val="0"/>
      <w:numFmt w:val="bullet"/>
      <w:lvlText w:val="•"/>
      <w:lvlJc w:val="left"/>
      <w:pPr>
        <w:ind w:left="2560" w:hanging="360"/>
      </w:pPr>
      <w:rPr>
        <w:rFonts w:hint="default"/>
        <w:lang w:val="es-ES" w:eastAsia="es-ES" w:bidi="es-ES"/>
      </w:rPr>
    </w:lvl>
    <w:lvl w:ilvl="6">
      <w:start w:val="0"/>
      <w:numFmt w:val="bullet"/>
      <w:lvlText w:val="•"/>
      <w:lvlJc w:val="left"/>
      <w:pPr>
        <w:ind w:left="2912" w:hanging="360"/>
      </w:pPr>
      <w:rPr>
        <w:rFonts w:hint="default"/>
        <w:lang w:val="es-ES" w:eastAsia="es-ES" w:bidi="es-ES"/>
      </w:rPr>
    </w:lvl>
    <w:lvl w:ilvl="7">
      <w:start w:val="0"/>
      <w:numFmt w:val="bullet"/>
      <w:lvlText w:val="•"/>
      <w:lvlJc w:val="left"/>
      <w:pPr>
        <w:ind w:left="3264" w:hanging="360"/>
      </w:pPr>
      <w:rPr>
        <w:rFonts w:hint="default"/>
        <w:lang w:val="es-ES" w:eastAsia="es-ES" w:bidi="es-ES"/>
      </w:rPr>
    </w:lvl>
    <w:lvl w:ilvl="8">
      <w:start w:val="0"/>
      <w:numFmt w:val="bullet"/>
      <w:lvlText w:val="•"/>
      <w:lvlJc w:val="left"/>
      <w:pPr>
        <w:ind w:left="3616" w:hanging="360"/>
      </w:pPr>
      <w:rPr>
        <w:rFonts w:hint="default"/>
        <w:lang w:val="es-ES" w:eastAsia="es-ES" w:bidi="es-ES"/>
      </w:rPr>
    </w:lvl>
  </w:abstractNum>
  <w:abstractNum w:abstractNumId="63">
    <w:multiLevelType w:val="hybridMultilevel"/>
    <w:lvl w:ilvl="0">
      <w:start w:val="0"/>
      <w:numFmt w:val="bullet"/>
      <w:lvlText w:val=""/>
      <w:lvlJc w:val="left"/>
      <w:pPr>
        <w:ind w:left="1599" w:hanging="361"/>
      </w:pPr>
      <w:rPr>
        <w:rFonts w:hint="default"/>
        <w:w w:val="100"/>
        <w:lang w:val="es-ES" w:eastAsia="es-ES" w:bidi="es-ES"/>
      </w:rPr>
    </w:lvl>
    <w:lvl w:ilvl="1">
      <w:start w:val="0"/>
      <w:numFmt w:val="bullet"/>
      <w:lvlText w:val="•"/>
      <w:lvlJc w:val="left"/>
      <w:pPr>
        <w:ind w:left="1991" w:hanging="361"/>
      </w:pPr>
      <w:rPr>
        <w:rFonts w:hint="default"/>
        <w:lang w:val="es-ES" w:eastAsia="es-ES" w:bidi="es-ES"/>
      </w:rPr>
    </w:lvl>
    <w:lvl w:ilvl="2">
      <w:start w:val="0"/>
      <w:numFmt w:val="bullet"/>
      <w:lvlText w:val="•"/>
      <w:lvlJc w:val="left"/>
      <w:pPr>
        <w:ind w:left="2382" w:hanging="361"/>
      </w:pPr>
      <w:rPr>
        <w:rFonts w:hint="default"/>
        <w:lang w:val="es-ES" w:eastAsia="es-ES" w:bidi="es-ES"/>
      </w:rPr>
    </w:lvl>
    <w:lvl w:ilvl="3">
      <w:start w:val="0"/>
      <w:numFmt w:val="bullet"/>
      <w:lvlText w:val="•"/>
      <w:lvlJc w:val="left"/>
      <w:pPr>
        <w:ind w:left="2773" w:hanging="361"/>
      </w:pPr>
      <w:rPr>
        <w:rFonts w:hint="default"/>
        <w:lang w:val="es-ES" w:eastAsia="es-ES" w:bidi="es-ES"/>
      </w:rPr>
    </w:lvl>
    <w:lvl w:ilvl="4">
      <w:start w:val="0"/>
      <w:numFmt w:val="bullet"/>
      <w:lvlText w:val="•"/>
      <w:lvlJc w:val="left"/>
      <w:pPr>
        <w:ind w:left="3164" w:hanging="361"/>
      </w:pPr>
      <w:rPr>
        <w:rFonts w:hint="default"/>
        <w:lang w:val="es-ES" w:eastAsia="es-ES" w:bidi="es-ES"/>
      </w:rPr>
    </w:lvl>
    <w:lvl w:ilvl="5">
      <w:start w:val="0"/>
      <w:numFmt w:val="bullet"/>
      <w:lvlText w:val="•"/>
      <w:lvlJc w:val="left"/>
      <w:pPr>
        <w:ind w:left="3555" w:hanging="361"/>
      </w:pPr>
      <w:rPr>
        <w:rFonts w:hint="default"/>
        <w:lang w:val="es-ES" w:eastAsia="es-ES" w:bidi="es-ES"/>
      </w:rPr>
    </w:lvl>
    <w:lvl w:ilvl="6">
      <w:start w:val="0"/>
      <w:numFmt w:val="bullet"/>
      <w:lvlText w:val="•"/>
      <w:lvlJc w:val="left"/>
      <w:pPr>
        <w:ind w:left="3946" w:hanging="361"/>
      </w:pPr>
      <w:rPr>
        <w:rFonts w:hint="default"/>
        <w:lang w:val="es-ES" w:eastAsia="es-ES" w:bidi="es-ES"/>
      </w:rPr>
    </w:lvl>
    <w:lvl w:ilvl="7">
      <w:start w:val="0"/>
      <w:numFmt w:val="bullet"/>
      <w:lvlText w:val="•"/>
      <w:lvlJc w:val="left"/>
      <w:pPr>
        <w:ind w:left="4337" w:hanging="361"/>
      </w:pPr>
      <w:rPr>
        <w:rFonts w:hint="default"/>
        <w:lang w:val="es-ES" w:eastAsia="es-ES" w:bidi="es-ES"/>
      </w:rPr>
    </w:lvl>
    <w:lvl w:ilvl="8">
      <w:start w:val="0"/>
      <w:numFmt w:val="bullet"/>
      <w:lvlText w:val="•"/>
      <w:lvlJc w:val="left"/>
      <w:pPr>
        <w:ind w:left="4728" w:hanging="361"/>
      </w:pPr>
      <w:rPr>
        <w:rFonts w:hint="default"/>
        <w:lang w:val="es-ES" w:eastAsia="es-ES" w:bidi="es-ES"/>
      </w:rPr>
    </w:lvl>
  </w:abstractNum>
  <w:abstractNum w:abstractNumId="62">
    <w:multiLevelType w:val="hybridMultilevel"/>
    <w:lvl w:ilvl="0">
      <w:start w:val="0"/>
      <w:numFmt w:val="bullet"/>
      <w:lvlText w:val=""/>
      <w:lvlJc w:val="left"/>
      <w:pPr>
        <w:ind w:left="1599" w:hanging="361"/>
      </w:pPr>
      <w:rPr>
        <w:rFonts w:hint="default" w:ascii="Symbol" w:hAnsi="Symbol" w:eastAsia="Symbol" w:cs="Symbol"/>
        <w:w w:val="100"/>
        <w:sz w:val="24"/>
        <w:szCs w:val="24"/>
        <w:lang w:val="es-ES" w:eastAsia="es-ES" w:bidi="es-ES"/>
      </w:rPr>
    </w:lvl>
    <w:lvl w:ilvl="1">
      <w:start w:val="0"/>
      <w:numFmt w:val="bullet"/>
      <w:lvlText w:val="•"/>
      <w:lvlJc w:val="left"/>
      <w:pPr>
        <w:ind w:left="1991" w:hanging="361"/>
      </w:pPr>
      <w:rPr>
        <w:rFonts w:hint="default"/>
        <w:lang w:val="es-ES" w:eastAsia="es-ES" w:bidi="es-ES"/>
      </w:rPr>
    </w:lvl>
    <w:lvl w:ilvl="2">
      <w:start w:val="0"/>
      <w:numFmt w:val="bullet"/>
      <w:lvlText w:val="•"/>
      <w:lvlJc w:val="left"/>
      <w:pPr>
        <w:ind w:left="2382" w:hanging="361"/>
      </w:pPr>
      <w:rPr>
        <w:rFonts w:hint="default"/>
        <w:lang w:val="es-ES" w:eastAsia="es-ES" w:bidi="es-ES"/>
      </w:rPr>
    </w:lvl>
    <w:lvl w:ilvl="3">
      <w:start w:val="0"/>
      <w:numFmt w:val="bullet"/>
      <w:lvlText w:val="•"/>
      <w:lvlJc w:val="left"/>
      <w:pPr>
        <w:ind w:left="2773" w:hanging="361"/>
      </w:pPr>
      <w:rPr>
        <w:rFonts w:hint="default"/>
        <w:lang w:val="es-ES" w:eastAsia="es-ES" w:bidi="es-ES"/>
      </w:rPr>
    </w:lvl>
    <w:lvl w:ilvl="4">
      <w:start w:val="0"/>
      <w:numFmt w:val="bullet"/>
      <w:lvlText w:val="•"/>
      <w:lvlJc w:val="left"/>
      <w:pPr>
        <w:ind w:left="3164" w:hanging="361"/>
      </w:pPr>
      <w:rPr>
        <w:rFonts w:hint="default"/>
        <w:lang w:val="es-ES" w:eastAsia="es-ES" w:bidi="es-ES"/>
      </w:rPr>
    </w:lvl>
    <w:lvl w:ilvl="5">
      <w:start w:val="0"/>
      <w:numFmt w:val="bullet"/>
      <w:lvlText w:val="•"/>
      <w:lvlJc w:val="left"/>
      <w:pPr>
        <w:ind w:left="3555" w:hanging="361"/>
      </w:pPr>
      <w:rPr>
        <w:rFonts w:hint="default"/>
        <w:lang w:val="es-ES" w:eastAsia="es-ES" w:bidi="es-ES"/>
      </w:rPr>
    </w:lvl>
    <w:lvl w:ilvl="6">
      <w:start w:val="0"/>
      <w:numFmt w:val="bullet"/>
      <w:lvlText w:val="•"/>
      <w:lvlJc w:val="left"/>
      <w:pPr>
        <w:ind w:left="3946" w:hanging="361"/>
      </w:pPr>
      <w:rPr>
        <w:rFonts w:hint="default"/>
        <w:lang w:val="es-ES" w:eastAsia="es-ES" w:bidi="es-ES"/>
      </w:rPr>
    </w:lvl>
    <w:lvl w:ilvl="7">
      <w:start w:val="0"/>
      <w:numFmt w:val="bullet"/>
      <w:lvlText w:val="•"/>
      <w:lvlJc w:val="left"/>
      <w:pPr>
        <w:ind w:left="4337" w:hanging="361"/>
      </w:pPr>
      <w:rPr>
        <w:rFonts w:hint="default"/>
        <w:lang w:val="es-ES" w:eastAsia="es-ES" w:bidi="es-ES"/>
      </w:rPr>
    </w:lvl>
    <w:lvl w:ilvl="8">
      <w:start w:val="0"/>
      <w:numFmt w:val="bullet"/>
      <w:lvlText w:val="•"/>
      <w:lvlJc w:val="left"/>
      <w:pPr>
        <w:ind w:left="4728" w:hanging="361"/>
      </w:pPr>
      <w:rPr>
        <w:rFonts w:hint="default"/>
        <w:lang w:val="es-ES" w:eastAsia="es-ES" w:bidi="es-ES"/>
      </w:rPr>
    </w:lvl>
  </w:abstractNum>
  <w:abstractNum w:abstractNumId="61">
    <w:multiLevelType w:val="hybridMultilevel"/>
    <w:lvl w:ilvl="0">
      <w:start w:val="0"/>
      <w:numFmt w:val="bullet"/>
      <w:lvlText w:val=""/>
      <w:lvlJc w:val="left"/>
      <w:pPr>
        <w:ind w:left="857" w:hanging="394"/>
      </w:pPr>
      <w:rPr>
        <w:rFonts w:hint="default"/>
        <w:w w:val="100"/>
        <w:lang w:val="es-ES" w:eastAsia="es-ES" w:bidi="es-ES"/>
      </w:rPr>
    </w:lvl>
    <w:lvl w:ilvl="1">
      <w:start w:val="0"/>
      <w:numFmt w:val="bullet"/>
      <w:lvlText w:val="•"/>
      <w:lvlJc w:val="left"/>
      <w:pPr>
        <w:ind w:left="1247" w:hanging="394"/>
      </w:pPr>
      <w:rPr>
        <w:rFonts w:hint="default"/>
        <w:lang w:val="es-ES" w:eastAsia="es-ES" w:bidi="es-ES"/>
      </w:rPr>
    </w:lvl>
    <w:lvl w:ilvl="2">
      <w:start w:val="0"/>
      <w:numFmt w:val="bullet"/>
      <w:lvlText w:val="•"/>
      <w:lvlJc w:val="left"/>
      <w:pPr>
        <w:ind w:left="1634" w:hanging="394"/>
      </w:pPr>
      <w:rPr>
        <w:rFonts w:hint="default"/>
        <w:lang w:val="es-ES" w:eastAsia="es-ES" w:bidi="es-ES"/>
      </w:rPr>
    </w:lvl>
    <w:lvl w:ilvl="3">
      <w:start w:val="0"/>
      <w:numFmt w:val="bullet"/>
      <w:lvlText w:val="•"/>
      <w:lvlJc w:val="left"/>
      <w:pPr>
        <w:ind w:left="2021" w:hanging="394"/>
      </w:pPr>
      <w:rPr>
        <w:rFonts w:hint="default"/>
        <w:lang w:val="es-ES" w:eastAsia="es-ES" w:bidi="es-ES"/>
      </w:rPr>
    </w:lvl>
    <w:lvl w:ilvl="4">
      <w:start w:val="0"/>
      <w:numFmt w:val="bullet"/>
      <w:lvlText w:val="•"/>
      <w:lvlJc w:val="left"/>
      <w:pPr>
        <w:ind w:left="2409" w:hanging="394"/>
      </w:pPr>
      <w:rPr>
        <w:rFonts w:hint="default"/>
        <w:lang w:val="es-ES" w:eastAsia="es-ES" w:bidi="es-ES"/>
      </w:rPr>
    </w:lvl>
    <w:lvl w:ilvl="5">
      <w:start w:val="0"/>
      <w:numFmt w:val="bullet"/>
      <w:lvlText w:val="•"/>
      <w:lvlJc w:val="left"/>
      <w:pPr>
        <w:ind w:left="2796" w:hanging="394"/>
      </w:pPr>
      <w:rPr>
        <w:rFonts w:hint="default"/>
        <w:lang w:val="es-ES" w:eastAsia="es-ES" w:bidi="es-ES"/>
      </w:rPr>
    </w:lvl>
    <w:lvl w:ilvl="6">
      <w:start w:val="0"/>
      <w:numFmt w:val="bullet"/>
      <w:lvlText w:val="•"/>
      <w:lvlJc w:val="left"/>
      <w:pPr>
        <w:ind w:left="3183" w:hanging="394"/>
      </w:pPr>
      <w:rPr>
        <w:rFonts w:hint="default"/>
        <w:lang w:val="es-ES" w:eastAsia="es-ES" w:bidi="es-ES"/>
      </w:rPr>
    </w:lvl>
    <w:lvl w:ilvl="7">
      <w:start w:val="0"/>
      <w:numFmt w:val="bullet"/>
      <w:lvlText w:val="•"/>
      <w:lvlJc w:val="left"/>
      <w:pPr>
        <w:ind w:left="3571" w:hanging="394"/>
      </w:pPr>
      <w:rPr>
        <w:rFonts w:hint="default"/>
        <w:lang w:val="es-ES" w:eastAsia="es-ES" w:bidi="es-ES"/>
      </w:rPr>
    </w:lvl>
    <w:lvl w:ilvl="8">
      <w:start w:val="0"/>
      <w:numFmt w:val="bullet"/>
      <w:lvlText w:val="•"/>
      <w:lvlJc w:val="left"/>
      <w:pPr>
        <w:ind w:left="3958" w:hanging="394"/>
      </w:pPr>
      <w:rPr>
        <w:rFonts w:hint="default"/>
        <w:lang w:val="es-ES" w:eastAsia="es-ES" w:bidi="es-ES"/>
      </w:rPr>
    </w:lvl>
  </w:abstractNum>
  <w:abstractNum w:abstractNumId="60">
    <w:multiLevelType w:val="hybridMultilevel"/>
    <w:lvl w:ilvl="0">
      <w:start w:val="6"/>
      <w:numFmt w:val="decimal"/>
      <w:lvlText w:val="%1."/>
      <w:lvlJc w:val="left"/>
      <w:pPr>
        <w:ind w:left="823" w:hanging="360"/>
        <w:jc w:val="left"/>
      </w:pPr>
      <w:rPr>
        <w:rFonts w:hint="default"/>
        <w:spacing w:val="-1"/>
        <w:w w:val="100"/>
        <w:lang w:val="es-ES" w:eastAsia="es-ES" w:bidi="es-ES"/>
      </w:rPr>
    </w:lvl>
    <w:lvl w:ilvl="1">
      <w:start w:val="0"/>
      <w:numFmt w:val="bullet"/>
      <w:lvlText w:val="•"/>
      <w:lvlJc w:val="left"/>
      <w:pPr>
        <w:ind w:left="1211" w:hanging="360"/>
      </w:pPr>
      <w:rPr>
        <w:rFonts w:hint="default"/>
        <w:lang w:val="es-ES" w:eastAsia="es-ES" w:bidi="es-ES"/>
      </w:rPr>
    </w:lvl>
    <w:lvl w:ilvl="2">
      <w:start w:val="0"/>
      <w:numFmt w:val="bullet"/>
      <w:lvlText w:val="•"/>
      <w:lvlJc w:val="left"/>
      <w:pPr>
        <w:ind w:left="1603" w:hanging="360"/>
      </w:pPr>
      <w:rPr>
        <w:rFonts w:hint="default"/>
        <w:lang w:val="es-ES" w:eastAsia="es-ES" w:bidi="es-ES"/>
      </w:rPr>
    </w:lvl>
    <w:lvl w:ilvl="3">
      <w:start w:val="0"/>
      <w:numFmt w:val="bullet"/>
      <w:lvlText w:val="•"/>
      <w:lvlJc w:val="left"/>
      <w:pPr>
        <w:ind w:left="1994" w:hanging="360"/>
      </w:pPr>
      <w:rPr>
        <w:rFonts w:hint="default"/>
        <w:lang w:val="es-ES" w:eastAsia="es-ES" w:bidi="es-ES"/>
      </w:rPr>
    </w:lvl>
    <w:lvl w:ilvl="4">
      <w:start w:val="0"/>
      <w:numFmt w:val="bullet"/>
      <w:lvlText w:val="•"/>
      <w:lvlJc w:val="left"/>
      <w:pPr>
        <w:ind w:left="2386" w:hanging="360"/>
      </w:pPr>
      <w:rPr>
        <w:rFonts w:hint="default"/>
        <w:lang w:val="es-ES" w:eastAsia="es-ES" w:bidi="es-ES"/>
      </w:rPr>
    </w:lvl>
    <w:lvl w:ilvl="5">
      <w:start w:val="0"/>
      <w:numFmt w:val="bullet"/>
      <w:lvlText w:val="•"/>
      <w:lvlJc w:val="left"/>
      <w:pPr>
        <w:ind w:left="2777" w:hanging="360"/>
      </w:pPr>
      <w:rPr>
        <w:rFonts w:hint="default"/>
        <w:lang w:val="es-ES" w:eastAsia="es-ES" w:bidi="es-ES"/>
      </w:rPr>
    </w:lvl>
    <w:lvl w:ilvl="6">
      <w:start w:val="0"/>
      <w:numFmt w:val="bullet"/>
      <w:lvlText w:val="•"/>
      <w:lvlJc w:val="left"/>
      <w:pPr>
        <w:ind w:left="3169" w:hanging="360"/>
      </w:pPr>
      <w:rPr>
        <w:rFonts w:hint="default"/>
        <w:lang w:val="es-ES" w:eastAsia="es-ES" w:bidi="es-ES"/>
      </w:rPr>
    </w:lvl>
    <w:lvl w:ilvl="7">
      <w:start w:val="0"/>
      <w:numFmt w:val="bullet"/>
      <w:lvlText w:val="•"/>
      <w:lvlJc w:val="left"/>
      <w:pPr>
        <w:ind w:left="3560" w:hanging="360"/>
      </w:pPr>
      <w:rPr>
        <w:rFonts w:hint="default"/>
        <w:lang w:val="es-ES" w:eastAsia="es-ES" w:bidi="es-ES"/>
      </w:rPr>
    </w:lvl>
    <w:lvl w:ilvl="8">
      <w:start w:val="0"/>
      <w:numFmt w:val="bullet"/>
      <w:lvlText w:val="•"/>
      <w:lvlJc w:val="left"/>
      <w:pPr>
        <w:ind w:left="3952" w:hanging="360"/>
      </w:pPr>
      <w:rPr>
        <w:rFonts w:hint="default"/>
        <w:lang w:val="es-ES" w:eastAsia="es-ES" w:bidi="es-ES"/>
      </w:rPr>
    </w:lvl>
  </w:abstractNum>
  <w:abstractNum w:abstractNumId="59">
    <w:multiLevelType w:val="hybridMultilevel"/>
    <w:lvl w:ilvl="0">
      <w:start w:val="1"/>
      <w:numFmt w:val="decimal"/>
      <w:lvlText w:val="%1."/>
      <w:lvlJc w:val="left"/>
      <w:pPr>
        <w:ind w:left="823" w:hanging="360"/>
        <w:jc w:val="left"/>
      </w:pPr>
      <w:rPr>
        <w:rFonts w:hint="default"/>
        <w:spacing w:val="-2"/>
        <w:w w:val="100"/>
        <w:lang w:val="es-ES" w:eastAsia="es-ES" w:bidi="es-ES"/>
      </w:rPr>
    </w:lvl>
    <w:lvl w:ilvl="1">
      <w:start w:val="0"/>
      <w:numFmt w:val="bullet"/>
      <w:lvlText w:val="•"/>
      <w:lvlJc w:val="left"/>
      <w:pPr>
        <w:ind w:left="1211" w:hanging="360"/>
      </w:pPr>
      <w:rPr>
        <w:rFonts w:hint="default"/>
        <w:lang w:val="es-ES" w:eastAsia="es-ES" w:bidi="es-ES"/>
      </w:rPr>
    </w:lvl>
    <w:lvl w:ilvl="2">
      <w:start w:val="0"/>
      <w:numFmt w:val="bullet"/>
      <w:lvlText w:val="•"/>
      <w:lvlJc w:val="left"/>
      <w:pPr>
        <w:ind w:left="1603" w:hanging="360"/>
      </w:pPr>
      <w:rPr>
        <w:rFonts w:hint="default"/>
        <w:lang w:val="es-ES" w:eastAsia="es-ES" w:bidi="es-ES"/>
      </w:rPr>
    </w:lvl>
    <w:lvl w:ilvl="3">
      <w:start w:val="0"/>
      <w:numFmt w:val="bullet"/>
      <w:lvlText w:val="•"/>
      <w:lvlJc w:val="left"/>
      <w:pPr>
        <w:ind w:left="1994" w:hanging="360"/>
      </w:pPr>
      <w:rPr>
        <w:rFonts w:hint="default"/>
        <w:lang w:val="es-ES" w:eastAsia="es-ES" w:bidi="es-ES"/>
      </w:rPr>
    </w:lvl>
    <w:lvl w:ilvl="4">
      <w:start w:val="0"/>
      <w:numFmt w:val="bullet"/>
      <w:lvlText w:val="•"/>
      <w:lvlJc w:val="left"/>
      <w:pPr>
        <w:ind w:left="2386" w:hanging="360"/>
      </w:pPr>
      <w:rPr>
        <w:rFonts w:hint="default"/>
        <w:lang w:val="es-ES" w:eastAsia="es-ES" w:bidi="es-ES"/>
      </w:rPr>
    </w:lvl>
    <w:lvl w:ilvl="5">
      <w:start w:val="0"/>
      <w:numFmt w:val="bullet"/>
      <w:lvlText w:val="•"/>
      <w:lvlJc w:val="left"/>
      <w:pPr>
        <w:ind w:left="2777" w:hanging="360"/>
      </w:pPr>
      <w:rPr>
        <w:rFonts w:hint="default"/>
        <w:lang w:val="es-ES" w:eastAsia="es-ES" w:bidi="es-ES"/>
      </w:rPr>
    </w:lvl>
    <w:lvl w:ilvl="6">
      <w:start w:val="0"/>
      <w:numFmt w:val="bullet"/>
      <w:lvlText w:val="•"/>
      <w:lvlJc w:val="left"/>
      <w:pPr>
        <w:ind w:left="3169" w:hanging="360"/>
      </w:pPr>
      <w:rPr>
        <w:rFonts w:hint="default"/>
        <w:lang w:val="es-ES" w:eastAsia="es-ES" w:bidi="es-ES"/>
      </w:rPr>
    </w:lvl>
    <w:lvl w:ilvl="7">
      <w:start w:val="0"/>
      <w:numFmt w:val="bullet"/>
      <w:lvlText w:val="•"/>
      <w:lvlJc w:val="left"/>
      <w:pPr>
        <w:ind w:left="3560" w:hanging="360"/>
      </w:pPr>
      <w:rPr>
        <w:rFonts w:hint="default"/>
        <w:lang w:val="es-ES" w:eastAsia="es-ES" w:bidi="es-ES"/>
      </w:rPr>
    </w:lvl>
    <w:lvl w:ilvl="8">
      <w:start w:val="0"/>
      <w:numFmt w:val="bullet"/>
      <w:lvlText w:val="•"/>
      <w:lvlJc w:val="left"/>
      <w:pPr>
        <w:ind w:left="3952" w:hanging="360"/>
      </w:pPr>
      <w:rPr>
        <w:rFonts w:hint="default"/>
        <w:lang w:val="es-ES" w:eastAsia="es-ES" w:bidi="es-ES"/>
      </w:rPr>
    </w:lvl>
  </w:abstractNum>
  <w:abstractNum w:abstractNumId="58">
    <w:multiLevelType w:val="hybridMultilevel"/>
    <w:lvl w:ilvl="0">
      <w:start w:val="0"/>
      <w:numFmt w:val="bullet"/>
      <w:lvlText w:val=""/>
      <w:lvlJc w:val="left"/>
      <w:pPr>
        <w:ind w:left="1621" w:hanging="360"/>
      </w:pPr>
      <w:rPr>
        <w:rFonts w:hint="default" w:ascii="Symbol" w:hAnsi="Symbol" w:eastAsia="Symbol" w:cs="Symbol"/>
        <w:w w:val="100"/>
        <w:sz w:val="22"/>
        <w:szCs w:val="22"/>
        <w:lang w:val="es-ES" w:eastAsia="es-ES" w:bidi="es-ES"/>
      </w:rPr>
    </w:lvl>
    <w:lvl w:ilvl="1">
      <w:start w:val="0"/>
      <w:numFmt w:val="bullet"/>
      <w:lvlText w:val="•"/>
      <w:lvlJc w:val="left"/>
      <w:pPr>
        <w:ind w:left="2614" w:hanging="360"/>
      </w:pPr>
      <w:rPr>
        <w:rFonts w:hint="default"/>
        <w:lang w:val="es-ES" w:eastAsia="es-ES" w:bidi="es-ES"/>
      </w:rPr>
    </w:lvl>
    <w:lvl w:ilvl="2">
      <w:start w:val="0"/>
      <w:numFmt w:val="bullet"/>
      <w:lvlText w:val="•"/>
      <w:lvlJc w:val="left"/>
      <w:pPr>
        <w:ind w:left="3608" w:hanging="360"/>
      </w:pPr>
      <w:rPr>
        <w:rFonts w:hint="default"/>
        <w:lang w:val="es-ES" w:eastAsia="es-ES" w:bidi="es-ES"/>
      </w:rPr>
    </w:lvl>
    <w:lvl w:ilvl="3">
      <w:start w:val="0"/>
      <w:numFmt w:val="bullet"/>
      <w:lvlText w:val="•"/>
      <w:lvlJc w:val="left"/>
      <w:pPr>
        <w:ind w:left="4602" w:hanging="360"/>
      </w:pPr>
      <w:rPr>
        <w:rFonts w:hint="default"/>
        <w:lang w:val="es-ES" w:eastAsia="es-ES" w:bidi="es-ES"/>
      </w:rPr>
    </w:lvl>
    <w:lvl w:ilvl="4">
      <w:start w:val="0"/>
      <w:numFmt w:val="bullet"/>
      <w:lvlText w:val="•"/>
      <w:lvlJc w:val="left"/>
      <w:pPr>
        <w:ind w:left="5596" w:hanging="360"/>
      </w:pPr>
      <w:rPr>
        <w:rFonts w:hint="default"/>
        <w:lang w:val="es-ES" w:eastAsia="es-ES" w:bidi="es-ES"/>
      </w:rPr>
    </w:lvl>
    <w:lvl w:ilvl="5">
      <w:start w:val="0"/>
      <w:numFmt w:val="bullet"/>
      <w:lvlText w:val="•"/>
      <w:lvlJc w:val="left"/>
      <w:pPr>
        <w:ind w:left="6590" w:hanging="360"/>
      </w:pPr>
      <w:rPr>
        <w:rFonts w:hint="default"/>
        <w:lang w:val="es-ES" w:eastAsia="es-ES" w:bidi="es-ES"/>
      </w:rPr>
    </w:lvl>
    <w:lvl w:ilvl="6">
      <w:start w:val="0"/>
      <w:numFmt w:val="bullet"/>
      <w:lvlText w:val="•"/>
      <w:lvlJc w:val="left"/>
      <w:pPr>
        <w:ind w:left="7584" w:hanging="360"/>
      </w:pPr>
      <w:rPr>
        <w:rFonts w:hint="default"/>
        <w:lang w:val="es-ES" w:eastAsia="es-ES" w:bidi="es-ES"/>
      </w:rPr>
    </w:lvl>
    <w:lvl w:ilvl="7">
      <w:start w:val="0"/>
      <w:numFmt w:val="bullet"/>
      <w:lvlText w:val="•"/>
      <w:lvlJc w:val="left"/>
      <w:pPr>
        <w:ind w:left="8578" w:hanging="360"/>
      </w:pPr>
      <w:rPr>
        <w:rFonts w:hint="default"/>
        <w:lang w:val="es-ES" w:eastAsia="es-ES" w:bidi="es-ES"/>
      </w:rPr>
    </w:lvl>
    <w:lvl w:ilvl="8">
      <w:start w:val="0"/>
      <w:numFmt w:val="bullet"/>
      <w:lvlText w:val="•"/>
      <w:lvlJc w:val="left"/>
      <w:pPr>
        <w:ind w:left="9572" w:hanging="360"/>
      </w:pPr>
      <w:rPr>
        <w:rFonts w:hint="default"/>
        <w:lang w:val="es-ES" w:eastAsia="es-ES" w:bidi="es-ES"/>
      </w:rPr>
    </w:lvl>
  </w:abstractNum>
  <w:abstractNum w:abstractNumId="56">
    <w:multiLevelType w:val="hybridMultilevel"/>
    <w:lvl w:ilvl="0">
      <w:start w:val="0"/>
      <w:numFmt w:val="bullet"/>
      <w:lvlText w:val="✓"/>
      <w:lvlJc w:val="left"/>
      <w:pPr>
        <w:ind w:left="78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217" w:hanging="708"/>
      </w:pPr>
      <w:rPr>
        <w:rFonts w:hint="default"/>
        <w:lang w:val="es-ES" w:eastAsia="es-ES" w:bidi="es-ES"/>
      </w:rPr>
    </w:lvl>
    <w:lvl w:ilvl="2">
      <w:start w:val="0"/>
      <w:numFmt w:val="bullet"/>
      <w:lvlText w:val="•"/>
      <w:lvlJc w:val="left"/>
      <w:pPr>
        <w:ind w:left="1655" w:hanging="708"/>
      </w:pPr>
      <w:rPr>
        <w:rFonts w:hint="default"/>
        <w:lang w:val="es-ES" w:eastAsia="es-ES" w:bidi="es-ES"/>
      </w:rPr>
    </w:lvl>
    <w:lvl w:ilvl="3">
      <w:start w:val="0"/>
      <w:numFmt w:val="bullet"/>
      <w:lvlText w:val="•"/>
      <w:lvlJc w:val="left"/>
      <w:pPr>
        <w:ind w:left="2093" w:hanging="708"/>
      </w:pPr>
      <w:rPr>
        <w:rFonts w:hint="default"/>
        <w:lang w:val="es-ES" w:eastAsia="es-ES" w:bidi="es-ES"/>
      </w:rPr>
    </w:lvl>
    <w:lvl w:ilvl="4">
      <w:start w:val="0"/>
      <w:numFmt w:val="bullet"/>
      <w:lvlText w:val="•"/>
      <w:lvlJc w:val="left"/>
      <w:pPr>
        <w:ind w:left="2530" w:hanging="708"/>
      </w:pPr>
      <w:rPr>
        <w:rFonts w:hint="default"/>
        <w:lang w:val="es-ES" w:eastAsia="es-ES" w:bidi="es-ES"/>
      </w:rPr>
    </w:lvl>
    <w:lvl w:ilvl="5">
      <w:start w:val="0"/>
      <w:numFmt w:val="bullet"/>
      <w:lvlText w:val="•"/>
      <w:lvlJc w:val="left"/>
      <w:pPr>
        <w:ind w:left="2968" w:hanging="708"/>
      </w:pPr>
      <w:rPr>
        <w:rFonts w:hint="default"/>
        <w:lang w:val="es-ES" w:eastAsia="es-ES" w:bidi="es-ES"/>
      </w:rPr>
    </w:lvl>
    <w:lvl w:ilvl="6">
      <w:start w:val="0"/>
      <w:numFmt w:val="bullet"/>
      <w:lvlText w:val="•"/>
      <w:lvlJc w:val="left"/>
      <w:pPr>
        <w:ind w:left="3406" w:hanging="708"/>
      </w:pPr>
      <w:rPr>
        <w:rFonts w:hint="default"/>
        <w:lang w:val="es-ES" w:eastAsia="es-ES" w:bidi="es-ES"/>
      </w:rPr>
    </w:lvl>
    <w:lvl w:ilvl="7">
      <w:start w:val="0"/>
      <w:numFmt w:val="bullet"/>
      <w:lvlText w:val="•"/>
      <w:lvlJc w:val="left"/>
      <w:pPr>
        <w:ind w:left="3843" w:hanging="708"/>
      </w:pPr>
      <w:rPr>
        <w:rFonts w:hint="default"/>
        <w:lang w:val="es-ES" w:eastAsia="es-ES" w:bidi="es-ES"/>
      </w:rPr>
    </w:lvl>
    <w:lvl w:ilvl="8">
      <w:start w:val="0"/>
      <w:numFmt w:val="bullet"/>
      <w:lvlText w:val="•"/>
      <w:lvlJc w:val="left"/>
      <w:pPr>
        <w:ind w:left="4281" w:hanging="708"/>
      </w:pPr>
      <w:rPr>
        <w:rFonts w:hint="default"/>
        <w:lang w:val="es-ES" w:eastAsia="es-ES" w:bidi="es-ES"/>
      </w:rPr>
    </w:lvl>
  </w:abstractNum>
  <w:abstractNum w:abstractNumId="55">
    <w:multiLevelType w:val="hybridMultilevel"/>
    <w:lvl w:ilvl="0">
      <w:start w:val="0"/>
      <w:numFmt w:val="bullet"/>
      <w:lvlText w:val="✓"/>
      <w:lvlJc w:val="left"/>
      <w:pPr>
        <w:ind w:left="90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325" w:hanging="708"/>
      </w:pPr>
      <w:rPr>
        <w:rFonts w:hint="default"/>
        <w:lang w:val="es-ES" w:eastAsia="es-ES" w:bidi="es-ES"/>
      </w:rPr>
    </w:lvl>
    <w:lvl w:ilvl="2">
      <w:start w:val="0"/>
      <w:numFmt w:val="bullet"/>
      <w:lvlText w:val="•"/>
      <w:lvlJc w:val="left"/>
      <w:pPr>
        <w:ind w:left="1751" w:hanging="708"/>
      </w:pPr>
      <w:rPr>
        <w:rFonts w:hint="default"/>
        <w:lang w:val="es-ES" w:eastAsia="es-ES" w:bidi="es-ES"/>
      </w:rPr>
    </w:lvl>
    <w:lvl w:ilvl="3">
      <w:start w:val="0"/>
      <w:numFmt w:val="bullet"/>
      <w:lvlText w:val="•"/>
      <w:lvlJc w:val="left"/>
      <w:pPr>
        <w:ind w:left="2177" w:hanging="708"/>
      </w:pPr>
      <w:rPr>
        <w:rFonts w:hint="default"/>
        <w:lang w:val="es-ES" w:eastAsia="es-ES" w:bidi="es-ES"/>
      </w:rPr>
    </w:lvl>
    <w:lvl w:ilvl="4">
      <w:start w:val="0"/>
      <w:numFmt w:val="bullet"/>
      <w:lvlText w:val="•"/>
      <w:lvlJc w:val="left"/>
      <w:pPr>
        <w:ind w:left="2602" w:hanging="708"/>
      </w:pPr>
      <w:rPr>
        <w:rFonts w:hint="default"/>
        <w:lang w:val="es-ES" w:eastAsia="es-ES" w:bidi="es-ES"/>
      </w:rPr>
    </w:lvl>
    <w:lvl w:ilvl="5">
      <w:start w:val="0"/>
      <w:numFmt w:val="bullet"/>
      <w:lvlText w:val="•"/>
      <w:lvlJc w:val="left"/>
      <w:pPr>
        <w:ind w:left="3028" w:hanging="708"/>
      </w:pPr>
      <w:rPr>
        <w:rFonts w:hint="default"/>
        <w:lang w:val="es-ES" w:eastAsia="es-ES" w:bidi="es-ES"/>
      </w:rPr>
    </w:lvl>
    <w:lvl w:ilvl="6">
      <w:start w:val="0"/>
      <w:numFmt w:val="bullet"/>
      <w:lvlText w:val="•"/>
      <w:lvlJc w:val="left"/>
      <w:pPr>
        <w:ind w:left="3454" w:hanging="708"/>
      </w:pPr>
      <w:rPr>
        <w:rFonts w:hint="default"/>
        <w:lang w:val="es-ES" w:eastAsia="es-ES" w:bidi="es-ES"/>
      </w:rPr>
    </w:lvl>
    <w:lvl w:ilvl="7">
      <w:start w:val="0"/>
      <w:numFmt w:val="bullet"/>
      <w:lvlText w:val="•"/>
      <w:lvlJc w:val="left"/>
      <w:pPr>
        <w:ind w:left="3879" w:hanging="708"/>
      </w:pPr>
      <w:rPr>
        <w:rFonts w:hint="default"/>
        <w:lang w:val="es-ES" w:eastAsia="es-ES" w:bidi="es-ES"/>
      </w:rPr>
    </w:lvl>
    <w:lvl w:ilvl="8">
      <w:start w:val="0"/>
      <w:numFmt w:val="bullet"/>
      <w:lvlText w:val="•"/>
      <w:lvlJc w:val="left"/>
      <w:pPr>
        <w:ind w:left="4305" w:hanging="708"/>
      </w:pPr>
      <w:rPr>
        <w:rFonts w:hint="default"/>
        <w:lang w:val="es-ES" w:eastAsia="es-ES" w:bidi="es-ES"/>
      </w:rPr>
    </w:lvl>
  </w:abstractNum>
  <w:abstractNum w:abstractNumId="54">
    <w:multiLevelType w:val="hybridMultilevel"/>
    <w:lvl w:ilvl="0">
      <w:start w:val="0"/>
      <w:numFmt w:val="bullet"/>
      <w:lvlText w:val="✓"/>
      <w:lvlJc w:val="left"/>
      <w:pPr>
        <w:ind w:left="78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217" w:hanging="708"/>
      </w:pPr>
      <w:rPr>
        <w:rFonts w:hint="default"/>
        <w:lang w:val="es-ES" w:eastAsia="es-ES" w:bidi="es-ES"/>
      </w:rPr>
    </w:lvl>
    <w:lvl w:ilvl="2">
      <w:start w:val="0"/>
      <w:numFmt w:val="bullet"/>
      <w:lvlText w:val="•"/>
      <w:lvlJc w:val="left"/>
      <w:pPr>
        <w:ind w:left="1655" w:hanging="708"/>
      </w:pPr>
      <w:rPr>
        <w:rFonts w:hint="default"/>
        <w:lang w:val="es-ES" w:eastAsia="es-ES" w:bidi="es-ES"/>
      </w:rPr>
    </w:lvl>
    <w:lvl w:ilvl="3">
      <w:start w:val="0"/>
      <w:numFmt w:val="bullet"/>
      <w:lvlText w:val="•"/>
      <w:lvlJc w:val="left"/>
      <w:pPr>
        <w:ind w:left="2093" w:hanging="708"/>
      </w:pPr>
      <w:rPr>
        <w:rFonts w:hint="default"/>
        <w:lang w:val="es-ES" w:eastAsia="es-ES" w:bidi="es-ES"/>
      </w:rPr>
    </w:lvl>
    <w:lvl w:ilvl="4">
      <w:start w:val="0"/>
      <w:numFmt w:val="bullet"/>
      <w:lvlText w:val="•"/>
      <w:lvlJc w:val="left"/>
      <w:pPr>
        <w:ind w:left="2530" w:hanging="708"/>
      </w:pPr>
      <w:rPr>
        <w:rFonts w:hint="default"/>
        <w:lang w:val="es-ES" w:eastAsia="es-ES" w:bidi="es-ES"/>
      </w:rPr>
    </w:lvl>
    <w:lvl w:ilvl="5">
      <w:start w:val="0"/>
      <w:numFmt w:val="bullet"/>
      <w:lvlText w:val="•"/>
      <w:lvlJc w:val="left"/>
      <w:pPr>
        <w:ind w:left="2968" w:hanging="708"/>
      </w:pPr>
      <w:rPr>
        <w:rFonts w:hint="default"/>
        <w:lang w:val="es-ES" w:eastAsia="es-ES" w:bidi="es-ES"/>
      </w:rPr>
    </w:lvl>
    <w:lvl w:ilvl="6">
      <w:start w:val="0"/>
      <w:numFmt w:val="bullet"/>
      <w:lvlText w:val="•"/>
      <w:lvlJc w:val="left"/>
      <w:pPr>
        <w:ind w:left="3406" w:hanging="708"/>
      </w:pPr>
      <w:rPr>
        <w:rFonts w:hint="default"/>
        <w:lang w:val="es-ES" w:eastAsia="es-ES" w:bidi="es-ES"/>
      </w:rPr>
    </w:lvl>
    <w:lvl w:ilvl="7">
      <w:start w:val="0"/>
      <w:numFmt w:val="bullet"/>
      <w:lvlText w:val="•"/>
      <w:lvlJc w:val="left"/>
      <w:pPr>
        <w:ind w:left="3843" w:hanging="708"/>
      </w:pPr>
      <w:rPr>
        <w:rFonts w:hint="default"/>
        <w:lang w:val="es-ES" w:eastAsia="es-ES" w:bidi="es-ES"/>
      </w:rPr>
    </w:lvl>
    <w:lvl w:ilvl="8">
      <w:start w:val="0"/>
      <w:numFmt w:val="bullet"/>
      <w:lvlText w:val="•"/>
      <w:lvlJc w:val="left"/>
      <w:pPr>
        <w:ind w:left="4281" w:hanging="708"/>
      </w:pPr>
      <w:rPr>
        <w:rFonts w:hint="default"/>
        <w:lang w:val="es-ES" w:eastAsia="es-ES" w:bidi="es-ES"/>
      </w:rPr>
    </w:lvl>
  </w:abstractNum>
  <w:abstractNum w:abstractNumId="53">
    <w:multiLevelType w:val="hybridMultilevel"/>
    <w:lvl w:ilvl="0">
      <w:start w:val="0"/>
      <w:numFmt w:val="bullet"/>
      <w:lvlText w:val="✓"/>
      <w:lvlJc w:val="left"/>
      <w:pPr>
        <w:ind w:left="90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325" w:hanging="708"/>
      </w:pPr>
      <w:rPr>
        <w:rFonts w:hint="default"/>
        <w:lang w:val="es-ES" w:eastAsia="es-ES" w:bidi="es-ES"/>
      </w:rPr>
    </w:lvl>
    <w:lvl w:ilvl="2">
      <w:start w:val="0"/>
      <w:numFmt w:val="bullet"/>
      <w:lvlText w:val="•"/>
      <w:lvlJc w:val="left"/>
      <w:pPr>
        <w:ind w:left="1751" w:hanging="708"/>
      </w:pPr>
      <w:rPr>
        <w:rFonts w:hint="default"/>
        <w:lang w:val="es-ES" w:eastAsia="es-ES" w:bidi="es-ES"/>
      </w:rPr>
    </w:lvl>
    <w:lvl w:ilvl="3">
      <w:start w:val="0"/>
      <w:numFmt w:val="bullet"/>
      <w:lvlText w:val="•"/>
      <w:lvlJc w:val="left"/>
      <w:pPr>
        <w:ind w:left="2177" w:hanging="708"/>
      </w:pPr>
      <w:rPr>
        <w:rFonts w:hint="default"/>
        <w:lang w:val="es-ES" w:eastAsia="es-ES" w:bidi="es-ES"/>
      </w:rPr>
    </w:lvl>
    <w:lvl w:ilvl="4">
      <w:start w:val="0"/>
      <w:numFmt w:val="bullet"/>
      <w:lvlText w:val="•"/>
      <w:lvlJc w:val="left"/>
      <w:pPr>
        <w:ind w:left="2602" w:hanging="708"/>
      </w:pPr>
      <w:rPr>
        <w:rFonts w:hint="default"/>
        <w:lang w:val="es-ES" w:eastAsia="es-ES" w:bidi="es-ES"/>
      </w:rPr>
    </w:lvl>
    <w:lvl w:ilvl="5">
      <w:start w:val="0"/>
      <w:numFmt w:val="bullet"/>
      <w:lvlText w:val="•"/>
      <w:lvlJc w:val="left"/>
      <w:pPr>
        <w:ind w:left="3028" w:hanging="708"/>
      </w:pPr>
      <w:rPr>
        <w:rFonts w:hint="default"/>
        <w:lang w:val="es-ES" w:eastAsia="es-ES" w:bidi="es-ES"/>
      </w:rPr>
    </w:lvl>
    <w:lvl w:ilvl="6">
      <w:start w:val="0"/>
      <w:numFmt w:val="bullet"/>
      <w:lvlText w:val="•"/>
      <w:lvlJc w:val="left"/>
      <w:pPr>
        <w:ind w:left="3454" w:hanging="708"/>
      </w:pPr>
      <w:rPr>
        <w:rFonts w:hint="default"/>
        <w:lang w:val="es-ES" w:eastAsia="es-ES" w:bidi="es-ES"/>
      </w:rPr>
    </w:lvl>
    <w:lvl w:ilvl="7">
      <w:start w:val="0"/>
      <w:numFmt w:val="bullet"/>
      <w:lvlText w:val="•"/>
      <w:lvlJc w:val="left"/>
      <w:pPr>
        <w:ind w:left="3879" w:hanging="708"/>
      </w:pPr>
      <w:rPr>
        <w:rFonts w:hint="default"/>
        <w:lang w:val="es-ES" w:eastAsia="es-ES" w:bidi="es-ES"/>
      </w:rPr>
    </w:lvl>
    <w:lvl w:ilvl="8">
      <w:start w:val="0"/>
      <w:numFmt w:val="bullet"/>
      <w:lvlText w:val="•"/>
      <w:lvlJc w:val="left"/>
      <w:pPr>
        <w:ind w:left="4305" w:hanging="708"/>
      </w:pPr>
      <w:rPr>
        <w:rFonts w:hint="default"/>
        <w:lang w:val="es-ES" w:eastAsia="es-ES" w:bidi="es-ES"/>
      </w:rPr>
    </w:lvl>
  </w:abstractNum>
  <w:abstractNum w:abstractNumId="52">
    <w:multiLevelType w:val="hybridMultilevel"/>
    <w:lvl w:ilvl="0">
      <w:start w:val="0"/>
      <w:numFmt w:val="bullet"/>
      <w:lvlText w:val="✓"/>
      <w:lvlJc w:val="left"/>
      <w:pPr>
        <w:ind w:left="78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217" w:hanging="708"/>
      </w:pPr>
      <w:rPr>
        <w:rFonts w:hint="default"/>
        <w:lang w:val="es-ES" w:eastAsia="es-ES" w:bidi="es-ES"/>
      </w:rPr>
    </w:lvl>
    <w:lvl w:ilvl="2">
      <w:start w:val="0"/>
      <w:numFmt w:val="bullet"/>
      <w:lvlText w:val="•"/>
      <w:lvlJc w:val="left"/>
      <w:pPr>
        <w:ind w:left="1655" w:hanging="708"/>
      </w:pPr>
      <w:rPr>
        <w:rFonts w:hint="default"/>
        <w:lang w:val="es-ES" w:eastAsia="es-ES" w:bidi="es-ES"/>
      </w:rPr>
    </w:lvl>
    <w:lvl w:ilvl="3">
      <w:start w:val="0"/>
      <w:numFmt w:val="bullet"/>
      <w:lvlText w:val="•"/>
      <w:lvlJc w:val="left"/>
      <w:pPr>
        <w:ind w:left="2093" w:hanging="708"/>
      </w:pPr>
      <w:rPr>
        <w:rFonts w:hint="default"/>
        <w:lang w:val="es-ES" w:eastAsia="es-ES" w:bidi="es-ES"/>
      </w:rPr>
    </w:lvl>
    <w:lvl w:ilvl="4">
      <w:start w:val="0"/>
      <w:numFmt w:val="bullet"/>
      <w:lvlText w:val="•"/>
      <w:lvlJc w:val="left"/>
      <w:pPr>
        <w:ind w:left="2530" w:hanging="708"/>
      </w:pPr>
      <w:rPr>
        <w:rFonts w:hint="default"/>
        <w:lang w:val="es-ES" w:eastAsia="es-ES" w:bidi="es-ES"/>
      </w:rPr>
    </w:lvl>
    <w:lvl w:ilvl="5">
      <w:start w:val="0"/>
      <w:numFmt w:val="bullet"/>
      <w:lvlText w:val="•"/>
      <w:lvlJc w:val="left"/>
      <w:pPr>
        <w:ind w:left="2968" w:hanging="708"/>
      </w:pPr>
      <w:rPr>
        <w:rFonts w:hint="default"/>
        <w:lang w:val="es-ES" w:eastAsia="es-ES" w:bidi="es-ES"/>
      </w:rPr>
    </w:lvl>
    <w:lvl w:ilvl="6">
      <w:start w:val="0"/>
      <w:numFmt w:val="bullet"/>
      <w:lvlText w:val="•"/>
      <w:lvlJc w:val="left"/>
      <w:pPr>
        <w:ind w:left="3406" w:hanging="708"/>
      </w:pPr>
      <w:rPr>
        <w:rFonts w:hint="default"/>
        <w:lang w:val="es-ES" w:eastAsia="es-ES" w:bidi="es-ES"/>
      </w:rPr>
    </w:lvl>
    <w:lvl w:ilvl="7">
      <w:start w:val="0"/>
      <w:numFmt w:val="bullet"/>
      <w:lvlText w:val="•"/>
      <w:lvlJc w:val="left"/>
      <w:pPr>
        <w:ind w:left="3843" w:hanging="708"/>
      </w:pPr>
      <w:rPr>
        <w:rFonts w:hint="default"/>
        <w:lang w:val="es-ES" w:eastAsia="es-ES" w:bidi="es-ES"/>
      </w:rPr>
    </w:lvl>
    <w:lvl w:ilvl="8">
      <w:start w:val="0"/>
      <w:numFmt w:val="bullet"/>
      <w:lvlText w:val="•"/>
      <w:lvlJc w:val="left"/>
      <w:pPr>
        <w:ind w:left="4281" w:hanging="708"/>
      </w:pPr>
      <w:rPr>
        <w:rFonts w:hint="default"/>
        <w:lang w:val="es-ES" w:eastAsia="es-ES" w:bidi="es-ES"/>
      </w:rPr>
    </w:lvl>
  </w:abstractNum>
  <w:abstractNum w:abstractNumId="51">
    <w:multiLevelType w:val="hybridMultilevel"/>
    <w:lvl w:ilvl="0">
      <w:start w:val="0"/>
      <w:numFmt w:val="bullet"/>
      <w:lvlText w:val="✓"/>
      <w:lvlJc w:val="left"/>
      <w:pPr>
        <w:ind w:left="90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325" w:hanging="708"/>
      </w:pPr>
      <w:rPr>
        <w:rFonts w:hint="default"/>
        <w:lang w:val="es-ES" w:eastAsia="es-ES" w:bidi="es-ES"/>
      </w:rPr>
    </w:lvl>
    <w:lvl w:ilvl="2">
      <w:start w:val="0"/>
      <w:numFmt w:val="bullet"/>
      <w:lvlText w:val="•"/>
      <w:lvlJc w:val="left"/>
      <w:pPr>
        <w:ind w:left="1751" w:hanging="708"/>
      </w:pPr>
      <w:rPr>
        <w:rFonts w:hint="default"/>
        <w:lang w:val="es-ES" w:eastAsia="es-ES" w:bidi="es-ES"/>
      </w:rPr>
    </w:lvl>
    <w:lvl w:ilvl="3">
      <w:start w:val="0"/>
      <w:numFmt w:val="bullet"/>
      <w:lvlText w:val="•"/>
      <w:lvlJc w:val="left"/>
      <w:pPr>
        <w:ind w:left="2177" w:hanging="708"/>
      </w:pPr>
      <w:rPr>
        <w:rFonts w:hint="default"/>
        <w:lang w:val="es-ES" w:eastAsia="es-ES" w:bidi="es-ES"/>
      </w:rPr>
    </w:lvl>
    <w:lvl w:ilvl="4">
      <w:start w:val="0"/>
      <w:numFmt w:val="bullet"/>
      <w:lvlText w:val="•"/>
      <w:lvlJc w:val="left"/>
      <w:pPr>
        <w:ind w:left="2602" w:hanging="708"/>
      </w:pPr>
      <w:rPr>
        <w:rFonts w:hint="default"/>
        <w:lang w:val="es-ES" w:eastAsia="es-ES" w:bidi="es-ES"/>
      </w:rPr>
    </w:lvl>
    <w:lvl w:ilvl="5">
      <w:start w:val="0"/>
      <w:numFmt w:val="bullet"/>
      <w:lvlText w:val="•"/>
      <w:lvlJc w:val="left"/>
      <w:pPr>
        <w:ind w:left="3028" w:hanging="708"/>
      </w:pPr>
      <w:rPr>
        <w:rFonts w:hint="default"/>
        <w:lang w:val="es-ES" w:eastAsia="es-ES" w:bidi="es-ES"/>
      </w:rPr>
    </w:lvl>
    <w:lvl w:ilvl="6">
      <w:start w:val="0"/>
      <w:numFmt w:val="bullet"/>
      <w:lvlText w:val="•"/>
      <w:lvlJc w:val="left"/>
      <w:pPr>
        <w:ind w:left="3454" w:hanging="708"/>
      </w:pPr>
      <w:rPr>
        <w:rFonts w:hint="default"/>
        <w:lang w:val="es-ES" w:eastAsia="es-ES" w:bidi="es-ES"/>
      </w:rPr>
    </w:lvl>
    <w:lvl w:ilvl="7">
      <w:start w:val="0"/>
      <w:numFmt w:val="bullet"/>
      <w:lvlText w:val="•"/>
      <w:lvlJc w:val="left"/>
      <w:pPr>
        <w:ind w:left="3879" w:hanging="708"/>
      </w:pPr>
      <w:rPr>
        <w:rFonts w:hint="default"/>
        <w:lang w:val="es-ES" w:eastAsia="es-ES" w:bidi="es-ES"/>
      </w:rPr>
    </w:lvl>
    <w:lvl w:ilvl="8">
      <w:start w:val="0"/>
      <w:numFmt w:val="bullet"/>
      <w:lvlText w:val="•"/>
      <w:lvlJc w:val="left"/>
      <w:pPr>
        <w:ind w:left="4305" w:hanging="708"/>
      </w:pPr>
      <w:rPr>
        <w:rFonts w:hint="default"/>
        <w:lang w:val="es-ES" w:eastAsia="es-ES" w:bidi="es-ES"/>
      </w:rPr>
    </w:lvl>
  </w:abstractNum>
  <w:abstractNum w:abstractNumId="50">
    <w:multiLevelType w:val="hybridMultilevel"/>
    <w:lvl w:ilvl="0">
      <w:start w:val="0"/>
      <w:numFmt w:val="bullet"/>
      <w:lvlText w:val="✓"/>
      <w:lvlJc w:val="left"/>
      <w:pPr>
        <w:ind w:left="78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217" w:hanging="708"/>
      </w:pPr>
      <w:rPr>
        <w:rFonts w:hint="default"/>
        <w:lang w:val="es-ES" w:eastAsia="es-ES" w:bidi="es-ES"/>
      </w:rPr>
    </w:lvl>
    <w:lvl w:ilvl="2">
      <w:start w:val="0"/>
      <w:numFmt w:val="bullet"/>
      <w:lvlText w:val="•"/>
      <w:lvlJc w:val="left"/>
      <w:pPr>
        <w:ind w:left="1655" w:hanging="708"/>
      </w:pPr>
      <w:rPr>
        <w:rFonts w:hint="default"/>
        <w:lang w:val="es-ES" w:eastAsia="es-ES" w:bidi="es-ES"/>
      </w:rPr>
    </w:lvl>
    <w:lvl w:ilvl="3">
      <w:start w:val="0"/>
      <w:numFmt w:val="bullet"/>
      <w:lvlText w:val="•"/>
      <w:lvlJc w:val="left"/>
      <w:pPr>
        <w:ind w:left="2093" w:hanging="708"/>
      </w:pPr>
      <w:rPr>
        <w:rFonts w:hint="default"/>
        <w:lang w:val="es-ES" w:eastAsia="es-ES" w:bidi="es-ES"/>
      </w:rPr>
    </w:lvl>
    <w:lvl w:ilvl="4">
      <w:start w:val="0"/>
      <w:numFmt w:val="bullet"/>
      <w:lvlText w:val="•"/>
      <w:lvlJc w:val="left"/>
      <w:pPr>
        <w:ind w:left="2530" w:hanging="708"/>
      </w:pPr>
      <w:rPr>
        <w:rFonts w:hint="default"/>
        <w:lang w:val="es-ES" w:eastAsia="es-ES" w:bidi="es-ES"/>
      </w:rPr>
    </w:lvl>
    <w:lvl w:ilvl="5">
      <w:start w:val="0"/>
      <w:numFmt w:val="bullet"/>
      <w:lvlText w:val="•"/>
      <w:lvlJc w:val="left"/>
      <w:pPr>
        <w:ind w:left="2968" w:hanging="708"/>
      </w:pPr>
      <w:rPr>
        <w:rFonts w:hint="default"/>
        <w:lang w:val="es-ES" w:eastAsia="es-ES" w:bidi="es-ES"/>
      </w:rPr>
    </w:lvl>
    <w:lvl w:ilvl="6">
      <w:start w:val="0"/>
      <w:numFmt w:val="bullet"/>
      <w:lvlText w:val="•"/>
      <w:lvlJc w:val="left"/>
      <w:pPr>
        <w:ind w:left="3406" w:hanging="708"/>
      </w:pPr>
      <w:rPr>
        <w:rFonts w:hint="default"/>
        <w:lang w:val="es-ES" w:eastAsia="es-ES" w:bidi="es-ES"/>
      </w:rPr>
    </w:lvl>
    <w:lvl w:ilvl="7">
      <w:start w:val="0"/>
      <w:numFmt w:val="bullet"/>
      <w:lvlText w:val="•"/>
      <w:lvlJc w:val="left"/>
      <w:pPr>
        <w:ind w:left="3843" w:hanging="708"/>
      </w:pPr>
      <w:rPr>
        <w:rFonts w:hint="default"/>
        <w:lang w:val="es-ES" w:eastAsia="es-ES" w:bidi="es-ES"/>
      </w:rPr>
    </w:lvl>
    <w:lvl w:ilvl="8">
      <w:start w:val="0"/>
      <w:numFmt w:val="bullet"/>
      <w:lvlText w:val="•"/>
      <w:lvlJc w:val="left"/>
      <w:pPr>
        <w:ind w:left="4281" w:hanging="708"/>
      </w:pPr>
      <w:rPr>
        <w:rFonts w:hint="default"/>
        <w:lang w:val="es-ES" w:eastAsia="es-ES" w:bidi="es-ES"/>
      </w:rPr>
    </w:lvl>
  </w:abstractNum>
  <w:abstractNum w:abstractNumId="49">
    <w:multiLevelType w:val="hybridMultilevel"/>
    <w:lvl w:ilvl="0">
      <w:start w:val="0"/>
      <w:numFmt w:val="bullet"/>
      <w:lvlText w:val="✓"/>
      <w:lvlJc w:val="left"/>
      <w:pPr>
        <w:ind w:left="90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325" w:hanging="708"/>
      </w:pPr>
      <w:rPr>
        <w:rFonts w:hint="default"/>
        <w:lang w:val="es-ES" w:eastAsia="es-ES" w:bidi="es-ES"/>
      </w:rPr>
    </w:lvl>
    <w:lvl w:ilvl="2">
      <w:start w:val="0"/>
      <w:numFmt w:val="bullet"/>
      <w:lvlText w:val="•"/>
      <w:lvlJc w:val="left"/>
      <w:pPr>
        <w:ind w:left="1751" w:hanging="708"/>
      </w:pPr>
      <w:rPr>
        <w:rFonts w:hint="default"/>
        <w:lang w:val="es-ES" w:eastAsia="es-ES" w:bidi="es-ES"/>
      </w:rPr>
    </w:lvl>
    <w:lvl w:ilvl="3">
      <w:start w:val="0"/>
      <w:numFmt w:val="bullet"/>
      <w:lvlText w:val="•"/>
      <w:lvlJc w:val="left"/>
      <w:pPr>
        <w:ind w:left="2177" w:hanging="708"/>
      </w:pPr>
      <w:rPr>
        <w:rFonts w:hint="default"/>
        <w:lang w:val="es-ES" w:eastAsia="es-ES" w:bidi="es-ES"/>
      </w:rPr>
    </w:lvl>
    <w:lvl w:ilvl="4">
      <w:start w:val="0"/>
      <w:numFmt w:val="bullet"/>
      <w:lvlText w:val="•"/>
      <w:lvlJc w:val="left"/>
      <w:pPr>
        <w:ind w:left="2602" w:hanging="708"/>
      </w:pPr>
      <w:rPr>
        <w:rFonts w:hint="default"/>
        <w:lang w:val="es-ES" w:eastAsia="es-ES" w:bidi="es-ES"/>
      </w:rPr>
    </w:lvl>
    <w:lvl w:ilvl="5">
      <w:start w:val="0"/>
      <w:numFmt w:val="bullet"/>
      <w:lvlText w:val="•"/>
      <w:lvlJc w:val="left"/>
      <w:pPr>
        <w:ind w:left="3028" w:hanging="708"/>
      </w:pPr>
      <w:rPr>
        <w:rFonts w:hint="default"/>
        <w:lang w:val="es-ES" w:eastAsia="es-ES" w:bidi="es-ES"/>
      </w:rPr>
    </w:lvl>
    <w:lvl w:ilvl="6">
      <w:start w:val="0"/>
      <w:numFmt w:val="bullet"/>
      <w:lvlText w:val="•"/>
      <w:lvlJc w:val="left"/>
      <w:pPr>
        <w:ind w:left="3454" w:hanging="708"/>
      </w:pPr>
      <w:rPr>
        <w:rFonts w:hint="default"/>
        <w:lang w:val="es-ES" w:eastAsia="es-ES" w:bidi="es-ES"/>
      </w:rPr>
    </w:lvl>
    <w:lvl w:ilvl="7">
      <w:start w:val="0"/>
      <w:numFmt w:val="bullet"/>
      <w:lvlText w:val="•"/>
      <w:lvlJc w:val="left"/>
      <w:pPr>
        <w:ind w:left="3879" w:hanging="708"/>
      </w:pPr>
      <w:rPr>
        <w:rFonts w:hint="default"/>
        <w:lang w:val="es-ES" w:eastAsia="es-ES" w:bidi="es-ES"/>
      </w:rPr>
    </w:lvl>
    <w:lvl w:ilvl="8">
      <w:start w:val="0"/>
      <w:numFmt w:val="bullet"/>
      <w:lvlText w:val="•"/>
      <w:lvlJc w:val="left"/>
      <w:pPr>
        <w:ind w:left="4305" w:hanging="708"/>
      </w:pPr>
      <w:rPr>
        <w:rFonts w:hint="default"/>
        <w:lang w:val="es-ES" w:eastAsia="es-ES" w:bidi="es-ES"/>
      </w:rPr>
    </w:lvl>
  </w:abstractNum>
  <w:abstractNum w:abstractNumId="48">
    <w:multiLevelType w:val="hybridMultilevel"/>
    <w:lvl w:ilvl="0">
      <w:start w:val="0"/>
      <w:numFmt w:val="bullet"/>
      <w:lvlText w:val="✓"/>
      <w:lvlJc w:val="left"/>
      <w:pPr>
        <w:ind w:left="78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217" w:hanging="708"/>
      </w:pPr>
      <w:rPr>
        <w:rFonts w:hint="default"/>
        <w:lang w:val="es-ES" w:eastAsia="es-ES" w:bidi="es-ES"/>
      </w:rPr>
    </w:lvl>
    <w:lvl w:ilvl="2">
      <w:start w:val="0"/>
      <w:numFmt w:val="bullet"/>
      <w:lvlText w:val="•"/>
      <w:lvlJc w:val="left"/>
      <w:pPr>
        <w:ind w:left="1655" w:hanging="708"/>
      </w:pPr>
      <w:rPr>
        <w:rFonts w:hint="default"/>
        <w:lang w:val="es-ES" w:eastAsia="es-ES" w:bidi="es-ES"/>
      </w:rPr>
    </w:lvl>
    <w:lvl w:ilvl="3">
      <w:start w:val="0"/>
      <w:numFmt w:val="bullet"/>
      <w:lvlText w:val="•"/>
      <w:lvlJc w:val="left"/>
      <w:pPr>
        <w:ind w:left="2093" w:hanging="708"/>
      </w:pPr>
      <w:rPr>
        <w:rFonts w:hint="default"/>
        <w:lang w:val="es-ES" w:eastAsia="es-ES" w:bidi="es-ES"/>
      </w:rPr>
    </w:lvl>
    <w:lvl w:ilvl="4">
      <w:start w:val="0"/>
      <w:numFmt w:val="bullet"/>
      <w:lvlText w:val="•"/>
      <w:lvlJc w:val="left"/>
      <w:pPr>
        <w:ind w:left="2530" w:hanging="708"/>
      </w:pPr>
      <w:rPr>
        <w:rFonts w:hint="default"/>
        <w:lang w:val="es-ES" w:eastAsia="es-ES" w:bidi="es-ES"/>
      </w:rPr>
    </w:lvl>
    <w:lvl w:ilvl="5">
      <w:start w:val="0"/>
      <w:numFmt w:val="bullet"/>
      <w:lvlText w:val="•"/>
      <w:lvlJc w:val="left"/>
      <w:pPr>
        <w:ind w:left="2968" w:hanging="708"/>
      </w:pPr>
      <w:rPr>
        <w:rFonts w:hint="default"/>
        <w:lang w:val="es-ES" w:eastAsia="es-ES" w:bidi="es-ES"/>
      </w:rPr>
    </w:lvl>
    <w:lvl w:ilvl="6">
      <w:start w:val="0"/>
      <w:numFmt w:val="bullet"/>
      <w:lvlText w:val="•"/>
      <w:lvlJc w:val="left"/>
      <w:pPr>
        <w:ind w:left="3406" w:hanging="708"/>
      </w:pPr>
      <w:rPr>
        <w:rFonts w:hint="default"/>
        <w:lang w:val="es-ES" w:eastAsia="es-ES" w:bidi="es-ES"/>
      </w:rPr>
    </w:lvl>
    <w:lvl w:ilvl="7">
      <w:start w:val="0"/>
      <w:numFmt w:val="bullet"/>
      <w:lvlText w:val="•"/>
      <w:lvlJc w:val="left"/>
      <w:pPr>
        <w:ind w:left="3843" w:hanging="708"/>
      </w:pPr>
      <w:rPr>
        <w:rFonts w:hint="default"/>
        <w:lang w:val="es-ES" w:eastAsia="es-ES" w:bidi="es-ES"/>
      </w:rPr>
    </w:lvl>
    <w:lvl w:ilvl="8">
      <w:start w:val="0"/>
      <w:numFmt w:val="bullet"/>
      <w:lvlText w:val="•"/>
      <w:lvlJc w:val="left"/>
      <w:pPr>
        <w:ind w:left="4281" w:hanging="708"/>
      </w:pPr>
      <w:rPr>
        <w:rFonts w:hint="default"/>
        <w:lang w:val="es-ES" w:eastAsia="es-ES" w:bidi="es-ES"/>
      </w:rPr>
    </w:lvl>
  </w:abstractNum>
  <w:abstractNum w:abstractNumId="47">
    <w:multiLevelType w:val="hybridMultilevel"/>
    <w:lvl w:ilvl="0">
      <w:start w:val="0"/>
      <w:numFmt w:val="bullet"/>
      <w:lvlText w:val="✓"/>
      <w:lvlJc w:val="left"/>
      <w:pPr>
        <w:ind w:left="90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325" w:hanging="708"/>
      </w:pPr>
      <w:rPr>
        <w:rFonts w:hint="default"/>
        <w:lang w:val="es-ES" w:eastAsia="es-ES" w:bidi="es-ES"/>
      </w:rPr>
    </w:lvl>
    <w:lvl w:ilvl="2">
      <w:start w:val="0"/>
      <w:numFmt w:val="bullet"/>
      <w:lvlText w:val="•"/>
      <w:lvlJc w:val="left"/>
      <w:pPr>
        <w:ind w:left="1751" w:hanging="708"/>
      </w:pPr>
      <w:rPr>
        <w:rFonts w:hint="default"/>
        <w:lang w:val="es-ES" w:eastAsia="es-ES" w:bidi="es-ES"/>
      </w:rPr>
    </w:lvl>
    <w:lvl w:ilvl="3">
      <w:start w:val="0"/>
      <w:numFmt w:val="bullet"/>
      <w:lvlText w:val="•"/>
      <w:lvlJc w:val="left"/>
      <w:pPr>
        <w:ind w:left="2177" w:hanging="708"/>
      </w:pPr>
      <w:rPr>
        <w:rFonts w:hint="default"/>
        <w:lang w:val="es-ES" w:eastAsia="es-ES" w:bidi="es-ES"/>
      </w:rPr>
    </w:lvl>
    <w:lvl w:ilvl="4">
      <w:start w:val="0"/>
      <w:numFmt w:val="bullet"/>
      <w:lvlText w:val="•"/>
      <w:lvlJc w:val="left"/>
      <w:pPr>
        <w:ind w:left="2602" w:hanging="708"/>
      </w:pPr>
      <w:rPr>
        <w:rFonts w:hint="default"/>
        <w:lang w:val="es-ES" w:eastAsia="es-ES" w:bidi="es-ES"/>
      </w:rPr>
    </w:lvl>
    <w:lvl w:ilvl="5">
      <w:start w:val="0"/>
      <w:numFmt w:val="bullet"/>
      <w:lvlText w:val="•"/>
      <w:lvlJc w:val="left"/>
      <w:pPr>
        <w:ind w:left="3028" w:hanging="708"/>
      </w:pPr>
      <w:rPr>
        <w:rFonts w:hint="default"/>
        <w:lang w:val="es-ES" w:eastAsia="es-ES" w:bidi="es-ES"/>
      </w:rPr>
    </w:lvl>
    <w:lvl w:ilvl="6">
      <w:start w:val="0"/>
      <w:numFmt w:val="bullet"/>
      <w:lvlText w:val="•"/>
      <w:lvlJc w:val="left"/>
      <w:pPr>
        <w:ind w:left="3454" w:hanging="708"/>
      </w:pPr>
      <w:rPr>
        <w:rFonts w:hint="default"/>
        <w:lang w:val="es-ES" w:eastAsia="es-ES" w:bidi="es-ES"/>
      </w:rPr>
    </w:lvl>
    <w:lvl w:ilvl="7">
      <w:start w:val="0"/>
      <w:numFmt w:val="bullet"/>
      <w:lvlText w:val="•"/>
      <w:lvlJc w:val="left"/>
      <w:pPr>
        <w:ind w:left="3879" w:hanging="708"/>
      </w:pPr>
      <w:rPr>
        <w:rFonts w:hint="default"/>
        <w:lang w:val="es-ES" w:eastAsia="es-ES" w:bidi="es-ES"/>
      </w:rPr>
    </w:lvl>
    <w:lvl w:ilvl="8">
      <w:start w:val="0"/>
      <w:numFmt w:val="bullet"/>
      <w:lvlText w:val="•"/>
      <w:lvlJc w:val="left"/>
      <w:pPr>
        <w:ind w:left="4305" w:hanging="708"/>
      </w:pPr>
      <w:rPr>
        <w:rFonts w:hint="default"/>
        <w:lang w:val="es-ES" w:eastAsia="es-ES" w:bidi="es-ES"/>
      </w:rPr>
    </w:lvl>
  </w:abstractNum>
  <w:abstractNum w:abstractNumId="46">
    <w:multiLevelType w:val="hybridMultilevel"/>
    <w:lvl w:ilvl="0">
      <w:start w:val="0"/>
      <w:numFmt w:val="bullet"/>
      <w:lvlText w:val="✓"/>
      <w:lvlJc w:val="left"/>
      <w:pPr>
        <w:ind w:left="78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217" w:hanging="708"/>
      </w:pPr>
      <w:rPr>
        <w:rFonts w:hint="default"/>
        <w:lang w:val="es-ES" w:eastAsia="es-ES" w:bidi="es-ES"/>
      </w:rPr>
    </w:lvl>
    <w:lvl w:ilvl="2">
      <w:start w:val="0"/>
      <w:numFmt w:val="bullet"/>
      <w:lvlText w:val="•"/>
      <w:lvlJc w:val="left"/>
      <w:pPr>
        <w:ind w:left="1655" w:hanging="708"/>
      </w:pPr>
      <w:rPr>
        <w:rFonts w:hint="default"/>
        <w:lang w:val="es-ES" w:eastAsia="es-ES" w:bidi="es-ES"/>
      </w:rPr>
    </w:lvl>
    <w:lvl w:ilvl="3">
      <w:start w:val="0"/>
      <w:numFmt w:val="bullet"/>
      <w:lvlText w:val="•"/>
      <w:lvlJc w:val="left"/>
      <w:pPr>
        <w:ind w:left="2093" w:hanging="708"/>
      </w:pPr>
      <w:rPr>
        <w:rFonts w:hint="default"/>
        <w:lang w:val="es-ES" w:eastAsia="es-ES" w:bidi="es-ES"/>
      </w:rPr>
    </w:lvl>
    <w:lvl w:ilvl="4">
      <w:start w:val="0"/>
      <w:numFmt w:val="bullet"/>
      <w:lvlText w:val="•"/>
      <w:lvlJc w:val="left"/>
      <w:pPr>
        <w:ind w:left="2530" w:hanging="708"/>
      </w:pPr>
      <w:rPr>
        <w:rFonts w:hint="default"/>
        <w:lang w:val="es-ES" w:eastAsia="es-ES" w:bidi="es-ES"/>
      </w:rPr>
    </w:lvl>
    <w:lvl w:ilvl="5">
      <w:start w:val="0"/>
      <w:numFmt w:val="bullet"/>
      <w:lvlText w:val="•"/>
      <w:lvlJc w:val="left"/>
      <w:pPr>
        <w:ind w:left="2968" w:hanging="708"/>
      </w:pPr>
      <w:rPr>
        <w:rFonts w:hint="default"/>
        <w:lang w:val="es-ES" w:eastAsia="es-ES" w:bidi="es-ES"/>
      </w:rPr>
    </w:lvl>
    <w:lvl w:ilvl="6">
      <w:start w:val="0"/>
      <w:numFmt w:val="bullet"/>
      <w:lvlText w:val="•"/>
      <w:lvlJc w:val="left"/>
      <w:pPr>
        <w:ind w:left="3406" w:hanging="708"/>
      </w:pPr>
      <w:rPr>
        <w:rFonts w:hint="default"/>
        <w:lang w:val="es-ES" w:eastAsia="es-ES" w:bidi="es-ES"/>
      </w:rPr>
    </w:lvl>
    <w:lvl w:ilvl="7">
      <w:start w:val="0"/>
      <w:numFmt w:val="bullet"/>
      <w:lvlText w:val="•"/>
      <w:lvlJc w:val="left"/>
      <w:pPr>
        <w:ind w:left="3843" w:hanging="708"/>
      </w:pPr>
      <w:rPr>
        <w:rFonts w:hint="default"/>
        <w:lang w:val="es-ES" w:eastAsia="es-ES" w:bidi="es-ES"/>
      </w:rPr>
    </w:lvl>
    <w:lvl w:ilvl="8">
      <w:start w:val="0"/>
      <w:numFmt w:val="bullet"/>
      <w:lvlText w:val="•"/>
      <w:lvlJc w:val="left"/>
      <w:pPr>
        <w:ind w:left="4281" w:hanging="708"/>
      </w:pPr>
      <w:rPr>
        <w:rFonts w:hint="default"/>
        <w:lang w:val="es-ES" w:eastAsia="es-ES" w:bidi="es-ES"/>
      </w:rPr>
    </w:lvl>
  </w:abstractNum>
  <w:abstractNum w:abstractNumId="45">
    <w:multiLevelType w:val="hybridMultilevel"/>
    <w:lvl w:ilvl="0">
      <w:start w:val="0"/>
      <w:numFmt w:val="bullet"/>
      <w:lvlText w:val="✓"/>
      <w:lvlJc w:val="left"/>
      <w:pPr>
        <w:ind w:left="90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325" w:hanging="708"/>
      </w:pPr>
      <w:rPr>
        <w:rFonts w:hint="default"/>
        <w:lang w:val="es-ES" w:eastAsia="es-ES" w:bidi="es-ES"/>
      </w:rPr>
    </w:lvl>
    <w:lvl w:ilvl="2">
      <w:start w:val="0"/>
      <w:numFmt w:val="bullet"/>
      <w:lvlText w:val="•"/>
      <w:lvlJc w:val="left"/>
      <w:pPr>
        <w:ind w:left="1751" w:hanging="708"/>
      </w:pPr>
      <w:rPr>
        <w:rFonts w:hint="default"/>
        <w:lang w:val="es-ES" w:eastAsia="es-ES" w:bidi="es-ES"/>
      </w:rPr>
    </w:lvl>
    <w:lvl w:ilvl="3">
      <w:start w:val="0"/>
      <w:numFmt w:val="bullet"/>
      <w:lvlText w:val="•"/>
      <w:lvlJc w:val="left"/>
      <w:pPr>
        <w:ind w:left="2177" w:hanging="708"/>
      </w:pPr>
      <w:rPr>
        <w:rFonts w:hint="default"/>
        <w:lang w:val="es-ES" w:eastAsia="es-ES" w:bidi="es-ES"/>
      </w:rPr>
    </w:lvl>
    <w:lvl w:ilvl="4">
      <w:start w:val="0"/>
      <w:numFmt w:val="bullet"/>
      <w:lvlText w:val="•"/>
      <w:lvlJc w:val="left"/>
      <w:pPr>
        <w:ind w:left="2602" w:hanging="708"/>
      </w:pPr>
      <w:rPr>
        <w:rFonts w:hint="default"/>
        <w:lang w:val="es-ES" w:eastAsia="es-ES" w:bidi="es-ES"/>
      </w:rPr>
    </w:lvl>
    <w:lvl w:ilvl="5">
      <w:start w:val="0"/>
      <w:numFmt w:val="bullet"/>
      <w:lvlText w:val="•"/>
      <w:lvlJc w:val="left"/>
      <w:pPr>
        <w:ind w:left="3028" w:hanging="708"/>
      </w:pPr>
      <w:rPr>
        <w:rFonts w:hint="default"/>
        <w:lang w:val="es-ES" w:eastAsia="es-ES" w:bidi="es-ES"/>
      </w:rPr>
    </w:lvl>
    <w:lvl w:ilvl="6">
      <w:start w:val="0"/>
      <w:numFmt w:val="bullet"/>
      <w:lvlText w:val="•"/>
      <w:lvlJc w:val="left"/>
      <w:pPr>
        <w:ind w:left="3454" w:hanging="708"/>
      </w:pPr>
      <w:rPr>
        <w:rFonts w:hint="default"/>
        <w:lang w:val="es-ES" w:eastAsia="es-ES" w:bidi="es-ES"/>
      </w:rPr>
    </w:lvl>
    <w:lvl w:ilvl="7">
      <w:start w:val="0"/>
      <w:numFmt w:val="bullet"/>
      <w:lvlText w:val="•"/>
      <w:lvlJc w:val="left"/>
      <w:pPr>
        <w:ind w:left="3879" w:hanging="708"/>
      </w:pPr>
      <w:rPr>
        <w:rFonts w:hint="default"/>
        <w:lang w:val="es-ES" w:eastAsia="es-ES" w:bidi="es-ES"/>
      </w:rPr>
    </w:lvl>
    <w:lvl w:ilvl="8">
      <w:start w:val="0"/>
      <w:numFmt w:val="bullet"/>
      <w:lvlText w:val="•"/>
      <w:lvlJc w:val="left"/>
      <w:pPr>
        <w:ind w:left="4305" w:hanging="708"/>
      </w:pPr>
      <w:rPr>
        <w:rFonts w:hint="default"/>
        <w:lang w:val="es-ES" w:eastAsia="es-ES" w:bidi="es-ES"/>
      </w:rPr>
    </w:lvl>
  </w:abstractNum>
  <w:abstractNum w:abstractNumId="44">
    <w:multiLevelType w:val="hybridMultilevel"/>
    <w:lvl w:ilvl="0">
      <w:start w:val="0"/>
      <w:numFmt w:val="bullet"/>
      <w:lvlText w:val="✓"/>
      <w:lvlJc w:val="left"/>
      <w:pPr>
        <w:ind w:left="78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217" w:hanging="708"/>
      </w:pPr>
      <w:rPr>
        <w:rFonts w:hint="default"/>
        <w:lang w:val="es-ES" w:eastAsia="es-ES" w:bidi="es-ES"/>
      </w:rPr>
    </w:lvl>
    <w:lvl w:ilvl="2">
      <w:start w:val="0"/>
      <w:numFmt w:val="bullet"/>
      <w:lvlText w:val="•"/>
      <w:lvlJc w:val="left"/>
      <w:pPr>
        <w:ind w:left="1655" w:hanging="708"/>
      </w:pPr>
      <w:rPr>
        <w:rFonts w:hint="default"/>
        <w:lang w:val="es-ES" w:eastAsia="es-ES" w:bidi="es-ES"/>
      </w:rPr>
    </w:lvl>
    <w:lvl w:ilvl="3">
      <w:start w:val="0"/>
      <w:numFmt w:val="bullet"/>
      <w:lvlText w:val="•"/>
      <w:lvlJc w:val="left"/>
      <w:pPr>
        <w:ind w:left="2093" w:hanging="708"/>
      </w:pPr>
      <w:rPr>
        <w:rFonts w:hint="default"/>
        <w:lang w:val="es-ES" w:eastAsia="es-ES" w:bidi="es-ES"/>
      </w:rPr>
    </w:lvl>
    <w:lvl w:ilvl="4">
      <w:start w:val="0"/>
      <w:numFmt w:val="bullet"/>
      <w:lvlText w:val="•"/>
      <w:lvlJc w:val="left"/>
      <w:pPr>
        <w:ind w:left="2530" w:hanging="708"/>
      </w:pPr>
      <w:rPr>
        <w:rFonts w:hint="default"/>
        <w:lang w:val="es-ES" w:eastAsia="es-ES" w:bidi="es-ES"/>
      </w:rPr>
    </w:lvl>
    <w:lvl w:ilvl="5">
      <w:start w:val="0"/>
      <w:numFmt w:val="bullet"/>
      <w:lvlText w:val="•"/>
      <w:lvlJc w:val="left"/>
      <w:pPr>
        <w:ind w:left="2968" w:hanging="708"/>
      </w:pPr>
      <w:rPr>
        <w:rFonts w:hint="default"/>
        <w:lang w:val="es-ES" w:eastAsia="es-ES" w:bidi="es-ES"/>
      </w:rPr>
    </w:lvl>
    <w:lvl w:ilvl="6">
      <w:start w:val="0"/>
      <w:numFmt w:val="bullet"/>
      <w:lvlText w:val="•"/>
      <w:lvlJc w:val="left"/>
      <w:pPr>
        <w:ind w:left="3406" w:hanging="708"/>
      </w:pPr>
      <w:rPr>
        <w:rFonts w:hint="default"/>
        <w:lang w:val="es-ES" w:eastAsia="es-ES" w:bidi="es-ES"/>
      </w:rPr>
    </w:lvl>
    <w:lvl w:ilvl="7">
      <w:start w:val="0"/>
      <w:numFmt w:val="bullet"/>
      <w:lvlText w:val="•"/>
      <w:lvlJc w:val="left"/>
      <w:pPr>
        <w:ind w:left="3843" w:hanging="708"/>
      </w:pPr>
      <w:rPr>
        <w:rFonts w:hint="default"/>
        <w:lang w:val="es-ES" w:eastAsia="es-ES" w:bidi="es-ES"/>
      </w:rPr>
    </w:lvl>
    <w:lvl w:ilvl="8">
      <w:start w:val="0"/>
      <w:numFmt w:val="bullet"/>
      <w:lvlText w:val="•"/>
      <w:lvlJc w:val="left"/>
      <w:pPr>
        <w:ind w:left="4281" w:hanging="708"/>
      </w:pPr>
      <w:rPr>
        <w:rFonts w:hint="default"/>
        <w:lang w:val="es-ES" w:eastAsia="es-ES" w:bidi="es-ES"/>
      </w:rPr>
    </w:lvl>
  </w:abstractNum>
  <w:abstractNum w:abstractNumId="43">
    <w:multiLevelType w:val="hybridMultilevel"/>
    <w:lvl w:ilvl="0">
      <w:start w:val="0"/>
      <w:numFmt w:val="bullet"/>
      <w:lvlText w:val="✓"/>
      <w:lvlJc w:val="left"/>
      <w:pPr>
        <w:ind w:left="90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325" w:hanging="708"/>
      </w:pPr>
      <w:rPr>
        <w:rFonts w:hint="default"/>
        <w:lang w:val="es-ES" w:eastAsia="es-ES" w:bidi="es-ES"/>
      </w:rPr>
    </w:lvl>
    <w:lvl w:ilvl="2">
      <w:start w:val="0"/>
      <w:numFmt w:val="bullet"/>
      <w:lvlText w:val="•"/>
      <w:lvlJc w:val="left"/>
      <w:pPr>
        <w:ind w:left="1751" w:hanging="708"/>
      </w:pPr>
      <w:rPr>
        <w:rFonts w:hint="default"/>
        <w:lang w:val="es-ES" w:eastAsia="es-ES" w:bidi="es-ES"/>
      </w:rPr>
    </w:lvl>
    <w:lvl w:ilvl="3">
      <w:start w:val="0"/>
      <w:numFmt w:val="bullet"/>
      <w:lvlText w:val="•"/>
      <w:lvlJc w:val="left"/>
      <w:pPr>
        <w:ind w:left="2177" w:hanging="708"/>
      </w:pPr>
      <w:rPr>
        <w:rFonts w:hint="default"/>
        <w:lang w:val="es-ES" w:eastAsia="es-ES" w:bidi="es-ES"/>
      </w:rPr>
    </w:lvl>
    <w:lvl w:ilvl="4">
      <w:start w:val="0"/>
      <w:numFmt w:val="bullet"/>
      <w:lvlText w:val="•"/>
      <w:lvlJc w:val="left"/>
      <w:pPr>
        <w:ind w:left="2602" w:hanging="708"/>
      </w:pPr>
      <w:rPr>
        <w:rFonts w:hint="default"/>
        <w:lang w:val="es-ES" w:eastAsia="es-ES" w:bidi="es-ES"/>
      </w:rPr>
    </w:lvl>
    <w:lvl w:ilvl="5">
      <w:start w:val="0"/>
      <w:numFmt w:val="bullet"/>
      <w:lvlText w:val="•"/>
      <w:lvlJc w:val="left"/>
      <w:pPr>
        <w:ind w:left="3028" w:hanging="708"/>
      </w:pPr>
      <w:rPr>
        <w:rFonts w:hint="default"/>
        <w:lang w:val="es-ES" w:eastAsia="es-ES" w:bidi="es-ES"/>
      </w:rPr>
    </w:lvl>
    <w:lvl w:ilvl="6">
      <w:start w:val="0"/>
      <w:numFmt w:val="bullet"/>
      <w:lvlText w:val="•"/>
      <w:lvlJc w:val="left"/>
      <w:pPr>
        <w:ind w:left="3454" w:hanging="708"/>
      </w:pPr>
      <w:rPr>
        <w:rFonts w:hint="default"/>
        <w:lang w:val="es-ES" w:eastAsia="es-ES" w:bidi="es-ES"/>
      </w:rPr>
    </w:lvl>
    <w:lvl w:ilvl="7">
      <w:start w:val="0"/>
      <w:numFmt w:val="bullet"/>
      <w:lvlText w:val="•"/>
      <w:lvlJc w:val="left"/>
      <w:pPr>
        <w:ind w:left="3879" w:hanging="708"/>
      </w:pPr>
      <w:rPr>
        <w:rFonts w:hint="default"/>
        <w:lang w:val="es-ES" w:eastAsia="es-ES" w:bidi="es-ES"/>
      </w:rPr>
    </w:lvl>
    <w:lvl w:ilvl="8">
      <w:start w:val="0"/>
      <w:numFmt w:val="bullet"/>
      <w:lvlText w:val="•"/>
      <w:lvlJc w:val="left"/>
      <w:pPr>
        <w:ind w:left="4305" w:hanging="708"/>
      </w:pPr>
      <w:rPr>
        <w:rFonts w:hint="default"/>
        <w:lang w:val="es-ES" w:eastAsia="es-ES" w:bidi="es-ES"/>
      </w:rPr>
    </w:lvl>
  </w:abstractNum>
  <w:abstractNum w:abstractNumId="42">
    <w:multiLevelType w:val="hybridMultilevel"/>
    <w:lvl w:ilvl="0">
      <w:start w:val="0"/>
      <w:numFmt w:val="bullet"/>
      <w:lvlText w:val="✓"/>
      <w:lvlJc w:val="left"/>
      <w:pPr>
        <w:ind w:left="78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217" w:hanging="708"/>
      </w:pPr>
      <w:rPr>
        <w:rFonts w:hint="default"/>
        <w:lang w:val="es-ES" w:eastAsia="es-ES" w:bidi="es-ES"/>
      </w:rPr>
    </w:lvl>
    <w:lvl w:ilvl="2">
      <w:start w:val="0"/>
      <w:numFmt w:val="bullet"/>
      <w:lvlText w:val="•"/>
      <w:lvlJc w:val="left"/>
      <w:pPr>
        <w:ind w:left="1655" w:hanging="708"/>
      </w:pPr>
      <w:rPr>
        <w:rFonts w:hint="default"/>
        <w:lang w:val="es-ES" w:eastAsia="es-ES" w:bidi="es-ES"/>
      </w:rPr>
    </w:lvl>
    <w:lvl w:ilvl="3">
      <w:start w:val="0"/>
      <w:numFmt w:val="bullet"/>
      <w:lvlText w:val="•"/>
      <w:lvlJc w:val="left"/>
      <w:pPr>
        <w:ind w:left="2093" w:hanging="708"/>
      </w:pPr>
      <w:rPr>
        <w:rFonts w:hint="default"/>
        <w:lang w:val="es-ES" w:eastAsia="es-ES" w:bidi="es-ES"/>
      </w:rPr>
    </w:lvl>
    <w:lvl w:ilvl="4">
      <w:start w:val="0"/>
      <w:numFmt w:val="bullet"/>
      <w:lvlText w:val="•"/>
      <w:lvlJc w:val="left"/>
      <w:pPr>
        <w:ind w:left="2530" w:hanging="708"/>
      </w:pPr>
      <w:rPr>
        <w:rFonts w:hint="default"/>
        <w:lang w:val="es-ES" w:eastAsia="es-ES" w:bidi="es-ES"/>
      </w:rPr>
    </w:lvl>
    <w:lvl w:ilvl="5">
      <w:start w:val="0"/>
      <w:numFmt w:val="bullet"/>
      <w:lvlText w:val="•"/>
      <w:lvlJc w:val="left"/>
      <w:pPr>
        <w:ind w:left="2968" w:hanging="708"/>
      </w:pPr>
      <w:rPr>
        <w:rFonts w:hint="default"/>
        <w:lang w:val="es-ES" w:eastAsia="es-ES" w:bidi="es-ES"/>
      </w:rPr>
    </w:lvl>
    <w:lvl w:ilvl="6">
      <w:start w:val="0"/>
      <w:numFmt w:val="bullet"/>
      <w:lvlText w:val="•"/>
      <w:lvlJc w:val="left"/>
      <w:pPr>
        <w:ind w:left="3406" w:hanging="708"/>
      </w:pPr>
      <w:rPr>
        <w:rFonts w:hint="default"/>
        <w:lang w:val="es-ES" w:eastAsia="es-ES" w:bidi="es-ES"/>
      </w:rPr>
    </w:lvl>
    <w:lvl w:ilvl="7">
      <w:start w:val="0"/>
      <w:numFmt w:val="bullet"/>
      <w:lvlText w:val="•"/>
      <w:lvlJc w:val="left"/>
      <w:pPr>
        <w:ind w:left="3843" w:hanging="708"/>
      </w:pPr>
      <w:rPr>
        <w:rFonts w:hint="default"/>
        <w:lang w:val="es-ES" w:eastAsia="es-ES" w:bidi="es-ES"/>
      </w:rPr>
    </w:lvl>
    <w:lvl w:ilvl="8">
      <w:start w:val="0"/>
      <w:numFmt w:val="bullet"/>
      <w:lvlText w:val="•"/>
      <w:lvlJc w:val="left"/>
      <w:pPr>
        <w:ind w:left="4281" w:hanging="708"/>
      </w:pPr>
      <w:rPr>
        <w:rFonts w:hint="default"/>
        <w:lang w:val="es-ES" w:eastAsia="es-ES" w:bidi="es-ES"/>
      </w:rPr>
    </w:lvl>
  </w:abstractNum>
  <w:abstractNum w:abstractNumId="41">
    <w:multiLevelType w:val="hybridMultilevel"/>
    <w:lvl w:ilvl="0">
      <w:start w:val="0"/>
      <w:numFmt w:val="bullet"/>
      <w:lvlText w:val="✓"/>
      <w:lvlJc w:val="left"/>
      <w:pPr>
        <w:ind w:left="90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325" w:hanging="708"/>
      </w:pPr>
      <w:rPr>
        <w:rFonts w:hint="default"/>
        <w:lang w:val="es-ES" w:eastAsia="es-ES" w:bidi="es-ES"/>
      </w:rPr>
    </w:lvl>
    <w:lvl w:ilvl="2">
      <w:start w:val="0"/>
      <w:numFmt w:val="bullet"/>
      <w:lvlText w:val="•"/>
      <w:lvlJc w:val="left"/>
      <w:pPr>
        <w:ind w:left="1751" w:hanging="708"/>
      </w:pPr>
      <w:rPr>
        <w:rFonts w:hint="default"/>
        <w:lang w:val="es-ES" w:eastAsia="es-ES" w:bidi="es-ES"/>
      </w:rPr>
    </w:lvl>
    <w:lvl w:ilvl="3">
      <w:start w:val="0"/>
      <w:numFmt w:val="bullet"/>
      <w:lvlText w:val="•"/>
      <w:lvlJc w:val="left"/>
      <w:pPr>
        <w:ind w:left="2177" w:hanging="708"/>
      </w:pPr>
      <w:rPr>
        <w:rFonts w:hint="default"/>
        <w:lang w:val="es-ES" w:eastAsia="es-ES" w:bidi="es-ES"/>
      </w:rPr>
    </w:lvl>
    <w:lvl w:ilvl="4">
      <w:start w:val="0"/>
      <w:numFmt w:val="bullet"/>
      <w:lvlText w:val="•"/>
      <w:lvlJc w:val="left"/>
      <w:pPr>
        <w:ind w:left="2602" w:hanging="708"/>
      </w:pPr>
      <w:rPr>
        <w:rFonts w:hint="default"/>
        <w:lang w:val="es-ES" w:eastAsia="es-ES" w:bidi="es-ES"/>
      </w:rPr>
    </w:lvl>
    <w:lvl w:ilvl="5">
      <w:start w:val="0"/>
      <w:numFmt w:val="bullet"/>
      <w:lvlText w:val="•"/>
      <w:lvlJc w:val="left"/>
      <w:pPr>
        <w:ind w:left="3028" w:hanging="708"/>
      </w:pPr>
      <w:rPr>
        <w:rFonts w:hint="default"/>
        <w:lang w:val="es-ES" w:eastAsia="es-ES" w:bidi="es-ES"/>
      </w:rPr>
    </w:lvl>
    <w:lvl w:ilvl="6">
      <w:start w:val="0"/>
      <w:numFmt w:val="bullet"/>
      <w:lvlText w:val="•"/>
      <w:lvlJc w:val="left"/>
      <w:pPr>
        <w:ind w:left="3454" w:hanging="708"/>
      </w:pPr>
      <w:rPr>
        <w:rFonts w:hint="default"/>
        <w:lang w:val="es-ES" w:eastAsia="es-ES" w:bidi="es-ES"/>
      </w:rPr>
    </w:lvl>
    <w:lvl w:ilvl="7">
      <w:start w:val="0"/>
      <w:numFmt w:val="bullet"/>
      <w:lvlText w:val="•"/>
      <w:lvlJc w:val="left"/>
      <w:pPr>
        <w:ind w:left="3879" w:hanging="708"/>
      </w:pPr>
      <w:rPr>
        <w:rFonts w:hint="default"/>
        <w:lang w:val="es-ES" w:eastAsia="es-ES" w:bidi="es-ES"/>
      </w:rPr>
    </w:lvl>
    <w:lvl w:ilvl="8">
      <w:start w:val="0"/>
      <w:numFmt w:val="bullet"/>
      <w:lvlText w:val="•"/>
      <w:lvlJc w:val="left"/>
      <w:pPr>
        <w:ind w:left="4305" w:hanging="708"/>
      </w:pPr>
      <w:rPr>
        <w:rFonts w:hint="default"/>
        <w:lang w:val="es-ES" w:eastAsia="es-ES" w:bidi="es-ES"/>
      </w:rPr>
    </w:lvl>
  </w:abstractNum>
  <w:abstractNum w:abstractNumId="40">
    <w:multiLevelType w:val="hybridMultilevel"/>
    <w:lvl w:ilvl="0">
      <w:start w:val="0"/>
      <w:numFmt w:val="bullet"/>
      <w:lvlText w:val="✓"/>
      <w:lvlJc w:val="left"/>
      <w:pPr>
        <w:ind w:left="78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217" w:hanging="708"/>
      </w:pPr>
      <w:rPr>
        <w:rFonts w:hint="default"/>
        <w:lang w:val="es-ES" w:eastAsia="es-ES" w:bidi="es-ES"/>
      </w:rPr>
    </w:lvl>
    <w:lvl w:ilvl="2">
      <w:start w:val="0"/>
      <w:numFmt w:val="bullet"/>
      <w:lvlText w:val="•"/>
      <w:lvlJc w:val="left"/>
      <w:pPr>
        <w:ind w:left="1655" w:hanging="708"/>
      </w:pPr>
      <w:rPr>
        <w:rFonts w:hint="default"/>
        <w:lang w:val="es-ES" w:eastAsia="es-ES" w:bidi="es-ES"/>
      </w:rPr>
    </w:lvl>
    <w:lvl w:ilvl="3">
      <w:start w:val="0"/>
      <w:numFmt w:val="bullet"/>
      <w:lvlText w:val="•"/>
      <w:lvlJc w:val="left"/>
      <w:pPr>
        <w:ind w:left="2093" w:hanging="708"/>
      </w:pPr>
      <w:rPr>
        <w:rFonts w:hint="default"/>
        <w:lang w:val="es-ES" w:eastAsia="es-ES" w:bidi="es-ES"/>
      </w:rPr>
    </w:lvl>
    <w:lvl w:ilvl="4">
      <w:start w:val="0"/>
      <w:numFmt w:val="bullet"/>
      <w:lvlText w:val="•"/>
      <w:lvlJc w:val="left"/>
      <w:pPr>
        <w:ind w:left="2530" w:hanging="708"/>
      </w:pPr>
      <w:rPr>
        <w:rFonts w:hint="default"/>
        <w:lang w:val="es-ES" w:eastAsia="es-ES" w:bidi="es-ES"/>
      </w:rPr>
    </w:lvl>
    <w:lvl w:ilvl="5">
      <w:start w:val="0"/>
      <w:numFmt w:val="bullet"/>
      <w:lvlText w:val="•"/>
      <w:lvlJc w:val="left"/>
      <w:pPr>
        <w:ind w:left="2968" w:hanging="708"/>
      </w:pPr>
      <w:rPr>
        <w:rFonts w:hint="default"/>
        <w:lang w:val="es-ES" w:eastAsia="es-ES" w:bidi="es-ES"/>
      </w:rPr>
    </w:lvl>
    <w:lvl w:ilvl="6">
      <w:start w:val="0"/>
      <w:numFmt w:val="bullet"/>
      <w:lvlText w:val="•"/>
      <w:lvlJc w:val="left"/>
      <w:pPr>
        <w:ind w:left="3406" w:hanging="708"/>
      </w:pPr>
      <w:rPr>
        <w:rFonts w:hint="default"/>
        <w:lang w:val="es-ES" w:eastAsia="es-ES" w:bidi="es-ES"/>
      </w:rPr>
    </w:lvl>
    <w:lvl w:ilvl="7">
      <w:start w:val="0"/>
      <w:numFmt w:val="bullet"/>
      <w:lvlText w:val="•"/>
      <w:lvlJc w:val="left"/>
      <w:pPr>
        <w:ind w:left="3843" w:hanging="708"/>
      </w:pPr>
      <w:rPr>
        <w:rFonts w:hint="default"/>
        <w:lang w:val="es-ES" w:eastAsia="es-ES" w:bidi="es-ES"/>
      </w:rPr>
    </w:lvl>
    <w:lvl w:ilvl="8">
      <w:start w:val="0"/>
      <w:numFmt w:val="bullet"/>
      <w:lvlText w:val="•"/>
      <w:lvlJc w:val="left"/>
      <w:pPr>
        <w:ind w:left="4281" w:hanging="708"/>
      </w:pPr>
      <w:rPr>
        <w:rFonts w:hint="default"/>
        <w:lang w:val="es-ES" w:eastAsia="es-ES" w:bidi="es-ES"/>
      </w:rPr>
    </w:lvl>
  </w:abstractNum>
  <w:abstractNum w:abstractNumId="39">
    <w:multiLevelType w:val="hybridMultilevel"/>
    <w:lvl w:ilvl="0">
      <w:start w:val="0"/>
      <w:numFmt w:val="bullet"/>
      <w:lvlText w:val="✓"/>
      <w:lvlJc w:val="left"/>
      <w:pPr>
        <w:ind w:left="907" w:hanging="708"/>
      </w:pPr>
      <w:rPr>
        <w:rFonts w:hint="default" w:ascii="MS Gothic" w:hAnsi="MS Gothic" w:eastAsia="MS Gothic" w:cs="MS Gothic"/>
        <w:w w:val="100"/>
        <w:sz w:val="21"/>
        <w:szCs w:val="21"/>
        <w:lang w:val="es-ES" w:eastAsia="es-ES" w:bidi="es-ES"/>
      </w:rPr>
    </w:lvl>
    <w:lvl w:ilvl="1">
      <w:start w:val="0"/>
      <w:numFmt w:val="bullet"/>
      <w:lvlText w:val="•"/>
      <w:lvlJc w:val="left"/>
      <w:pPr>
        <w:ind w:left="1325" w:hanging="708"/>
      </w:pPr>
      <w:rPr>
        <w:rFonts w:hint="default"/>
        <w:lang w:val="es-ES" w:eastAsia="es-ES" w:bidi="es-ES"/>
      </w:rPr>
    </w:lvl>
    <w:lvl w:ilvl="2">
      <w:start w:val="0"/>
      <w:numFmt w:val="bullet"/>
      <w:lvlText w:val="•"/>
      <w:lvlJc w:val="left"/>
      <w:pPr>
        <w:ind w:left="1751" w:hanging="708"/>
      </w:pPr>
      <w:rPr>
        <w:rFonts w:hint="default"/>
        <w:lang w:val="es-ES" w:eastAsia="es-ES" w:bidi="es-ES"/>
      </w:rPr>
    </w:lvl>
    <w:lvl w:ilvl="3">
      <w:start w:val="0"/>
      <w:numFmt w:val="bullet"/>
      <w:lvlText w:val="•"/>
      <w:lvlJc w:val="left"/>
      <w:pPr>
        <w:ind w:left="2177" w:hanging="708"/>
      </w:pPr>
      <w:rPr>
        <w:rFonts w:hint="default"/>
        <w:lang w:val="es-ES" w:eastAsia="es-ES" w:bidi="es-ES"/>
      </w:rPr>
    </w:lvl>
    <w:lvl w:ilvl="4">
      <w:start w:val="0"/>
      <w:numFmt w:val="bullet"/>
      <w:lvlText w:val="•"/>
      <w:lvlJc w:val="left"/>
      <w:pPr>
        <w:ind w:left="2602" w:hanging="708"/>
      </w:pPr>
      <w:rPr>
        <w:rFonts w:hint="default"/>
        <w:lang w:val="es-ES" w:eastAsia="es-ES" w:bidi="es-ES"/>
      </w:rPr>
    </w:lvl>
    <w:lvl w:ilvl="5">
      <w:start w:val="0"/>
      <w:numFmt w:val="bullet"/>
      <w:lvlText w:val="•"/>
      <w:lvlJc w:val="left"/>
      <w:pPr>
        <w:ind w:left="3028" w:hanging="708"/>
      </w:pPr>
      <w:rPr>
        <w:rFonts w:hint="default"/>
        <w:lang w:val="es-ES" w:eastAsia="es-ES" w:bidi="es-ES"/>
      </w:rPr>
    </w:lvl>
    <w:lvl w:ilvl="6">
      <w:start w:val="0"/>
      <w:numFmt w:val="bullet"/>
      <w:lvlText w:val="•"/>
      <w:lvlJc w:val="left"/>
      <w:pPr>
        <w:ind w:left="3454" w:hanging="708"/>
      </w:pPr>
      <w:rPr>
        <w:rFonts w:hint="default"/>
        <w:lang w:val="es-ES" w:eastAsia="es-ES" w:bidi="es-ES"/>
      </w:rPr>
    </w:lvl>
    <w:lvl w:ilvl="7">
      <w:start w:val="0"/>
      <w:numFmt w:val="bullet"/>
      <w:lvlText w:val="•"/>
      <w:lvlJc w:val="left"/>
      <w:pPr>
        <w:ind w:left="3879" w:hanging="708"/>
      </w:pPr>
      <w:rPr>
        <w:rFonts w:hint="default"/>
        <w:lang w:val="es-ES" w:eastAsia="es-ES" w:bidi="es-ES"/>
      </w:rPr>
    </w:lvl>
    <w:lvl w:ilvl="8">
      <w:start w:val="0"/>
      <w:numFmt w:val="bullet"/>
      <w:lvlText w:val="•"/>
      <w:lvlJc w:val="left"/>
      <w:pPr>
        <w:ind w:left="4305" w:hanging="708"/>
      </w:pPr>
      <w:rPr>
        <w:rFonts w:hint="default"/>
        <w:lang w:val="es-ES" w:eastAsia="es-ES" w:bidi="es-ES"/>
      </w:rPr>
    </w:lvl>
  </w:abstractNum>
  <w:abstractNum w:abstractNumId="38">
    <w:multiLevelType w:val="hybridMultilevel"/>
    <w:lvl w:ilvl="0">
      <w:start w:val="4"/>
      <w:numFmt w:val="decimal"/>
      <w:lvlText w:val="%1"/>
      <w:lvlJc w:val="left"/>
      <w:pPr>
        <w:ind w:left="1566" w:hanging="665"/>
        <w:jc w:val="left"/>
      </w:pPr>
      <w:rPr>
        <w:rFonts w:hint="default"/>
        <w:lang w:val="es-ES" w:eastAsia="es-ES" w:bidi="es-ES"/>
      </w:rPr>
    </w:lvl>
    <w:lvl w:ilvl="1">
      <w:start w:val="0"/>
      <w:numFmt w:val="decimal"/>
      <w:lvlText w:val="%1.%2"/>
      <w:lvlJc w:val="left"/>
      <w:pPr>
        <w:ind w:left="1566" w:hanging="665"/>
        <w:jc w:val="left"/>
      </w:pPr>
      <w:rPr>
        <w:rFonts w:hint="default"/>
        <w:spacing w:val="-3"/>
        <w:w w:val="100"/>
        <w:lang w:val="es-ES" w:eastAsia="es-ES" w:bidi="es-ES"/>
      </w:rPr>
    </w:lvl>
    <w:lvl w:ilvl="2">
      <w:start w:val="1"/>
      <w:numFmt w:val="decimal"/>
      <w:lvlText w:val="%3."/>
      <w:lvlJc w:val="left"/>
      <w:pPr>
        <w:ind w:left="1621" w:hanging="360"/>
        <w:jc w:val="left"/>
      </w:pPr>
      <w:rPr>
        <w:rFonts w:hint="default" w:ascii="Century Gothic" w:hAnsi="Century Gothic" w:eastAsia="Century Gothic" w:cs="Century Gothic"/>
        <w:w w:val="100"/>
        <w:sz w:val="22"/>
        <w:szCs w:val="22"/>
        <w:lang w:val="es-ES" w:eastAsia="es-ES" w:bidi="es-ES"/>
      </w:rPr>
    </w:lvl>
    <w:lvl w:ilvl="3">
      <w:start w:val="0"/>
      <w:numFmt w:val="bullet"/>
      <w:lvlText w:val="•"/>
      <w:lvlJc w:val="left"/>
      <w:pPr>
        <w:ind w:left="3828" w:hanging="360"/>
      </w:pPr>
      <w:rPr>
        <w:rFonts w:hint="default"/>
        <w:lang w:val="es-ES" w:eastAsia="es-ES" w:bidi="es-ES"/>
      </w:rPr>
    </w:lvl>
    <w:lvl w:ilvl="4">
      <w:start w:val="0"/>
      <w:numFmt w:val="bullet"/>
      <w:lvlText w:val="•"/>
      <w:lvlJc w:val="left"/>
      <w:pPr>
        <w:ind w:left="4933" w:hanging="360"/>
      </w:pPr>
      <w:rPr>
        <w:rFonts w:hint="default"/>
        <w:lang w:val="es-ES" w:eastAsia="es-ES" w:bidi="es-ES"/>
      </w:rPr>
    </w:lvl>
    <w:lvl w:ilvl="5">
      <w:start w:val="0"/>
      <w:numFmt w:val="bullet"/>
      <w:lvlText w:val="•"/>
      <w:lvlJc w:val="left"/>
      <w:pPr>
        <w:ind w:left="6037" w:hanging="360"/>
      </w:pPr>
      <w:rPr>
        <w:rFonts w:hint="default"/>
        <w:lang w:val="es-ES" w:eastAsia="es-ES" w:bidi="es-ES"/>
      </w:rPr>
    </w:lvl>
    <w:lvl w:ilvl="6">
      <w:start w:val="0"/>
      <w:numFmt w:val="bullet"/>
      <w:lvlText w:val="•"/>
      <w:lvlJc w:val="left"/>
      <w:pPr>
        <w:ind w:left="7142" w:hanging="360"/>
      </w:pPr>
      <w:rPr>
        <w:rFonts w:hint="default"/>
        <w:lang w:val="es-ES" w:eastAsia="es-ES" w:bidi="es-ES"/>
      </w:rPr>
    </w:lvl>
    <w:lvl w:ilvl="7">
      <w:start w:val="0"/>
      <w:numFmt w:val="bullet"/>
      <w:lvlText w:val="•"/>
      <w:lvlJc w:val="left"/>
      <w:pPr>
        <w:ind w:left="8246" w:hanging="360"/>
      </w:pPr>
      <w:rPr>
        <w:rFonts w:hint="default"/>
        <w:lang w:val="es-ES" w:eastAsia="es-ES" w:bidi="es-ES"/>
      </w:rPr>
    </w:lvl>
    <w:lvl w:ilvl="8">
      <w:start w:val="0"/>
      <w:numFmt w:val="bullet"/>
      <w:lvlText w:val="•"/>
      <w:lvlJc w:val="left"/>
      <w:pPr>
        <w:ind w:left="9351" w:hanging="360"/>
      </w:pPr>
      <w:rPr>
        <w:rFonts w:hint="default"/>
        <w:lang w:val="es-ES" w:eastAsia="es-ES" w:bidi="es-ES"/>
      </w:rPr>
    </w:lvl>
  </w:abstractNum>
  <w:abstractNum w:abstractNumId="37">
    <w:multiLevelType w:val="hybridMultilevel"/>
    <w:lvl w:ilvl="0">
      <w:start w:val="0"/>
      <w:numFmt w:val="bullet"/>
      <w:lvlText w:val=""/>
      <w:lvlJc w:val="left"/>
      <w:pPr>
        <w:ind w:left="832" w:hanging="394"/>
      </w:pPr>
      <w:rPr>
        <w:rFonts w:hint="default"/>
        <w:w w:val="100"/>
        <w:lang w:val="es-ES" w:eastAsia="es-ES" w:bidi="es-ES"/>
      </w:rPr>
    </w:lvl>
    <w:lvl w:ilvl="1">
      <w:start w:val="0"/>
      <w:numFmt w:val="bullet"/>
      <w:lvlText w:val="•"/>
      <w:lvlJc w:val="left"/>
      <w:pPr>
        <w:ind w:left="1179" w:hanging="394"/>
      </w:pPr>
      <w:rPr>
        <w:rFonts w:hint="default"/>
        <w:lang w:val="es-ES" w:eastAsia="es-ES" w:bidi="es-ES"/>
      </w:rPr>
    </w:lvl>
    <w:lvl w:ilvl="2">
      <w:start w:val="0"/>
      <w:numFmt w:val="bullet"/>
      <w:lvlText w:val="•"/>
      <w:lvlJc w:val="left"/>
      <w:pPr>
        <w:ind w:left="1519" w:hanging="394"/>
      </w:pPr>
      <w:rPr>
        <w:rFonts w:hint="default"/>
        <w:lang w:val="es-ES" w:eastAsia="es-ES" w:bidi="es-ES"/>
      </w:rPr>
    </w:lvl>
    <w:lvl w:ilvl="3">
      <w:start w:val="0"/>
      <w:numFmt w:val="bullet"/>
      <w:lvlText w:val="•"/>
      <w:lvlJc w:val="left"/>
      <w:pPr>
        <w:ind w:left="1858" w:hanging="394"/>
      </w:pPr>
      <w:rPr>
        <w:rFonts w:hint="default"/>
        <w:lang w:val="es-ES" w:eastAsia="es-ES" w:bidi="es-ES"/>
      </w:rPr>
    </w:lvl>
    <w:lvl w:ilvl="4">
      <w:start w:val="0"/>
      <w:numFmt w:val="bullet"/>
      <w:lvlText w:val="•"/>
      <w:lvlJc w:val="left"/>
      <w:pPr>
        <w:ind w:left="2198" w:hanging="394"/>
      </w:pPr>
      <w:rPr>
        <w:rFonts w:hint="default"/>
        <w:lang w:val="es-ES" w:eastAsia="es-ES" w:bidi="es-ES"/>
      </w:rPr>
    </w:lvl>
    <w:lvl w:ilvl="5">
      <w:start w:val="0"/>
      <w:numFmt w:val="bullet"/>
      <w:lvlText w:val="•"/>
      <w:lvlJc w:val="left"/>
      <w:pPr>
        <w:ind w:left="2538" w:hanging="394"/>
      </w:pPr>
      <w:rPr>
        <w:rFonts w:hint="default"/>
        <w:lang w:val="es-ES" w:eastAsia="es-ES" w:bidi="es-ES"/>
      </w:rPr>
    </w:lvl>
    <w:lvl w:ilvl="6">
      <w:start w:val="0"/>
      <w:numFmt w:val="bullet"/>
      <w:lvlText w:val="•"/>
      <w:lvlJc w:val="left"/>
      <w:pPr>
        <w:ind w:left="2877" w:hanging="394"/>
      </w:pPr>
      <w:rPr>
        <w:rFonts w:hint="default"/>
        <w:lang w:val="es-ES" w:eastAsia="es-ES" w:bidi="es-ES"/>
      </w:rPr>
    </w:lvl>
    <w:lvl w:ilvl="7">
      <w:start w:val="0"/>
      <w:numFmt w:val="bullet"/>
      <w:lvlText w:val="•"/>
      <w:lvlJc w:val="left"/>
      <w:pPr>
        <w:ind w:left="3217" w:hanging="394"/>
      </w:pPr>
      <w:rPr>
        <w:rFonts w:hint="default"/>
        <w:lang w:val="es-ES" w:eastAsia="es-ES" w:bidi="es-ES"/>
      </w:rPr>
    </w:lvl>
    <w:lvl w:ilvl="8">
      <w:start w:val="0"/>
      <w:numFmt w:val="bullet"/>
      <w:lvlText w:val="•"/>
      <w:lvlJc w:val="left"/>
      <w:pPr>
        <w:ind w:left="3556" w:hanging="394"/>
      </w:pPr>
      <w:rPr>
        <w:rFonts w:hint="default"/>
        <w:lang w:val="es-ES" w:eastAsia="es-ES" w:bidi="es-ES"/>
      </w:rPr>
    </w:lvl>
  </w:abstractNum>
  <w:abstractNum w:abstractNumId="36">
    <w:multiLevelType w:val="hybridMultilevel"/>
    <w:lvl w:ilvl="0">
      <w:start w:val="1"/>
      <w:numFmt w:val="decimal"/>
      <w:lvlText w:val="%1."/>
      <w:lvlJc w:val="left"/>
      <w:pPr>
        <w:ind w:left="798" w:hanging="360"/>
        <w:jc w:val="left"/>
      </w:pPr>
      <w:rPr>
        <w:rFonts w:hint="default"/>
        <w:spacing w:val="-1"/>
        <w:w w:val="100"/>
        <w:lang w:val="es-ES" w:eastAsia="es-ES" w:bidi="es-ES"/>
      </w:rPr>
    </w:lvl>
    <w:lvl w:ilvl="1">
      <w:start w:val="0"/>
      <w:numFmt w:val="bullet"/>
      <w:lvlText w:val="•"/>
      <w:lvlJc w:val="left"/>
      <w:pPr>
        <w:ind w:left="1152" w:hanging="360"/>
      </w:pPr>
      <w:rPr>
        <w:rFonts w:hint="default"/>
        <w:lang w:val="es-ES" w:eastAsia="es-ES" w:bidi="es-ES"/>
      </w:rPr>
    </w:lvl>
    <w:lvl w:ilvl="2">
      <w:start w:val="0"/>
      <w:numFmt w:val="bullet"/>
      <w:lvlText w:val="•"/>
      <w:lvlJc w:val="left"/>
      <w:pPr>
        <w:ind w:left="1504" w:hanging="360"/>
      </w:pPr>
      <w:rPr>
        <w:rFonts w:hint="default"/>
        <w:lang w:val="es-ES" w:eastAsia="es-ES" w:bidi="es-ES"/>
      </w:rPr>
    </w:lvl>
    <w:lvl w:ilvl="3">
      <w:start w:val="0"/>
      <w:numFmt w:val="bullet"/>
      <w:lvlText w:val="•"/>
      <w:lvlJc w:val="left"/>
      <w:pPr>
        <w:ind w:left="1856" w:hanging="360"/>
      </w:pPr>
      <w:rPr>
        <w:rFonts w:hint="default"/>
        <w:lang w:val="es-ES" w:eastAsia="es-ES" w:bidi="es-ES"/>
      </w:rPr>
    </w:lvl>
    <w:lvl w:ilvl="4">
      <w:start w:val="0"/>
      <w:numFmt w:val="bullet"/>
      <w:lvlText w:val="•"/>
      <w:lvlJc w:val="left"/>
      <w:pPr>
        <w:ind w:left="2208" w:hanging="360"/>
      </w:pPr>
      <w:rPr>
        <w:rFonts w:hint="default"/>
        <w:lang w:val="es-ES" w:eastAsia="es-ES" w:bidi="es-ES"/>
      </w:rPr>
    </w:lvl>
    <w:lvl w:ilvl="5">
      <w:start w:val="0"/>
      <w:numFmt w:val="bullet"/>
      <w:lvlText w:val="•"/>
      <w:lvlJc w:val="left"/>
      <w:pPr>
        <w:ind w:left="2560" w:hanging="360"/>
      </w:pPr>
      <w:rPr>
        <w:rFonts w:hint="default"/>
        <w:lang w:val="es-ES" w:eastAsia="es-ES" w:bidi="es-ES"/>
      </w:rPr>
    </w:lvl>
    <w:lvl w:ilvl="6">
      <w:start w:val="0"/>
      <w:numFmt w:val="bullet"/>
      <w:lvlText w:val="•"/>
      <w:lvlJc w:val="left"/>
      <w:pPr>
        <w:ind w:left="2912" w:hanging="360"/>
      </w:pPr>
      <w:rPr>
        <w:rFonts w:hint="default"/>
        <w:lang w:val="es-ES" w:eastAsia="es-ES" w:bidi="es-ES"/>
      </w:rPr>
    </w:lvl>
    <w:lvl w:ilvl="7">
      <w:start w:val="0"/>
      <w:numFmt w:val="bullet"/>
      <w:lvlText w:val="•"/>
      <w:lvlJc w:val="left"/>
      <w:pPr>
        <w:ind w:left="3264" w:hanging="360"/>
      </w:pPr>
      <w:rPr>
        <w:rFonts w:hint="default"/>
        <w:lang w:val="es-ES" w:eastAsia="es-ES" w:bidi="es-ES"/>
      </w:rPr>
    </w:lvl>
    <w:lvl w:ilvl="8">
      <w:start w:val="0"/>
      <w:numFmt w:val="bullet"/>
      <w:lvlText w:val="•"/>
      <w:lvlJc w:val="left"/>
      <w:pPr>
        <w:ind w:left="3616" w:hanging="360"/>
      </w:pPr>
      <w:rPr>
        <w:rFonts w:hint="default"/>
        <w:lang w:val="es-ES" w:eastAsia="es-ES" w:bidi="es-ES"/>
      </w:rPr>
    </w:lvl>
  </w:abstractNum>
  <w:abstractNum w:abstractNumId="35">
    <w:multiLevelType w:val="hybridMultilevel"/>
    <w:lvl w:ilvl="0">
      <w:start w:val="0"/>
      <w:numFmt w:val="bullet"/>
      <w:lvlText w:val=""/>
      <w:lvlJc w:val="left"/>
      <w:pPr>
        <w:ind w:left="811" w:hanging="361"/>
      </w:pPr>
      <w:rPr>
        <w:rFonts w:hint="default"/>
        <w:w w:val="99"/>
        <w:lang w:val="es-ES" w:eastAsia="es-ES" w:bidi="es-ES"/>
      </w:rPr>
    </w:lvl>
    <w:lvl w:ilvl="1">
      <w:start w:val="0"/>
      <w:numFmt w:val="bullet"/>
      <w:lvlText w:val="•"/>
      <w:lvlJc w:val="left"/>
      <w:pPr>
        <w:ind w:left="1184" w:hanging="361"/>
      </w:pPr>
      <w:rPr>
        <w:rFonts w:hint="default"/>
        <w:lang w:val="es-ES" w:eastAsia="es-ES" w:bidi="es-ES"/>
      </w:rPr>
    </w:lvl>
    <w:lvl w:ilvl="2">
      <w:start w:val="0"/>
      <w:numFmt w:val="bullet"/>
      <w:lvlText w:val="•"/>
      <w:lvlJc w:val="left"/>
      <w:pPr>
        <w:ind w:left="1549" w:hanging="361"/>
      </w:pPr>
      <w:rPr>
        <w:rFonts w:hint="default"/>
        <w:lang w:val="es-ES" w:eastAsia="es-ES" w:bidi="es-ES"/>
      </w:rPr>
    </w:lvl>
    <w:lvl w:ilvl="3">
      <w:start w:val="0"/>
      <w:numFmt w:val="bullet"/>
      <w:lvlText w:val="•"/>
      <w:lvlJc w:val="left"/>
      <w:pPr>
        <w:ind w:left="1914" w:hanging="361"/>
      </w:pPr>
      <w:rPr>
        <w:rFonts w:hint="default"/>
        <w:lang w:val="es-ES" w:eastAsia="es-ES" w:bidi="es-ES"/>
      </w:rPr>
    </w:lvl>
    <w:lvl w:ilvl="4">
      <w:start w:val="0"/>
      <w:numFmt w:val="bullet"/>
      <w:lvlText w:val="•"/>
      <w:lvlJc w:val="left"/>
      <w:pPr>
        <w:ind w:left="2278" w:hanging="361"/>
      </w:pPr>
      <w:rPr>
        <w:rFonts w:hint="default"/>
        <w:lang w:val="es-ES" w:eastAsia="es-ES" w:bidi="es-ES"/>
      </w:rPr>
    </w:lvl>
    <w:lvl w:ilvl="5">
      <w:start w:val="0"/>
      <w:numFmt w:val="bullet"/>
      <w:lvlText w:val="•"/>
      <w:lvlJc w:val="left"/>
      <w:pPr>
        <w:ind w:left="2643" w:hanging="361"/>
      </w:pPr>
      <w:rPr>
        <w:rFonts w:hint="default"/>
        <w:lang w:val="es-ES" w:eastAsia="es-ES" w:bidi="es-ES"/>
      </w:rPr>
    </w:lvl>
    <w:lvl w:ilvl="6">
      <w:start w:val="0"/>
      <w:numFmt w:val="bullet"/>
      <w:lvlText w:val="•"/>
      <w:lvlJc w:val="left"/>
      <w:pPr>
        <w:ind w:left="3008" w:hanging="361"/>
      </w:pPr>
      <w:rPr>
        <w:rFonts w:hint="default"/>
        <w:lang w:val="es-ES" w:eastAsia="es-ES" w:bidi="es-ES"/>
      </w:rPr>
    </w:lvl>
    <w:lvl w:ilvl="7">
      <w:start w:val="0"/>
      <w:numFmt w:val="bullet"/>
      <w:lvlText w:val="•"/>
      <w:lvlJc w:val="left"/>
      <w:pPr>
        <w:ind w:left="3372" w:hanging="361"/>
      </w:pPr>
      <w:rPr>
        <w:rFonts w:hint="default"/>
        <w:lang w:val="es-ES" w:eastAsia="es-ES" w:bidi="es-ES"/>
      </w:rPr>
    </w:lvl>
    <w:lvl w:ilvl="8">
      <w:start w:val="0"/>
      <w:numFmt w:val="bullet"/>
      <w:lvlText w:val="•"/>
      <w:lvlJc w:val="left"/>
      <w:pPr>
        <w:ind w:left="3737" w:hanging="361"/>
      </w:pPr>
      <w:rPr>
        <w:rFonts w:hint="default"/>
        <w:lang w:val="es-ES" w:eastAsia="es-ES" w:bidi="es-ES"/>
      </w:rPr>
    </w:lvl>
  </w:abstractNum>
  <w:abstractNum w:abstractNumId="34">
    <w:multiLevelType w:val="hybridMultilevel"/>
    <w:lvl w:ilvl="0">
      <w:start w:val="0"/>
      <w:numFmt w:val="bullet"/>
      <w:lvlText w:val=""/>
      <w:lvlJc w:val="left"/>
      <w:pPr>
        <w:ind w:left="845" w:hanging="394"/>
      </w:pPr>
      <w:rPr>
        <w:rFonts w:hint="default"/>
        <w:w w:val="100"/>
        <w:lang w:val="es-ES" w:eastAsia="es-ES" w:bidi="es-ES"/>
      </w:rPr>
    </w:lvl>
    <w:lvl w:ilvl="1">
      <w:start w:val="0"/>
      <w:numFmt w:val="bullet"/>
      <w:lvlText w:val="•"/>
      <w:lvlJc w:val="left"/>
      <w:pPr>
        <w:ind w:left="1202" w:hanging="394"/>
      </w:pPr>
      <w:rPr>
        <w:rFonts w:hint="default"/>
        <w:lang w:val="es-ES" w:eastAsia="es-ES" w:bidi="es-ES"/>
      </w:rPr>
    </w:lvl>
    <w:lvl w:ilvl="2">
      <w:start w:val="0"/>
      <w:numFmt w:val="bullet"/>
      <w:lvlText w:val="•"/>
      <w:lvlJc w:val="left"/>
      <w:pPr>
        <w:ind w:left="1565" w:hanging="394"/>
      </w:pPr>
      <w:rPr>
        <w:rFonts w:hint="default"/>
        <w:lang w:val="es-ES" w:eastAsia="es-ES" w:bidi="es-ES"/>
      </w:rPr>
    </w:lvl>
    <w:lvl w:ilvl="3">
      <w:start w:val="0"/>
      <w:numFmt w:val="bullet"/>
      <w:lvlText w:val="•"/>
      <w:lvlJc w:val="left"/>
      <w:pPr>
        <w:ind w:left="1928" w:hanging="394"/>
      </w:pPr>
      <w:rPr>
        <w:rFonts w:hint="default"/>
        <w:lang w:val="es-ES" w:eastAsia="es-ES" w:bidi="es-ES"/>
      </w:rPr>
    </w:lvl>
    <w:lvl w:ilvl="4">
      <w:start w:val="0"/>
      <w:numFmt w:val="bullet"/>
      <w:lvlText w:val="•"/>
      <w:lvlJc w:val="left"/>
      <w:pPr>
        <w:ind w:left="2290" w:hanging="394"/>
      </w:pPr>
      <w:rPr>
        <w:rFonts w:hint="default"/>
        <w:lang w:val="es-ES" w:eastAsia="es-ES" w:bidi="es-ES"/>
      </w:rPr>
    </w:lvl>
    <w:lvl w:ilvl="5">
      <w:start w:val="0"/>
      <w:numFmt w:val="bullet"/>
      <w:lvlText w:val="•"/>
      <w:lvlJc w:val="left"/>
      <w:pPr>
        <w:ind w:left="2653" w:hanging="394"/>
      </w:pPr>
      <w:rPr>
        <w:rFonts w:hint="default"/>
        <w:lang w:val="es-ES" w:eastAsia="es-ES" w:bidi="es-ES"/>
      </w:rPr>
    </w:lvl>
    <w:lvl w:ilvl="6">
      <w:start w:val="0"/>
      <w:numFmt w:val="bullet"/>
      <w:lvlText w:val="•"/>
      <w:lvlJc w:val="left"/>
      <w:pPr>
        <w:ind w:left="3016" w:hanging="394"/>
      </w:pPr>
      <w:rPr>
        <w:rFonts w:hint="default"/>
        <w:lang w:val="es-ES" w:eastAsia="es-ES" w:bidi="es-ES"/>
      </w:rPr>
    </w:lvl>
    <w:lvl w:ilvl="7">
      <w:start w:val="0"/>
      <w:numFmt w:val="bullet"/>
      <w:lvlText w:val="•"/>
      <w:lvlJc w:val="left"/>
      <w:pPr>
        <w:ind w:left="3378" w:hanging="394"/>
      </w:pPr>
      <w:rPr>
        <w:rFonts w:hint="default"/>
        <w:lang w:val="es-ES" w:eastAsia="es-ES" w:bidi="es-ES"/>
      </w:rPr>
    </w:lvl>
    <w:lvl w:ilvl="8">
      <w:start w:val="0"/>
      <w:numFmt w:val="bullet"/>
      <w:lvlText w:val="•"/>
      <w:lvlJc w:val="left"/>
      <w:pPr>
        <w:ind w:left="3741" w:hanging="394"/>
      </w:pPr>
      <w:rPr>
        <w:rFonts w:hint="default"/>
        <w:lang w:val="es-ES" w:eastAsia="es-ES" w:bidi="es-ES"/>
      </w:rPr>
    </w:lvl>
  </w:abstractNum>
  <w:abstractNum w:abstractNumId="33">
    <w:multiLevelType w:val="hybridMultilevel"/>
    <w:lvl w:ilvl="0">
      <w:start w:val="0"/>
      <w:numFmt w:val="bullet"/>
      <w:lvlText w:val=""/>
      <w:lvlJc w:val="left"/>
      <w:pPr>
        <w:ind w:left="845" w:hanging="394"/>
      </w:pPr>
      <w:rPr>
        <w:rFonts w:hint="default"/>
        <w:w w:val="100"/>
        <w:lang w:val="es-ES" w:eastAsia="es-ES" w:bidi="es-ES"/>
      </w:rPr>
    </w:lvl>
    <w:lvl w:ilvl="1">
      <w:start w:val="0"/>
      <w:numFmt w:val="bullet"/>
      <w:lvlText w:val="•"/>
      <w:lvlJc w:val="left"/>
      <w:pPr>
        <w:ind w:left="1202" w:hanging="394"/>
      </w:pPr>
      <w:rPr>
        <w:rFonts w:hint="default"/>
        <w:lang w:val="es-ES" w:eastAsia="es-ES" w:bidi="es-ES"/>
      </w:rPr>
    </w:lvl>
    <w:lvl w:ilvl="2">
      <w:start w:val="0"/>
      <w:numFmt w:val="bullet"/>
      <w:lvlText w:val="•"/>
      <w:lvlJc w:val="left"/>
      <w:pPr>
        <w:ind w:left="1565" w:hanging="394"/>
      </w:pPr>
      <w:rPr>
        <w:rFonts w:hint="default"/>
        <w:lang w:val="es-ES" w:eastAsia="es-ES" w:bidi="es-ES"/>
      </w:rPr>
    </w:lvl>
    <w:lvl w:ilvl="3">
      <w:start w:val="0"/>
      <w:numFmt w:val="bullet"/>
      <w:lvlText w:val="•"/>
      <w:lvlJc w:val="left"/>
      <w:pPr>
        <w:ind w:left="1928" w:hanging="394"/>
      </w:pPr>
      <w:rPr>
        <w:rFonts w:hint="default"/>
        <w:lang w:val="es-ES" w:eastAsia="es-ES" w:bidi="es-ES"/>
      </w:rPr>
    </w:lvl>
    <w:lvl w:ilvl="4">
      <w:start w:val="0"/>
      <w:numFmt w:val="bullet"/>
      <w:lvlText w:val="•"/>
      <w:lvlJc w:val="left"/>
      <w:pPr>
        <w:ind w:left="2290" w:hanging="394"/>
      </w:pPr>
      <w:rPr>
        <w:rFonts w:hint="default"/>
        <w:lang w:val="es-ES" w:eastAsia="es-ES" w:bidi="es-ES"/>
      </w:rPr>
    </w:lvl>
    <w:lvl w:ilvl="5">
      <w:start w:val="0"/>
      <w:numFmt w:val="bullet"/>
      <w:lvlText w:val="•"/>
      <w:lvlJc w:val="left"/>
      <w:pPr>
        <w:ind w:left="2653" w:hanging="394"/>
      </w:pPr>
      <w:rPr>
        <w:rFonts w:hint="default"/>
        <w:lang w:val="es-ES" w:eastAsia="es-ES" w:bidi="es-ES"/>
      </w:rPr>
    </w:lvl>
    <w:lvl w:ilvl="6">
      <w:start w:val="0"/>
      <w:numFmt w:val="bullet"/>
      <w:lvlText w:val="•"/>
      <w:lvlJc w:val="left"/>
      <w:pPr>
        <w:ind w:left="3016" w:hanging="394"/>
      </w:pPr>
      <w:rPr>
        <w:rFonts w:hint="default"/>
        <w:lang w:val="es-ES" w:eastAsia="es-ES" w:bidi="es-ES"/>
      </w:rPr>
    </w:lvl>
    <w:lvl w:ilvl="7">
      <w:start w:val="0"/>
      <w:numFmt w:val="bullet"/>
      <w:lvlText w:val="•"/>
      <w:lvlJc w:val="left"/>
      <w:pPr>
        <w:ind w:left="3378" w:hanging="394"/>
      </w:pPr>
      <w:rPr>
        <w:rFonts w:hint="default"/>
        <w:lang w:val="es-ES" w:eastAsia="es-ES" w:bidi="es-ES"/>
      </w:rPr>
    </w:lvl>
    <w:lvl w:ilvl="8">
      <w:start w:val="0"/>
      <w:numFmt w:val="bullet"/>
      <w:lvlText w:val="•"/>
      <w:lvlJc w:val="left"/>
      <w:pPr>
        <w:ind w:left="3741" w:hanging="394"/>
      </w:pPr>
      <w:rPr>
        <w:rFonts w:hint="default"/>
        <w:lang w:val="es-ES" w:eastAsia="es-ES" w:bidi="es-ES"/>
      </w:rPr>
    </w:lvl>
  </w:abstractNum>
  <w:abstractNum w:abstractNumId="32">
    <w:multiLevelType w:val="hybridMultilevel"/>
    <w:lvl w:ilvl="0">
      <w:start w:val="0"/>
      <w:numFmt w:val="bullet"/>
      <w:lvlText w:val=""/>
      <w:lvlJc w:val="left"/>
      <w:pPr>
        <w:ind w:left="845" w:hanging="394"/>
      </w:pPr>
      <w:rPr>
        <w:rFonts w:hint="default"/>
        <w:w w:val="100"/>
        <w:lang w:val="es-ES" w:eastAsia="es-ES" w:bidi="es-ES"/>
      </w:rPr>
    </w:lvl>
    <w:lvl w:ilvl="1">
      <w:start w:val="0"/>
      <w:numFmt w:val="bullet"/>
      <w:lvlText w:val="•"/>
      <w:lvlJc w:val="left"/>
      <w:pPr>
        <w:ind w:left="1202" w:hanging="394"/>
      </w:pPr>
      <w:rPr>
        <w:rFonts w:hint="default"/>
        <w:lang w:val="es-ES" w:eastAsia="es-ES" w:bidi="es-ES"/>
      </w:rPr>
    </w:lvl>
    <w:lvl w:ilvl="2">
      <w:start w:val="0"/>
      <w:numFmt w:val="bullet"/>
      <w:lvlText w:val="•"/>
      <w:lvlJc w:val="left"/>
      <w:pPr>
        <w:ind w:left="1565" w:hanging="394"/>
      </w:pPr>
      <w:rPr>
        <w:rFonts w:hint="default"/>
        <w:lang w:val="es-ES" w:eastAsia="es-ES" w:bidi="es-ES"/>
      </w:rPr>
    </w:lvl>
    <w:lvl w:ilvl="3">
      <w:start w:val="0"/>
      <w:numFmt w:val="bullet"/>
      <w:lvlText w:val="•"/>
      <w:lvlJc w:val="left"/>
      <w:pPr>
        <w:ind w:left="1928" w:hanging="394"/>
      </w:pPr>
      <w:rPr>
        <w:rFonts w:hint="default"/>
        <w:lang w:val="es-ES" w:eastAsia="es-ES" w:bidi="es-ES"/>
      </w:rPr>
    </w:lvl>
    <w:lvl w:ilvl="4">
      <w:start w:val="0"/>
      <w:numFmt w:val="bullet"/>
      <w:lvlText w:val="•"/>
      <w:lvlJc w:val="left"/>
      <w:pPr>
        <w:ind w:left="2290" w:hanging="394"/>
      </w:pPr>
      <w:rPr>
        <w:rFonts w:hint="default"/>
        <w:lang w:val="es-ES" w:eastAsia="es-ES" w:bidi="es-ES"/>
      </w:rPr>
    </w:lvl>
    <w:lvl w:ilvl="5">
      <w:start w:val="0"/>
      <w:numFmt w:val="bullet"/>
      <w:lvlText w:val="•"/>
      <w:lvlJc w:val="left"/>
      <w:pPr>
        <w:ind w:left="2653" w:hanging="394"/>
      </w:pPr>
      <w:rPr>
        <w:rFonts w:hint="default"/>
        <w:lang w:val="es-ES" w:eastAsia="es-ES" w:bidi="es-ES"/>
      </w:rPr>
    </w:lvl>
    <w:lvl w:ilvl="6">
      <w:start w:val="0"/>
      <w:numFmt w:val="bullet"/>
      <w:lvlText w:val="•"/>
      <w:lvlJc w:val="left"/>
      <w:pPr>
        <w:ind w:left="3016" w:hanging="394"/>
      </w:pPr>
      <w:rPr>
        <w:rFonts w:hint="default"/>
        <w:lang w:val="es-ES" w:eastAsia="es-ES" w:bidi="es-ES"/>
      </w:rPr>
    </w:lvl>
    <w:lvl w:ilvl="7">
      <w:start w:val="0"/>
      <w:numFmt w:val="bullet"/>
      <w:lvlText w:val="•"/>
      <w:lvlJc w:val="left"/>
      <w:pPr>
        <w:ind w:left="3378" w:hanging="394"/>
      </w:pPr>
      <w:rPr>
        <w:rFonts w:hint="default"/>
        <w:lang w:val="es-ES" w:eastAsia="es-ES" w:bidi="es-ES"/>
      </w:rPr>
    </w:lvl>
    <w:lvl w:ilvl="8">
      <w:start w:val="0"/>
      <w:numFmt w:val="bullet"/>
      <w:lvlText w:val="•"/>
      <w:lvlJc w:val="left"/>
      <w:pPr>
        <w:ind w:left="3741" w:hanging="394"/>
      </w:pPr>
      <w:rPr>
        <w:rFonts w:hint="default"/>
        <w:lang w:val="es-ES" w:eastAsia="es-ES" w:bidi="es-ES"/>
      </w:rPr>
    </w:lvl>
  </w:abstractNum>
  <w:abstractNum w:abstractNumId="31">
    <w:multiLevelType w:val="hybridMultilevel"/>
    <w:lvl w:ilvl="0">
      <w:start w:val="0"/>
      <w:numFmt w:val="bullet"/>
      <w:lvlText w:val=""/>
      <w:lvlJc w:val="left"/>
      <w:pPr>
        <w:ind w:left="835" w:hanging="394"/>
      </w:pPr>
      <w:rPr>
        <w:rFonts w:hint="default"/>
        <w:w w:val="100"/>
        <w:lang w:val="es-ES" w:eastAsia="es-ES" w:bidi="es-ES"/>
      </w:rPr>
    </w:lvl>
    <w:lvl w:ilvl="1">
      <w:start w:val="0"/>
      <w:numFmt w:val="bullet"/>
      <w:lvlText w:val="•"/>
      <w:lvlJc w:val="left"/>
      <w:pPr>
        <w:ind w:left="1201" w:hanging="394"/>
      </w:pPr>
      <w:rPr>
        <w:rFonts w:hint="default"/>
        <w:lang w:val="es-ES" w:eastAsia="es-ES" w:bidi="es-ES"/>
      </w:rPr>
    </w:lvl>
    <w:lvl w:ilvl="2">
      <w:start w:val="0"/>
      <w:numFmt w:val="bullet"/>
      <w:lvlText w:val="•"/>
      <w:lvlJc w:val="left"/>
      <w:pPr>
        <w:ind w:left="1563" w:hanging="394"/>
      </w:pPr>
      <w:rPr>
        <w:rFonts w:hint="default"/>
        <w:lang w:val="es-ES" w:eastAsia="es-ES" w:bidi="es-ES"/>
      </w:rPr>
    </w:lvl>
    <w:lvl w:ilvl="3">
      <w:start w:val="0"/>
      <w:numFmt w:val="bullet"/>
      <w:lvlText w:val="•"/>
      <w:lvlJc w:val="left"/>
      <w:pPr>
        <w:ind w:left="1925" w:hanging="394"/>
      </w:pPr>
      <w:rPr>
        <w:rFonts w:hint="default"/>
        <w:lang w:val="es-ES" w:eastAsia="es-ES" w:bidi="es-ES"/>
      </w:rPr>
    </w:lvl>
    <w:lvl w:ilvl="4">
      <w:start w:val="0"/>
      <w:numFmt w:val="bullet"/>
      <w:lvlText w:val="•"/>
      <w:lvlJc w:val="left"/>
      <w:pPr>
        <w:ind w:left="2286" w:hanging="394"/>
      </w:pPr>
      <w:rPr>
        <w:rFonts w:hint="default"/>
        <w:lang w:val="es-ES" w:eastAsia="es-ES" w:bidi="es-ES"/>
      </w:rPr>
    </w:lvl>
    <w:lvl w:ilvl="5">
      <w:start w:val="0"/>
      <w:numFmt w:val="bullet"/>
      <w:lvlText w:val="•"/>
      <w:lvlJc w:val="left"/>
      <w:pPr>
        <w:ind w:left="2648" w:hanging="394"/>
      </w:pPr>
      <w:rPr>
        <w:rFonts w:hint="default"/>
        <w:lang w:val="es-ES" w:eastAsia="es-ES" w:bidi="es-ES"/>
      </w:rPr>
    </w:lvl>
    <w:lvl w:ilvl="6">
      <w:start w:val="0"/>
      <w:numFmt w:val="bullet"/>
      <w:lvlText w:val="•"/>
      <w:lvlJc w:val="left"/>
      <w:pPr>
        <w:ind w:left="3010" w:hanging="394"/>
      </w:pPr>
      <w:rPr>
        <w:rFonts w:hint="default"/>
        <w:lang w:val="es-ES" w:eastAsia="es-ES" w:bidi="es-ES"/>
      </w:rPr>
    </w:lvl>
    <w:lvl w:ilvl="7">
      <w:start w:val="0"/>
      <w:numFmt w:val="bullet"/>
      <w:lvlText w:val="•"/>
      <w:lvlJc w:val="left"/>
      <w:pPr>
        <w:ind w:left="3371" w:hanging="394"/>
      </w:pPr>
      <w:rPr>
        <w:rFonts w:hint="default"/>
        <w:lang w:val="es-ES" w:eastAsia="es-ES" w:bidi="es-ES"/>
      </w:rPr>
    </w:lvl>
    <w:lvl w:ilvl="8">
      <w:start w:val="0"/>
      <w:numFmt w:val="bullet"/>
      <w:lvlText w:val="•"/>
      <w:lvlJc w:val="left"/>
      <w:pPr>
        <w:ind w:left="3733" w:hanging="394"/>
      </w:pPr>
      <w:rPr>
        <w:rFonts w:hint="default"/>
        <w:lang w:val="es-ES" w:eastAsia="es-ES" w:bidi="es-ES"/>
      </w:rPr>
    </w:lvl>
  </w:abstractNum>
  <w:abstractNum w:abstractNumId="30">
    <w:multiLevelType w:val="hybridMultilevel"/>
    <w:lvl w:ilvl="0">
      <w:start w:val="6"/>
      <w:numFmt w:val="decimal"/>
      <w:lvlText w:val="%1."/>
      <w:lvlJc w:val="left"/>
      <w:pPr>
        <w:ind w:left="798" w:hanging="360"/>
        <w:jc w:val="left"/>
      </w:pPr>
      <w:rPr>
        <w:rFonts w:hint="default" w:ascii="Corbel" w:hAnsi="Corbel" w:eastAsia="Corbel" w:cs="Corbel"/>
        <w:spacing w:val="0"/>
        <w:w w:val="99"/>
        <w:sz w:val="20"/>
        <w:szCs w:val="20"/>
        <w:lang w:val="es-ES" w:eastAsia="es-ES" w:bidi="es-ES"/>
      </w:rPr>
    </w:lvl>
    <w:lvl w:ilvl="1">
      <w:start w:val="0"/>
      <w:numFmt w:val="bullet"/>
      <w:lvlText w:val="•"/>
      <w:lvlJc w:val="left"/>
      <w:pPr>
        <w:ind w:left="1175" w:hanging="360"/>
      </w:pPr>
      <w:rPr>
        <w:rFonts w:hint="default"/>
        <w:lang w:val="es-ES" w:eastAsia="es-ES" w:bidi="es-ES"/>
      </w:rPr>
    </w:lvl>
    <w:lvl w:ilvl="2">
      <w:start w:val="0"/>
      <w:numFmt w:val="bullet"/>
      <w:lvlText w:val="•"/>
      <w:lvlJc w:val="left"/>
      <w:pPr>
        <w:ind w:left="1551" w:hanging="360"/>
      </w:pPr>
      <w:rPr>
        <w:rFonts w:hint="default"/>
        <w:lang w:val="es-ES" w:eastAsia="es-ES" w:bidi="es-ES"/>
      </w:rPr>
    </w:lvl>
    <w:lvl w:ilvl="3">
      <w:start w:val="0"/>
      <w:numFmt w:val="bullet"/>
      <w:lvlText w:val="•"/>
      <w:lvlJc w:val="left"/>
      <w:pPr>
        <w:ind w:left="1927" w:hanging="360"/>
      </w:pPr>
      <w:rPr>
        <w:rFonts w:hint="default"/>
        <w:lang w:val="es-ES" w:eastAsia="es-ES" w:bidi="es-ES"/>
      </w:rPr>
    </w:lvl>
    <w:lvl w:ilvl="4">
      <w:start w:val="0"/>
      <w:numFmt w:val="bullet"/>
      <w:lvlText w:val="•"/>
      <w:lvlJc w:val="left"/>
      <w:pPr>
        <w:ind w:left="2302" w:hanging="360"/>
      </w:pPr>
      <w:rPr>
        <w:rFonts w:hint="default"/>
        <w:lang w:val="es-ES" w:eastAsia="es-ES" w:bidi="es-ES"/>
      </w:rPr>
    </w:lvl>
    <w:lvl w:ilvl="5">
      <w:start w:val="0"/>
      <w:numFmt w:val="bullet"/>
      <w:lvlText w:val="•"/>
      <w:lvlJc w:val="left"/>
      <w:pPr>
        <w:ind w:left="2678" w:hanging="360"/>
      </w:pPr>
      <w:rPr>
        <w:rFonts w:hint="default"/>
        <w:lang w:val="es-ES" w:eastAsia="es-ES" w:bidi="es-ES"/>
      </w:rPr>
    </w:lvl>
    <w:lvl w:ilvl="6">
      <w:start w:val="0"/>
      <w:numFmt w:val="bullet"/>
      <w:lvlText w:val="•"/>
      <w:lvlJc w:val="left"/>
      <w:pPr>
        <w:ind w:left="3054" w:hanging="360"/>
      </w:pPr>
      <w:rPr>
        <w:rFonts w:hint="default"/>
        <w:lang w:val="es-ES" w:eastAsia="es-ES" w:bidi="es-ES"/>
      </w:rPr>
    </w:lvl>
    <w:lvl w:ilvl="7">
      <w:start w:val="0"/>
      <w:numFmt w:val="bullet"/>
      <w:lvlText w:val="•"/>
      <w:lvlJc w:val="left"/>
      <w:pPr>
        <w:ind w:left="3429" w:hanging="360"/>
      </w:pPr>
      <w:rPr>
        <w:rFonts w:hint="default"/>
        <w:lang w:val="es-ES" w:eastAsia="es-ES" w:bidi="es-ES"/>
      </w:rPr>
    </w:lvl>
    <w:lvl w:ilvl="8">
      <w:start w:val="0"/>
      <w:numFmt w:val="bullet"/>
      <w:lvlText w:val="•"/>
      <w:lvlJc w:val="left"/>
      <w:pPr>
        <w:ind w:left="3805" w:hanging="360"/>
      </w:pPr>
      <w:rPr>
        <w:rFonts w:hint="default"/>
        <w:lang w:val="es-ES" w:eastAsia="es-ES" w:bidi="es-ES"/>
      </w:rPr>
    </w:lvl>
  </w:abstractNum>
  <w:abstractNum w:abstractNumId="29">
    <w:multiLevelType w:val="hybridMultilevel"/>
    <w:lvl w:ilvl="0">
      <w:start w:val="1"/>
      <w:numFmt w:val="decimal"/>
      <w:lvlText w:val="%1."/>
      <w:lvlJc w:val="left"/>
      <w:pPr>
        <w:ind w:left="798" w:hanging="360"/>
        <w:jc w:val="left"/>
      </w:pPr>
      <w:rPr>
        <w:rFonts w:hint="default"/>
        <w:spacing w:val="-1"/>
        <w:w w:val="99"/>
        <w:lang w:val="es-ES" w:eastAsia="es-ES" w:bidi="es-ES"/>
      </w:rPr>
    </w:lvl>
    <w:lvl w:ilvl="1">
      <w:start w:val="0"/>
      <w:numFmt w:val="bullet"/>
      <w:lvlText w:val="•"/>
      <w:lvlJc w:val="left"/>
      <w:pPr>
        <w:ind w:left="1175" w:hanging="360"/>
      </w:pPr>
      <w:rPr>
        <w:rFonts w:hint="default"/>
        <w:lang w:val="es-ES" w:eastAsia="es-ES" w:bidi="es-ES"/>
      </w:rPr>
    </w:lvl>
    <w:lvl w:ilvl="2">
      <w:start w:val="0"/>
      <w:numFmt w:val="bullet"/>
      <w:lvlText w:val="•"/>
      <w:lvlJc w:val="left"/>
      <w:pPr>
        <w:ind w:left="1551" w:hanging="360"/>
      </w:pPr>
      <w:rPr>
        <w:rFonts w:hint="default"/>
        <w:lang w:val="es-ES" w:eastAsia="es-ES" w:bidi="es-ES"/>
      </w:rPr>
    </w:lvl>
    <w:lvl w:ilvl="3">
      <w:start w:val="0"/>
      <w:numFmt w:val="bullet"/>
      <w:lvlText w:val="•"/>
      <w:lvlJc w:val="left"/>
      <w:pPr>
        <w:ind w:left="1927" w:hanging="360"/>
      </w:pPr>
      <w:rPr>
        <w:rFonts w:hint="default"/>
        <w:lang w:val="es-ES" w:eastAsia="es-ES" w:bidi="es-ES"/>
      </w:rPr>
    </w:lvl>
    <w:lvl w:ilvl="4">
      <w:start w:val="0"/>
      <w:numFmt w:val="bullet"/>
      <w:lvlText w:val="•"/>
      <w:lvlJc w:val="left"/>
      <w:pPr>
        <w:ind w:left="2302" w:hanging="360"/>
      </w:pPr>
      <w:rPr>
        <w:rFonts w:hint="default"/>
        <w:lang w:val="es-ES" w:eastAsia="es-ES" w:bidi="es-ES"/>
      </w:rPr>
    </w:lvl>
    <w:lvl w:ilvl="5">
      <w:start w:val="0"/>
      <w:numFmt w:val="bullet"/>
      <w:lvlText w:val="•"/>
      <w:lvlJc w:val="left"/>
      <w:pPr>
        <w:ind w:left="2678" w:hanging="360"/>
      </w:pPr>
      <w:rPr>
        <w:rFonts w:hint="default"/>
        <w:lang w:val="es-ES" w:eastAsia="es-ES" w:bidi="es-ES"/>
      </w:rPr>
    </w:lvl>
    <w:lvl w:ilvl="6">
      <w:start w:val="0"/>
      <w:numFmt w:val="bullet"/>
      <w:lvlText w:val="•"/>
      <w:lvlJc w:val="left"/>
      <w:pPr>
        <w:ind w:left="3054" w:hanging="360"/>
      </w:pPr>
      <w:rPr>
        <w:rFonts w:hint="default"/>
        <w:lang w:val="es-ES" w:eastAsia="es-ES" w:bidi="es-ES"/>
      </w:rPr>
    </w:lvl>
    <w:lvl w:ilvl="7">
      <w:start w:val="0"/>
      <w:numFmt w:val="bullet"/>
      <w:lvlText w:val="•"/>
      <w:lvlJc w:val="left"/>
      <w:pPr>
        <w:ind w:left="3429" w:hanging="360"/>
      </w:pPr>
      <w:rPr>
        <w:rFonts w:hint="default"/>
        <w:lang w:val="es-ES" w:eastAsia="es-ES" w:bidi="es-ES"/>
      </w:rPr>
    </w:lvl>
    <w:lvl w:ilvl="8">
      <w:start w:val="0"/>
      <w:numFmt w:val="bullet"/>
      <w:lvlText w:val="•"/>
      <w:lvlJc w:val="left"/>
      <w:pPr>
        <w:ind w:left="3805" w:hanging="360"/>
      </w:pPr>
      <w:rPr>
        <w:rFonts w:hint="default"/>
        <w:lang w:val="es-ES" w:eastAsia="es-ES" w:bidi="es-ES"/>
      </w:rPr>
    </w:lvl>
  </w:abstractNum>
  <w:abstractNum w:abstractNumId="28">
    <w:multiLevelType w:val="hybridMultilevel"/>
    <w:lvl w:ilvl="0">
      <w:start w:val="0"/>
      <w:numFmt w:val="bullet"/>
      <w:lvlText w:val="-"/>
      <w:lvlJc w:val="left"/>
      <w:pPr>
        <w:ind w:left="462" w:hanging="123"/>
      </w:pPr>
      <w:rPr>
        <w:rFonts w:hint="default" w:ascii="Century Gothic" w:hAnsi="Century Gothic" w:eastAsia="Century Gothic" w:cs="Century Gothic"/>
        <w:w w:val="99"/>
        <w:sz w:val="20"/>
        <w:szCs w:val="20"/>
        <w:lang w:val="es-ES" w:eastAsia="es-ES" w:bidi="es-ES"/>
      </w:rPr>
    </w:lvl>
    <w:lvl w:ilvl="1">
      <w:start w:val="0"/>
      <w:numFmt w:val="bullet"/>
      <w:lvlText w:val="•"/>
      <w:lvlJc w:val="left"/>
      <w:pPr>
        <w:ind w:left="780" w:hanging="123"/>
      </w:pPr>
      <w:rPr>
        <w:rFonts w:hint="default"/>
        <w:lang w:val="es-ES" w:eastAsia="es-ES" w:bidi="es-ES"/>
      </w:rPr>
    </w:lvl>
    <w:lvl w:ilvl="2">
      <w:start w:val="0"/>
      <w:numFmt w:val="bullet"/>
      <w:lvlText w:val="•"/>
      <w:lvlJc w:val="left"/>
      <w:pPr>
        <w:ind w:left="1072" w:hanging="123"/>
      </w:pPr>
      <w:rPr>
        <w:rFonts w:hint="default"/>
        <w:lang w:val="es-ES" w:eastAsia="es-ES" w:bidi="es-ES"/>
      </w:rPr>
    </w:lvl>
    <w:lvl w:ilvl="3">
      <w:start w:val="0"/>
      <w:numFmt w:val="bullet"/>
      <w:lvlText w:val="•"/>
      <w:lvlJc w:val="left"/>
      <w:pPr>
        <w:ind w:left="1364" w:hanging="123"/>
      </w:pPr>
      <w:rPr>
        <w:rFonts w:hint="default"/>
        <w:lang w:val="es-ES" w:eastAsia="es-ES" w:bidi="es-ES"/>
      </w:rPr>
    </w:lvl>
    <w:lvl w:ilvl="4">
      <w:start w:val="0"/>
      <w:numFmt w:val="bullet"/>
      <w:lvlText w:val="•"/>
      <w:lvlJc w:val="left"/>
      <w:pPr>
        <w:ind w:left="1656" w:hanging="123"/>
      </w:pPr>
      <w:rPr>
        <w:rFonts w:hint="default"/>
        <w:lang w:val="es-ES" w:eastAsia="es-ES" w:bidi="es-ES"/>
      </w:rPr>
    </w:lvl>
    <w:lvl w:ilvl="5">
      <w:start w:val="0"/>
      <w:numFmt w:val="bullet"/>
      <w:lvlText w:val="•"/>
      <w:lvlJc w:val="left"/>
      <w:pPr>
        <w:ind w:left="1948" w:hanging="123"/>
      </w:pPr>
      <w:rPr>
        <w:rFonts w:hint="default"/>
        <w:lang w:val="es-ES" w:eastAsia="es-ES" w:bidi="es-ES"/>
      </w:rPr>
    </w:lvl>
    <w:lvl w:ilvl="6">
      <w:start w:val="0"/>
      <w:numFmt w:val="bullet"/>
      <w:lvlText w:val="•"/>
      <w:lvlJc w:val="left"/>
      <w:pPr>
        <w:ind w:left="2240" w:hanging="123"/>
      </w:pPr>
      <w:rPr>
        <w:rFonts w:hint="default"/>
        <w:lang w:val="es-ES" w:eastAsia="es-ES" w:bidi="es-ES"/>
      </w:rPr>
    </w:lvl>
    <w:lvl w:ilvl="7">
      <w:start w:val="0"/>
      <w:numFmt w:val="bullet"/>
      <w:lvlText w:val="•"/>
      <w:lvlJc w:val="left"/>
      <w:pPr>
        <w:ind w:left="2532" w:hanging="123"/>
      </w:pPr>
      <w:rPr>
        <w:rFonts w:hint="default"/>
        <w:lang w:val="es-ES" w:eastAsia="es-ES" w:bidi="es-ES"/>
      </w:rPr>
    </w:lvl>
    <w:lvl w:ilvl="8">
      <w:start w:val="0"/>
      <w:numFmt w:val="bullet"/>
      <w:lvlText w:val="•"/>
      <w:lvlJc w:val="left"/>
      <w:pPr>
        <w:ind w:left="2824" w:hanging="123"/>
      </w:pPr>
      <w:rPr>
        <w:rFonts w:hint="default"/>
        <w:lang w:val="es-ES" w:eastAsia="es-ES" w:bidi="es-ES"/>
      </w:rPr>
    </w:lvl>
  </w:abstractNum>
  <w:abstractNum w:abstractNumId="27">
    <w:multiLevelType w:val="hybridMultilevel"/>
    <w:lvl w:ilvl="0">
      <w:start w:val="1"/>
      <w:numFmt w:val="decimal"/>
      <w:lvlText w:val="%1."/>
      <w:lvlJc w:val="left"/>
      <w:pPr>
        <w:ind w:left="306" w:hanging="219"/>
        <w:jc w:val="left"/>
      </w:pPr>
      <w:rPr>
        <w:rFonts w:hint="default" w:ascii="Century Gothic" w:hAnsi="Century Gothic" w:eastAsia="Century Gothic" w:cs="Century Gothic"/>
        <w:w w:val="99"/>
        <w:sz w:val="20"/>
        <w:szCs w:val="20"/>
        <w:lang w:val="es-ES" w:eastAsia="es-ES" w:bidi="es-ES"/>
      </w:rPr>
    </w:lvl>
    <w:lvl w:ilvl="1">
      <w:start w:val="0"/>
      <w:numFmt w:val="bullet"/>
      <w:lvlText w:val="•"/>
      <w:lvlJc w:val="left"/>
      <w:pPr>
        <w:ind w:left="616" w:hanging="219"/>
      </w:pPr>
      <w:rPr>
        <w:rFonts w:hint="default"/>
        <w:lang w:val="es-ES" w:eastAsia="es-ES" w:bidi="es-ES"/>
      </w:rPr>
    </w:lvl>
    <w:lvl w:ilvl="2">
      <w:start w:val="0"/>
      <w:numFmt w:val="bullet"/>
      <w:lvlText w:val="•"/>
      <w:lvlJc w:val="left"/>
      <w:pPr>
        <w:ind w:left="933" w:hanging="219"/>
      </w:pPr>
      <w:rPr>
        <w:rFonts w:hint="default"/>
        <w:lang w:val="es-ES" w:eastAsia="es-ES" w:bidi="es-ES"/>
      </w:rPr>
    </w:lvl>
    <w:lvl w:ilvl="3">
      <w:start w:val="0"/>
      <w:numFmt w:val="bullet"/>
      <w:lvlText w:val="•"/>
      <w:lvlJc w:val="left"/>
      <w:pPr>
        <w:ind w:left="1250" w:hanging="219"/>
      </w:pPr>
      <w:rPr>
        <w:rFonts w:hint="default"/>
        <w:lang w:val="es-ES" w:eastAsia="es-ES" w:bidi="es-ES"/>
      </w:rPr>
    </w:lvl>
    <w:lvl w:ilvl="4">
      <w:start w:val="0"/>
      <w:numFmt w:val="bullet"/>
      <w:lvlText w:val="•"/>
      <w:lvlJc w:val="left"/>
      <w:pPr>
        <w:ind w:left="1567" w:hanging="219"/>
      </w:pPr>
      <w:rPr>
        <w:rFonts w:hint="default"/>
        <w:lang w:val="es-ES" w:eastAsia="es-ES" w:bidi="es-ES"/>
      </w:rPr>
    </w:lvl>
    <w:lvl w:ilvl="5">
      <w:start w:val="0"/>
      <w:numFmt w:val="bullet"/>
      <w:lvlText w:val="•"/>
      <w:lvlJc w:val="left"/>
      <w:pPr>
        <w:ind w:left="1884" w:hanging="219"/>
      </w:pPr>
      <w:rPr>
        <w:rFonts w:hint="default"/>
        <w:lang w:val="es-ES" w:eastAsia="es-ES" w:bidi="es-ES"/>
      </w:rPr>
    </w:lvl>
    <w:lvl w:ilvl="6">
      <w:start w:val="0"/>
      <w:numFmt w:val="bullet"/>
      <w:lvlText w:val="•"/>
      <w:lvlJc w:val="left"/>
      <w:pPr>
        <w:ind w:left="2200" w:hanging="219"/>
      </w:pPr>
      <w:rPr>
        <w:rFonts w:hint="default"/>
        <w:lang w:val="es-ES" w:eastAsia="es-ES" w:bidi="es-ES"/>
      </w:rPr>
    </w:lvl>
    <w:lvl w:ilvl="7">
      <w:start w:val="0"/>
      <w:numFmt w:val="bullet"/>
      <w:lvlText w:val="•"/>
      <w:lvlJc w:val="left"/>
      <w:pPr>
        <w:ind w:left="2517" w:hanging="219"/>
      </w:pPr>
      <w:rPr>
        <w:rFonts w:hint="default"/>
        <w:lang w:val="es-ES" w:eastAsia="es-ES" w:bidi="es-ES"/>
      </w:rPr>
    </w:lvl>
    <w:lvl w:ilvl="8">
      <w:start w:val="0"/>
      <w:numFmt w:val="bullet"/>
      <w:lvlText w:val="•"/>
      <w:lvlJc w:val="left"/>
      <w:pPr>
        <w:ind w:left="2834" w:hanging="219"/>
      </w:pPr>
      <w:rPr>
        <w:rFonts w:hint="default"/>
        <w:lang w:val="es-ES" w:eastAsia="es-ES" w:bidi="es-ES"/>
      </w:rPr>
    </w:lvl>
  </w:abstractNum>
  <w:abstractNum w:abstractNumId="26">
    <w:multiLevelType w:val="hybridMultilevel"/>
    <w:lvl w:ilvl="0">
      <w:start w:val="3"/>
      <w:numFmt w:val="decimal"/>
      <w:lvlText w:val="%1"/>
      <w:lvlJc w:val="left"/>
      <w:pPr>
        <w:ind w:left="1566" w:hanging="665"/>
        <w:jc w:val="left"/>
      </w:pPr>
      <w:rPr>
        <w:rFonts w:hint="default"/>
        <w:lang w:val="es-ES" w:eastAsia="es-ES" w:bidi="es-ES"/>
      </w:rPr>
    </w:lvl>
    <w:lvl w:ilvl="1">
      <w:start w:val="0"/>
      <w:numFmt w:val="decimal"/>
      <w:lvlText w:val="%1.%2"/>
      <w:lvlJc w:val="left"/>
      <w:pPr>
        <w:ind w:left="1566" w:hanging="665"/>
        <w:jc w:val="left"/>
      </w:pPr>
      <w:rPr>
        <w:rFonts w:hint="default"/>
        <w:spacing w:val="-3"/>
        <w:w w:val="100"/>
        <w:lang w:val="es-ES" w:eastAsia="es-ES" w:bidi="es-ES"/>
      </w:rPr>
    </w:lvl>
    <w:lvl w:ilvl="2">
      <w:start w:val="0"/>
      <w:numFmt w:val="bullet"/>
      <w:lvlText w:val="✓"/>
      <w:lvlJc w:val="left"/>
      <w:pPr>
        <w:ind w:left="1621" w:hanging="360"/>
      </w:pPr>
      <w:rPr>
        <w:rFonts w:hint="default"/>
        <w:w w:val="100"/>
        <w:lang w:val="es-ES" w:eastAsia="es-ES" w:bidi="es-ES"/>
      </w:rPr>
    </w:lvl>
    <w:lvl w:ilvl="3">
      <w:start w:val="0"/>
      <w:numFmt w:val="bullet"/>
      <w:lvlText w:val="•"/>
      <w:lvlJc w:val="left"/>
      <w:pPr>
        <w:ind w:left="3828" w:hanging="360"/>
      </w:pPr>
      <w:rPr>
        <w:rFonts w:hint="default"/>
        <w:lang w:val="es-ES" w:eastAsia="es-ES" w:bidi="es-ES"/>
      </w:rPr>
    </w:lvl>
    <w:lvl w:ilvl="4">
      <w:start w:val="0"/>
      <w:numFmt w:val="bullet"/>
      <w:lvlText w:val="•"/>
      <w:lvlJc w:val="left"/>
      <w:pPr>
        <w:ind w:left="4933" w:hanging="360"/>
      </w:pPr>
      <w:rPr>
        <w:rFonts w:hint="default"/>
        <w:lang w:val="es-ES" w:eastAsia="es-ES" w:bidi="es-ES"/>
      </w:rPr>
    </w:lvl>
    <w:lvl w:ilvl="5">
      <w:start w:val="0"/>
      <w:numFmt w:val="bullet"/>
      <w:lvlText w:val="•"/>
      <w:lvlJc w:val="left"/>
      <w:pPr>
        <w:ind w:left="6037" w:hanging="360"/>
      </w:pPr>
      <w:rPr>
        <w:rFonts w:hint="default"/>
        <w:lang w:val="es-ES" w:eastAsia="es-ES" w:bidi="es-ES"/>
      </w:rPr>
    </w:lvl>
    <w:lvl w:ilvl="6">
      <w:start w:val="0"/>
      <w:numFmt w:val="bullet"/>
      <w:lvlText w:val="•"/>
      <w:lvlJc w:val="left"/>
      <w:pPr>
        <w:ind w:left="7142" w:hanging="360"/>
      </w:pPr>
      <w:rPr>
        <w:rFonts w:hint="default"/>
        <w:lang w:val="es-ES" w:eastAsia="es-ES" w:bidi="es-ES"/>
      </w:rPr>
    </w:lvl>
    <w:lvl w:ilvl="7">
      <w:start w:val="0"/>
      <w:numFmt w:val="bullet"/>
      <w:lvlText w:val="•"/>
      <w:lvlJc w:val="left"/>
      <w:pPr>
        <w:ind w:left="8246" w:hanging="360"/>
      </w:pPr>
      <w:rPr>
        <w:rFonts w:hint="default"/>
        <w:lang w:val="es-ES" w:eastAsia="es-ES" w:bidi="es-ES"/>
      </w:rPr>
    </w:lvl>
    <w:lvl w:ilvl="8">
      <w:start w:val="0"/>
      <w:numFmt w:val="bullet"/>
      <w:lvlText w:val="•"/>
      <w:lvlJc w:val="left"/>
      <w:pPr>
        <w:ind w:left="9351" w:hanging="360"/>
      </w:pPr>
      <w:rPr>
        <w:rFonts w:hint="default"/>
        <w:lang w:val="es-ES" w:eastAsia="es-ES" w:bidi="es-ES"/>
      </w:rPr>
    </w:lvl>
  </w:abstractNum>
  <w:abstractNum w:abstractNumId="25">
    <w:multiLevelType w:val="hybridMultilevel"/>
    <w:lvl w:ilvl="0">
      <w:start w:val="0"/>
      <w:numFmt w:val="bullet"/>
      <w:lvlText w:val=""/>
      <w:lvlJc w:val="left"/>
      <w:pPr>
        <w:ind w:left="834" w:hanging="394"/>
      </w:pPr>
      <w:rPr>
        <w:rFonts w:hint="default"/>
        <w:w w:val="100"/>
        <w:lang w:val="es-ES" w:eastAsia="es-ES" w:bidi="es-ES"/>
      </w:rPr>
    </w:lvl>
    <w:lvl w:ilvl="1">
      <w:start w:val="0"/>
      <w:numFmt w:val="bullet"/>
      <w:lvlText w:val="•"/>
      <w:lvlJc w:val="left"/>
      <w:pPr>
        <w:ind w:left="1206" w:hanging="394"/>
      </w:pPr>
      <w:rPr>
        <w:rFonts w:hint="default"/>
        <w:lang w:val="es-ES" w:eastAsia="es-ES" w:bidi="es-ES"/>
      </w:rPr>
    </w:lvl>
    <w:lvl w:ilvl="2">
      <w:start w:val="0"/>
      <w:numFmt w:val="bullet"/>
      <w:lvlText w:val="•"/>
      <w:lvlJc w:val="left"/>
      <w:pPr>
        <w:ind w:left="1572" w:hanging="394"/>
      </w:pPr>
      <w:rPr>
        <w:rFonts w:hint="default"/>
        <w:lang w:val="es-ES" w:eastAsia="es-ES" w:bidi="es-ES"/>
      </w:rPr>
    </w:lvl>
    <w:lvl w:ilvl="3">
      <w:start w:val="0"/>
      <w:numFmt w:val="bullet"/>
      <w:lvlText w:val="•"/>
      <w:lvlJc w:val="left"/>
      <w:pPr>
        <w:ind w:left="1938" w:hanging="394"/>
      </w:pPr>
      <w:rPr>
        <w:rFonts w:hint="default"/>
        <w:lang w:val="es-ES" w:eastAsia="es-ES" w:bidi="es-ES"/>
      </w:rPr>
    </w:lvl>
    <w:lvl w:ilvl="4">
      <w:start w:val="0"/>
      <w:numFmt w:val="bullet"/>
      <w:lvlText w:val="•"/>
      <w:lvlJc w:val="left"/>
      <w:pPr>
        <w:ind w:left="2304" w:hanging="394"/>
      </w:pPr>
      <w:rPr>
        <w:rFonts w:hint="default"/>
        <w:lang w:val="es-ES" w:eastAsia="es-ES" w:bidi="es-ES"/>
      </w:rPr>
    </w:lvl>
    <w:lvl w:ilvl="5">
      <w:start w:val="0"/>
      <w:numFmt w:val="bullet"/>
      <w:lvlText w:val="•"/>
      <w:lvlJc w:val="left"/>
      <w:pPr>
        <w:ind w:left="2670" w:hanging="394"/>
      </w:pPr>
      <w:rPr>
        <w:rFonts w:hint="default"/>
        <w:lang w:val="es-ES" w:eastAsia="es-ES" w:bidi="es-ES"/>
      </w:rPr>
    </w:lvl>
    <w:lvl w:ilvl="6">
      <w:start w:val="0"/>
      <w:numFmt w:val="bullet"/>
      <w:lvlText w:val="•"/>
      <w:lvlJc w:val="left"/>
      <w:pPr>
        <w:ind w:left="3036" w:hanging="394"/>
      </w:pPr>
      <w:rPr>
        <w:rFonts w:hint="default"/>
        <w:lang w:val="es-ES" w:eastAsia="es-ES" w:bidi="es-ES"/>
      </w:rPr>
    </w:lvl>
    <w:lvl w:ilvl="7">
      <w:start w:val="0"/>
      <w:numFmt w:val="bullet"/>
      <w:lvlText w:val="•"/>
      <w:lvlJc w:val="left"/>
      <w:pPr>
        <w:ind w:left="3402" w:hanging="394"/>
      </w:pPr>
      <w:rPr>
        <w:rFonts w:hint="default"/>
        <w:lang w:val="es-ES" w:eastAsia="es-ES" w:bidi="es-ES"/>
      </w:rPr>
    </w:lvl>
    <w:lvl w:ilvl="8">
      <w:start w:val="0"/>
      <w:numFmt w:val="bullet"/>
      <w:lvlText w:val="•"/>
      <w:lvlJc w:val="left"/>
      <w:pPr>
        <w:ind w:left="3768" w:hanging="394"/>
      </w:pPr>
      <w:rPr>
        <w:rFonts w:hint="default"/>
        <w:lang w:val="es-ES" w:eastAsia="es-ES" w:bidi="es-ES"/>
      </w:rPr>
    </w:lvl>
  </w:abstractNum>
  <w:abstractNum w:abstractNumId="24">
    <w:multiLevelType w:val="hybridMultilevel"/>
    <w:lvl w:ilvl="0">
      <w:start w:val="0"/>
      <w:numFmt w:val="bullet"/>
      <w:lvlText w:val=""/>
      <w:lvlJc w:val="left"/>
      <w:pPr>
        <w:ind w:left="832" w:hanging="394"/>
      </w:pPr>
      <w:rPr>
        <w:rFonts w:hint="default"/>
        <w:w w:val="100"/>
        <w:lang w:val="es-ES" w:eastAsia="es-ES" w:bidi="es-ES"/>
      </w:rPr>
    </w:lvl>
    <w:lvl w:ilvl="1">
      <w:start w:val="0"/>
      <w:numFmt w:val="bullet"/>
      <w:lvlText w:val="•"/>
      <w:lvlJc w:val="left"/>
      <w:pPr>
        <w:ind w:left="1240" w:hanging="394"/>
      </w:pPr>
      <w:rPr>
        <w:rFonts w:hint="default"/>
        <w:lang w:val="es-ES" w:eastAsia="es-ES" w:bidi="es-ES"/>
      </w:rPr>
    </w:lvl>
    <w:lvl w:ilvl="2">
      <w:start w:val="0"/>
      <w:numFmt w:val="bullet"/>
      <w:lvlText w:val="•"/>
      <w:lvlJc w:val="left"/>
      <w:pPr>
        <w:ind w:left="1640" w:hanging="394"/>
      </w:pPr>
      <w:rPr>
        <w:rFonts w:hint="default"/>
        <w:lang w:val="es-ES" w:eastAsia="es-ES" w:bidi="es-ES"/>
      </w:rPr>
    </w:lvl>
    <w:lvl w:ilvl="3">
      <w:start w:val="0"/>
      <w:numFmt w:val="bullet"/>
      <w:lvlText w:val="•"/>
      <w:lvlJc w:val="left"/>
      <w:pPr>
        <w:ind w:left="2040" w:hanging="394"/>
      </w:pPr>
      <w:rPr>
        <w:rFonts w:hint="default"/>
        <w:lang w:val="es-ES" w:eastAsia="es-ES" w:bidi="es-ES"/>
      </w:rPr>
    </w:lvl>
    <w:lvl w:ilvl="4">
      <w:start w:val="0"/>
      <w:numFmt w:val="bullet"/>
      <w:lvlText w:val="•"/>
      <w:lvlJc w:val="left"/>
      <w:pPr>
        <w:ind w:left="2440" w:hanging="394"/>
      </w:pPr>
      <w:rPr>
        <w:rFonts w:hint="default"/>
        <w:lang w:val="es-ES" w:eastAsia="es-ES" w:bidi="es-ES"/>
      </w:rPr>
    </w:lvl>
    <w:lvl w:ilvl="5">
      <w:start w:val="0"/>
      <w:numFmt w:val="bullet"/>
      <w:lvlText w:val="•"/>
      <w:lvlJc w:val="left"/>
      <w:pPr>
        <w:ind w:left="2840" w:hanging="394"/>
      </w:pPr>
      <w:rPr>
        <w:rFonts w:hint="default"/>
        <w:lang w:val="es-ES" w:eastAsia="es-ES" w:bidi="es-ES"/>
      </w:rPr>
    </w:lvl>
    <w:lvl w:ilvl="6">
      <w:start w:val="0"/>
      <w:numFmt w:val="bullet"/>
      <w:lvlText w:val="•"/>
      <w:lvlJc w:val="left"/>
      <w:pPr>
        <w:ind w:left="3240" w:hanging="394"/>
      </w:pPr>
      <w:rPr>
        <w:rFonts w:hint="default"/>
        <w:lang w:val="es-ES" w:eastAsia="es-ES" w:bidi="es-ES"/>
      </w:rPr>
    </w:lvl>
    <w:lvl w:ilvl="7">
      <w:start w:val="0"/>
      <w:numFmt w:val="bullet"/>
      <w:lvlText w:val="•"/>
      <w:lvlJc w:val="left"/>
      <w:pPr>
        <w:ind w:left="3640" w:hanging="394"/>
      </w:pPr>
      <w:rPr>
        <w:rFonts w:hint="default"/>
        <w:lang w:val="es-ES" w:eastAsia="es-ES" w:bidi="es-ES"/>
      </w:rPr>
    </w:lvl>
    <w:lvl w:ilvl="8">
      <w:start w:val="0"/>
      <w:numFmt w:val="bullet"/>
      <w:lvlText w:val="•"/>
      <w:lvlJc w:val="left"/>
      <w:pPr>
        <w:ind w:left="4040" w:hanging="394"/>
      </w:pPr>
      <w:rPr>
        <w:rFonts w:hint="default"/>
        <w:lang w:val="es-ES" w:eastAsia="es-ES" w:bidi="es-ES"/>
      </w:rPr>
    </w:lvl>
  </w:abstractNum>
  <w:abstractNum w:abstractNumId="23">
    <w:multiLevelType w:val="hybridMultilevel"/>
    <w:lvl w:ilvl="0">
      <w:start w:val="6"/>
      <w:numFmt w:val="decimal"/>
      <w:lvlText w:val="%1."/>
      <w:lvlJc w:val="left"/>
      <w:pPr>
        <w:ind w:left="798" w:hanging="360"/>
        <w:jc w:val="left"/>
      </w:pPr>
      <w:rPr>
        <w:rFonts w:hint="default"/>
        <w:spacing w:val="-3"/>
        <w:w w:val="100"/>
        <w:lang w:val="es-ES" w:eastAsia="es-ES" w:bidi="es-ES"/>
      </w:rPr>
    </w:lvl>
    <w:lvl w:ilvl="1">
      <w:start w:val="0"/>
      <w:numFmt w:val="bullet"/>
      <w:lvlText w:val="•"/>
      <w:lvlJc w:val="left"/>
      <w:pPr>
        <w:ind w:left="1153" w:hanging="360"/>
      </w:pPr>
      <w:rPr>
        <w:rFonts w:hint="default"/>
        <w:lang w:val="es-ES" w:eastAsia="es-ES" w:bidi="es-ES"/>
      </w:rPr>
    </w:lvl>
    <w:lvl w:ilvl="2">
      <w:start w:val="0"/>
      <w:numFmt w:val="bullet"/>
      <w:lvlText w:val="•"/>
      <w:lvlJc w:val="left"/>
      <w:pPr>
        <w:ind w:left="1506" w:hanging="360"/>
      </w:pPr>
      <w:rPr>
        <w:rFonts w:hint="default"/>
        <w:lang w:val="es-ES" w:eastAsia="es-ES" w:bidi="es-ES"/>
      </w:rPr>
    </w:lvl>
    <w:lvl w:ilvl="3">
      <w:start w:val="0"/>
      <w:numFmt w:val="bullet"/>
      <w:lvlText w:val="•"/>
      <w:lvlJc w:val="left"/>
      <w:pPr>
        <w:ind w:left="1859" w:hanging="360"/>
      </w:pPr>
      <w:rPr>
        <w:rFonts w:hint="default"/>
        <w:lang w:val="es-ES" w:eastAsia="es-ES" w:bidi="es-ES"/>
      </w:rPr>
    </w:lvl>
    <w:lvl w:ilvl="4">
      <w:start w:val="0"/>
      <w:numFmt w:val="bullet"/>
      <w:lvlText w:val="•"/>
      <w:lvlJc w:val="left"/>
      <w:pPr>
        <w:ind w:left="2212" w:hanging="360"/>
      </w:pPr>
      <w:rPr>
        <w:rFonts w:hint="default"/>
        <w:lang w:val="es-ES" w:eastAsia="es-ES" w:bidi="es-ES"/>
      </w:rPr>
    </w:lvl>
    <w:lvl w:ilvl="5">
      <w:start w:val="0"/>
      <w:numFmt w:val="bullet"/>
      <w:lvlText w:val="•"/>
      <w:lvlJc w:val="left"/>
      <w:pPr>
        <w:ind w:left="2566" w:hanging="360"/>
      </w:pPr>
      <w:rPr>
        <w:rFonts w:hint="default"/>
        <w:lang w:val="es-ES" w:eastAsia="es-ES" w:bidi="es-ES"/>
      </w:rPr>
    </w:lvl>
    <w:lvl w:ilvl="6">
      <w:start w:val="0"/>
      <w:numFmt w:val="bullet"/>
      <w:lvlText w:val="•"/>
      <w:lvlJc w:val="left"/>
      <w:pPr>
        <w:ind w:left="2919" w:hanging="360"/>
      </w:pPr>
      <w:rPr>
        <w:rFonts w:hint="default"/>
        <w:lang w:val="es-ES" w:eastAsia="es-ES" w:bidi="es-ES"/>
      </w:rPr>
    </w:lvl>
    <w:lvl w:ilvl="7">
      <w:start w:val="0"/>
      <w:numFmt w:val="bullet"/>
      <w:lvlText w:val="•"/>
      <w:lvlJc w:val="left"/>
      <w:pPr>
        <w:ind w:left="3272" w:hanging="360"/>
      </w:pPr>
      <w:rPr>
        <w:rFonts w:hint="default"/>
        <w:lang w:val="es-ES" w:eastAsia="es-ES" w:bidi="es-ES"/>
      </w:rPr>
    </w:lvl>
    <w:lvl w:ilvl="8">
      <w:start w:val="0"/>
      <w:numFmt w:val="bullet"/>
      <w:lvlText w:val="•"/>
      <w:lvlJc w:val="left"/>
      <w:pPr>
        <w:ind w:left="3625" w:hanging="360"/>
      </w:pPr>
      <w:rPr>
        <w:rFonts w:hint="default"/>
        <w:lang w:val="es-ES" w:eastAsia="es-ES" w:bidi="es-ES"/>
      </w:rPr>
    </w:lvl>
  </w:abstractNum>
  <w:abstractNum w:abstractNumId="22">
    <w:multiLevelType w:val="hybridMultilevel"/>
    <w:lvl w:ilvl="0">
      <w:start w:val="1"/>
      <w:numFmt w:val="decimal"/>
      <w:lvlText w:val="%1."/>
      <w:lvlJc w:val="left"/>
      <w:pPr>
        <w:ind w:left="798" w:hanging="360"/>
        <w:jc w:val="left"/>
      </w:pPr>
      <w:rPr>
        <w:rFonts w:hint="default"/>
        <w:lang w:val="es-ES" w:eastAsia="es-ES" w:bidi="es-ES"/>
      </w:rPr>
    </w:lvl>
    <w:lvl w:ilvl="1">
      <w:start w:val="0"/>
      <w:numFmt w:val="bullet"/>
      <w:lvlText w:val="•"/>
      <w:lvlJc w:val="left"/>
      <w:pPr>
        <w:ind w:left="1153" w:hanging="360"/>
      </w:pPr>
      <w:rPr>
        <w:rFonts w:hint="default"/>
        <w:lang w:val="es-ES" w:eastAsia="es-ES" w:bidi="es-ES"/>
      </w:rPr>
    </w:lvl>
    <w:lvl w:ilvl="2">
      <w:start w:val="0"/>
      <w:numFmt w:val="bullet"/>
      <w:lvlText w:val="•"/>
      <w:lvlJc w:val="left"/>
      <w:pPr>
        <w:ind w:left="1506" w:hanging="360"/>
      </w:pPr>
      <w:rPr>
        <w:rFonts w:hint="default"/>
        <w:lang w:val="es-ES" w:eastAsia="es-ES" w:bidi="es-ES"/>
      </w:rPr>
    </w:lvl>
    <w:lvl w:ilvl="3">
      <w:start w:val="0"/>
      <w:numFmt w:val="bullet"/>
      <w:lvlText w:val="•"/>
      <w:lvlJc w:val="left"/>
      <w:pPr>
        <w:ind w:left="1859" w:hanging="360"/>
      </w:pPr>
      <w:rPr>
        <w:rFonts w:hint="default"/>
        <w:lang w:val="es-ES" w:eastAsia="es-ES" w:bidi="es-ES"/>
      </w:rPr>
    </w:lvl>
    <w:lvl w:ilvl="4">
      <w:start w:val="0"/>
      <w:numFmt w:val="bullet"/>
      <w:lvlText w:val="•"/>
      <w:lvlJc w:val="left"/>
      <w:pPr>
        <w:ind w:left="2212" w:hanging="360"/>
      </w:pPr>
      <w:rPr>
        <w:rFonts w:hint="default"/>
        <w:lang w:val="es-ES" w:eastAsia="es-ES" w:bidi="es-ES"/>
      </w:rPr>
    </w:lvl>
    <w:lvl w:ilvl="5">
      <w:start w:val="0"/>
      <w:numFmt w:val="bullet"/>
      <w:lvlText w:val="•"/>
      <w:lvlJc w:val="left"/>
      <w:pPr>
        <w:ind w:left="2566" w:hanging="360"/>
      </w:pPr>
      <w:rPr>
        <w:rFonts w:hint="default"/>
        <w:lang w:val="es-ES" w:eastAsia="es-ES" w:bidi="es-ES"/>
      </w:rPr>
    </w:lvl>
    <w:lvl w:ilvl="6">
      <w:start w:val="0"/>
      <w:numFmt w:val="bullet"/>
      <w:lvlText w:val="•"/>
      <w:lvlJc w:val="left"/>
      <w:pPr>
        <w:ind w:left="2919" w:hanging="360"/>
      </w:pPr>
      <w:rPr>
        <w:rFonts w:hint="default"/>
        <w:lang w:val="es-ES" w:eastAsia="es-ES" w:bidi="es-ES"/>
      </w:rPr>
    </w:lvl>
    <w:lvl w:ilvl="7">
      <w:start w:val="0"/>
      <w:numFmt w:val="bullet"/>
      <w:lvlText w:val="•"/>
      <w:lvlJc w:val="left"/>
      <w:pPr>
        <w:ind w:left="3272" w:hanging="360"/>
      </w:pPr>
      <w:rPr>
        <w:rFonts w:hint="default"/>
        <w:lang w:val="es-ES" w:eastAsia="es-ES" w:bidi="es-ES"/>
      </w:rPr>
    </w:lvl>
    <w:lvl w:ilvl="8">
      <w:start w:val="0"/>
      <w:numFmt w:val="bullet"/>
      <w:lvlText w:val="•"/>
      <w:lvlJc w:val="left"/>
      <w:pPr>
        <w:ind w:left="3625" w:hanging="360"/>
      </w:pPr>
      <w:rPr>
        <w:rFonts w:hint="default"/>
        <w:lang w:val="es-ES" w:eastAsia="es-ES" w:bidi="es-ES"/>
      </w:rPr>
    </w:lvl>
  </w:abstractNum>
  <w:abstractNum w:abstractNumId="21">
    <w:multiLevelType w:val="hybridMultilevel"/>
    <w:lvl w:ilvl="0">
      <w:start w:val="0"/>
      <w:numFmt w:val="bullet"/>
      <w:lvlText w:val=""/>
      <w:lvlJc w:val="left"/>
      <w:pPr>
        <w:ind w:left="792" w:hanging="361"/>
      </w:pPr>
      <w:rPr>
        <w:rFonts w:hint="default" w:ascii="Symbol" w:hAnsi="Symbol" w:eastAsia="Symbol" w:cs="Symbol"/>
        <w:w w:val="99"/>
        <w:sz w:val="20"/>
        <w:szCs w:val="20"/>
        <w:lang w:val="es-ES" w:eastAsia="es-ES" w:bidi="es-ES"/>
      </w:rPr>
    </w:lvl>
    <w:lvl w:ilvl="1">
      <w:start w:val="0"/>
      <w:numFmt w:val="bullet"/>
      <w:lvlText w:val="•"/>
      <w:lvlJc w:val="left"/>
      <w:pPr>
        <w:ind w:left="1165" w:hanging="361"/>
      </w:pPr>
      <w:rPr>
        <w:rFonts w:hint="default"/>
        <w:lang w:val="es-ES" w:eastAsia="es-ES" w:bidi="es-ES"/>
      </w:rPr>
    </w:lvl>
    <w:lvl w:ilvl="2">
      <w:start w:val="0"/>
      <w:numFmt w:val="bullet"/>
      <w:lvlText w:val="•"/>
      <w:lvlJc w:val="left"/>
      <w:pPr>
        <w:ind w:left="1531" w:hanging="361"/>
      </w:pPr>
      <w:rPr>
        <w:rFonts w:hint="default"/>
        <w:lang w:val="es-ES" w:eastAsia="es-ES" w:bidi="es-ES"/>
      </w:rPr>
    </w:lvl>
    <w:lvl w:ilvl="3">
      <w:start w:val="0"/>
      <w:numFmt w:val="bullet"/>
      <w:lvlText w:val="•"/>
      <w:lvlJc w:val="left"/>
      <w:pPr>
        <w:ind w:left="1897" w:hanging="361"/>
      </w:pPr>
      <w:rPr>
        <w:rFonts w:hint="default"/>
        <w:lang w:val="es-ES" w:eastAsia="es-ES" w:bidi="es-ES"/>
      </w:rPr>
    </w:lvl>
    <w:lvl w:ilvl="4">
      <w:start w:val="0"/>
      <w:numFmt w:val="bullet"/>
      <w:lvlText w:val="•"/>
      <w:lvlJc w:val="left"/>
      <w:pPr>
        <w:ind w:left="2263" w:hanging="361"/>
      </w:pPr>
      <w:rPr>
        <w:rFonts w:hint="default"/>
        <w:lang w:val="es-ES" w:eastAsia="es-ES" w:bidi="es-ES"/>
      </w:rPr>
    </w:lvl>
    <w:lvl w:ilvl="5">
      <w:start w:val="0"/>
      <w:numFmt w:val="bullet"/>
      <w:lvlText w:val="•"/>
      <w:lvlJc w:val="left"/>
      <w:pPr>
        <w:ind w:left="2628" w:hanging="361"/>
      </w:pPr>
      <w:rPr>
        <w:rFonts w:hint="default"/>
        <w:lang w:val="es-ES" w:eastAsia="es-ES" w:bidi="es-ES"/>
      </w:rPr>
    </w:lvl>
    <w:lvl w:ilvl="6">
      <w:start w:val="0"/>
      <w:numFmt w:val="bullet"/>
      <w:lvlText w:val="•"/>
      <w:lvlJc w:val="left"/>
      <w:pPr>
        <w:ind w:left="2994" w:hanging="361"/>
      </w:pPr>
      <w:rPr>
        <w:rFonts w:hint="default"/>
        <w:lang w:val="es-ES" w:eastAsia="es-ES" w:bidi="es-ES"/>
      </w:rPr>
    </w:lvl>
    <w:lvl w:ilvl="7">
      <w:start w:val="0"/>
      <w:numFmt w:val="bullet"/>
      <w:lvlText w:val="•"/>
      <w:lvlJc w:val="left"/>
      <w:pPr>
        <w:ind w:left="3360" w:hanging="361"/>
      </w:pPr>
      <w:rPr>
        <w:rFonts w:hint="default"/>
        <w:lang w:val="es-ES" w:eastAsia="es-ES" w:bidi="es-ES"/>
      </w:rPr>
    </w:lvl>
    <w:lvl w:ilvl="8">
      <w:start w:val="0"/>
      <w:numFmt w:val="bullet"/>
      <w:lvlText w:val="•"/>
      <w:lvlJc w:val="left"/>
      <w:pPr>
        <w:ind w:left="3726" w:hanging="361"/>
      </w:pPr>
      <w:rPr>
        <w:rFonts w:hint="default"/>
        <w:lang w:val="es-ES" w:eastAsia="es-ES" w:bidi="es-ES"/>
      </w:rPr>
    </w:lvl>
  </w:abstractNum>
  <w:abstractNum w:abstractNumId="20">
    <w:multiLevelType w:val="hybridMultilevel"/>
    <w:lvl w:ilvl="0">
      <w:start w:val="0"/>
      <w:numFmt w:val="bullet"/>
      <w:lvlText w:val=""/>
      <w:lvlJc w:val="left"/>
      <w:pPr>
        <w:ind w:left="801" w:hanging="361"/>
      </w:pPr>
      <w:rPr>
        <w:rFonts w:hint="default" w:ascii="Symbol" w:hAnsi="Symbol" w:eastAsia="Symbol" w:cs="Symbol"/>
        <w:w w:val="99"/>
        <w:sz w:val="20"/>
        <w:szCs w:val="20"/>
        <w:lang w:val="es-ES" w:eastAsia="es-ES" w:bidi="es-ES"/>
      </w:rPr>
    </w:lvl>
    <w:lvl w:ilvl="1">
      <w:start w:val="0"/>
      <w:numFmt w:val="bullet"/>
      <w:lvlText w:val="•"/>
      <w:lvlJc w:val="left"/>
      <w:pPr>
        <w:ind w:left="1165" w:hanging="361"/>
      </w:pPr>
      <w:rPr>
        <w:rFonts w:hint="default"/>
        <w:lang w:val="es-ES" w:eastAsia="es-ES" w:bidi="es-ES"/>
      </w:rPr>
    </w:lvl>
    <w:lvl w:ilvl="2">
      <w:start w:val="0"/>
      <w:numFmt w:val="bullet"/>
      <w:lvlText w:val="•"/>
      <w:lvlJc w:val="left"/>
      <w:pPr>
        <w:ind w:left="1531" w:hanging="361"/>
      </w:pPr>
      <w:rPr>
        <w:rFonts w:hint="default"/>
        <w:lang w:val="es-ES" w:eastAsia="es-ES" w:bidi="es-ES"/>
      </w:rPr>
    </w:lvl>
    <w:lvl w:ilvl="3">
      <w:start w:val="0"/>
      <w:numFmt w:val="bullet"/>
      <w:lvlText w:val="•"/>
      <w:lvlJc w:val="left"/>
      <w:pPr>
        <w:ind w:left="1897" w:hanging="361"/>
      </w:pPr>
      <w:rPr>
        <w:rFonts w:hint="default"/>
        <w:lang w:val="es-ES" w:eastAsia="es-ES" w:bidi="es-ES"/>
      </w:rPr>
    </w:lvl>
    <w:lvl w:ilvl="4">
      <w:start w:val="0"/>
      <w:numFmt w:val="bullet"/>
      <w:lvlText w:val="•"/>
      <w:lvlJc w:val="left"/>
      <w:pPr>
        <w:ind w:left="2262" w:hanging="361"/>
      </w:pPr>
      <w:rPr>
        <w:rFonts w:hint="default"/>
        <w:lang w:val="es-ES" w:eastAsia="es-ES" w:bidi="es-ES"/>
      </w:rPr>
    </w:lvl>
    <w:lvl w:ilvl="5">
      <w:start w:val="0"/>
      <w:numFmt w:val="bullet"/>
      <w:lvlText w:val="•"/>
      <w:lvlJc w:val="left"/>
      <w:pPr>
        <w:ind w:left="2628" w:hanging="361"/>
      </w:pPr>
      <w:rPr>
        <w:rFonts w:hint="default"/>
        <w:lang w:val="es-ES" w:eastAsia="es-ES" w:bidi="es-ES"/>
      </w:rPr>
    </w:lvl>
    <w:lvl w:ilvl="6">
      <w:start w:val="0"/>
      <w:numFmt w:val="bullet"/>
      <w:lvlText w:val="•"/>
      <w:lvlJc w:val="left"/>
      <w:pPr>
        <w:ind w:left="2994" w:hanging="361"/>
      </w:pPr>
      <w:rPr>
        <w:rFonts w:hint="default"/>
        <w:lang w:val="es-ES" w:eastAsia="es-ES" w:bidi="es-ES"/>
      </w:rPr>
    </w:lvl>
    <w:lvl w:ilvl="7">
      <w:start w:val="0"/>
      <w:numFmt w:val="bullet"/>
      <w:lvlText w:val="•"/>
      <w:lvlJc w:val="left"/>
      <w:pPr>
        <w:ind w:left="3359" w:hanging="361"/>
      </w:pPr>
      <w:rPr>
        <w:rFonts w:hint="default"/>
        <w:lang w:val="es-ES" w:eastAsia="es-ES" w:bidi="es-ES"/>
      </w:rPr>
    </w:lvl>
    <w:lvl w:ilvl="8">
      <w:start w:val="0"/>
      <w:numFmt w:val="bullet"/>
      <w:lvlText w:val="•"/>
      <w:lvlJc w:val="left"/>
      <w:pPr>
        <w:ind w:left="3725" w:hanging="361"/>
      </w:pPr>
      <w:rPr>
        <w:rFonts w:hint="default"/>
        <w:lang w:val="es-ES" w:eastAsia="es-ES" w:bidi="es-ES"/>
      </w:rPr>
    </w:lvl>
  </w:abstractNum>
  <w:abstractNum w:abstractNumId="19">
    <w:multiLevelType w:val="hybridMultilevel"/>
    <w:lvl w:ilvl="0">
      <w:start w:val="0"/>
      <w:numFmt w:val="bullet"/>
      <w:lvlText w:val=""/>
      <w:lvlJc w:val="left"/>
      <w:pPr>
        <w:ind w:left="801" w:hanging="361"/>
      </w:pPr>
      <w:rPr>
        <w:rFonts w:hint="default" w:ascii="Symbol" w:hAnsi="Symbol" w:eastAsia="Symbol" w:cs="Symbol"/>
        <w:w w:val="99"/>
        <w:sz w:val="20"/>
        <w:szCs w:val="20"/>
        <w:lang w:val="es-ES" w:eastAsia="es-ES" w:bidi="es-ES"/>
      </w:rPr>
    </w:lvl>
    <w:lvl w:ilvl="1">
      <w:start w:val="0"/>
      <w:numFmt w:val="bullet"/>
      <w:lvlText w:val="•"/>
      <w:lvlJc w:val="left"/>
      <w:pPr>
        <w:ind w:left="1165" w:hanging="361"/>
      </w:pPr>
      <w:rPr>
        <w:rFonts w:hint="default"/>
        <w:lang w:val="es-ES" w:eastAsia="es-ES" w:bidi="es-ES"/>
      </w:rPr>
    </w:lvl>
    <w:lvl w:ilvl="2">
      <w:start w:val="0"/>
      <w:numFmt w:val="bullet"/>
      <w:lvlText w:val="•"/>
      <w:lvlJc w:val="left"/>
      <w:pPr>
        <w:ind w:left="1531" w:hanging="361"/>
      </w:pPr>
      <w:rPr>
        <w:rFonts w:hint="default"/>
        <w:lang w:val="es-ES" w:eastAsia="es-ES" w:bidi="es-ES"/>
      </w:rPr>
    </w:lvl>
    <w:lvl w:ilvl="3">
      <w:start w:val="0"/>
      <w:numFmt w:val="bullet"/>
      <w:lvlText w:val="•"/>
      <w:lvlJc w:val="left"/>
      <w:pPr>
        <w:ind w:left="1897" w:hanging="361"/>
      </w:pPr>
      <w:rPr>
        <w:rFonts w:hint="default"/>
        <w:lang w:val="es-ES" w:eastAsia="es-ES" w:bidi="es-ES"/>
      </w:rPr>
    </w:lvl>
    <w:lvl w:ilvl="4">
      <w:start w:val="0"/>
      <w:numFmt w:val="bullet"/>
      <w:lvlText w:val="•"/>
      <w:lvlJc w:val="left"/>
      <w:pPr>
        <w:ind w:left="2262" w:hanging="361"/>
      </w:pPr>
      <w:rPr>
        <w:rFonts w:hint="default"/>
        <w:lang w:val="es-ES" w:eastAsia="es-ES" w:bidi="es-ES"/>
      </w:rPr>
    </w:lvl>
    <w:lvl w:ilvl="5">
      <w:start w:val="0"/>
      <w:numFmt w:val="bullet"/>
      <w:lvlText w:val="•"/>
      <w:lvlJc w:val="left"/>
      <w:pPr>
        <w:ind w:left="2628" w:hanging="361"/>
      </w:pPr>
      <w:rPr>
        <w:rFonts w:hint="default"/>
        <w:lang w:val="es-ES" w:eastAsia="es-ES" w:bidi="es-ES"/>
      </w:rPr>
    </w:lvl>
    <w:lvl w:ilvl="6">
      <w:start w:val="0"/>
      <w:numFmt w:val="bullet"/>
      <w:lvlText w:val="•"/>
      <w:lvlJc w:val="left"/>
      <w:pPr>
        <w:ind w:left="2994" w:hanging="361"/>
      </w:pPr>
      <w:rPr>
        <w:rFonts w:hint="default"/>
        <w:lang w:val="es-ES" w:eastAsia="es-ES" w:bidi="es-ES"/>
      </w:rPr>
    </w:lvl>
    <w:lvl w:ilvl="7">
      <w:start w:val="0"/>
      <w:numFmt w:val="bullet"/>
      <w:lvlText w:val="•"/>
      <w:lvlJc w:val="left"/>
      <w:pPr>
        <w:ind w:left="3359" w:hanging="361"/>
      </w:pPr>
      <w:rPr>
        <w:rFonts w:hint="default"/>
        <w:lang w:val="es-ES" w:eastAsia="es-ES" w:bidi="es-ES"/>
      </w:rPr>
    </w:lvl>
    <w:lvl w:ilvl="8">
      <w:start w:val="0"/>
      <w:numFmt w:val="bullet"/>
      <w:lvlText w:val="•"/>
      <w:lvlJc w:val="left"/>
      <w:pPr>
        <w:ind w:left="3725" w:hanging="361"/>
      </w:pPr>
      <w:rPr>
        <w:rFonts w:hint="default"/>
        <w:lang w:val="es-ES" w:eastAsia="es-ES" w:bidi="es-ES"/>
      </w:rPr>
    </w:lvl>
  </w:abstractNum>
  <w:abstractNum w:abstractNumId="18">
    <w:multiLevelType w:val="hybridMultilevel"/>
    <w:lvl w:ilvl="0">
      <w:start w:val="1"/>
      <w:numFmt w:val="decimal"/>
      <w:lvlText w:val="%1."/>
      <w:lvlJc w:val="left"/>
      <w:pPr>
        <w:ind w:left="798" w:hanging="360"/>
        <w:jc w:val="left"/>
      </w:pPr>
      <w:rPr>
        <w:rFonts w:hint="default"/>
        <w:spacing w:val="-1"/>
        <w:w w:val="99"/>
        <w:lang w:val="es-ES" w:eastAsia="es-ES" w:bidi="es-ES"/>
      </w:rPr>
    </w:lvl>
    <w:lvl w:ilvl="1">
      <w:start w:val="0"/>
      <w:numFmt w:val="bullet"/>
      <w:lvlText w:val="•"/>
      <w:lvlJc w:val="left"/>
      <w:pPr>
        <w:ind w:left="1175" w:hanging="360"/>
      </w:pPr>
      <w:rPr>
        <w:rFonts w:hint="default"/>
        <w:lang w:val="es-ES" w:eastAsia="es-ES" w:bidi="es-ES"/>
      </w:rPr>
    </w:lvl>
    <w:lvl w:ilvl="2">
      <w:start w:val="0"/>
      <w:numFmt w:val="bullet"/>
      <w:lvlText w:val="•"/>
      <w:lvlJc w:val="left"/>
      <w:pPr>
        <w:ind w:left="1551" w:hanging="360"/>
      </w:pPr>
      <w:rPr>
        <w:rFonts w:hint="default"/>
        <w:lang w:val="es-ES" w:eastAsia="es-ES" w:bidi="es-ES"/>
      </w:rPr>
    </w:lvl>
    <w:lvl w:ilvl="3">
      <w:start w:val="0"/>
      <w:numFmt w:val="bullet"/>
      <w:lvlText w:val="•"/>
      <w:lvlJc w:val="left"/>
      <w:pPr>
        <w:ind w:left="1927" w:hanging="360"/>
      </w:pPr>
      <w:rPr>
        <w:rFonts w:hint="default"/>
        <w:lang w:val="es-ES" w:eastAsia="es-ES" w:bidi="es-ES"/>
      </w:rPr>
    </w:lvl>
    <w:lvl w:ilvl="4">
      <w:start w:val="0"/>
      <w:numFmt w:val="bullet"/>
      <w:lvlText w:val="•"/>
      <w:lvlJc w:val="left"/>
      <w:pPr>
        <w:ind w:left="2302" w:hanging="360"/>
      </w:pPr>
      <w:rPr>
        <w:rFonts w:hint="default"/>
        <w:lang w:val="es-ES" w:eastAsia="es-ES" w:bidi="es-ES"/>
      </w:rPr>
    </w:lvl>
    <w:lvl w:ilvl="5">
      <w:start w:val="0"/>
      <w:numFmt w:val="bullet"/>
      <w:lvlText w:val="•"/>
      <w:lvlJc w:val="left"/>
      <w:pPr>
        <w:ind w:left="2678" w:hanging="360"/>
      </w:pPr>
      <w:rPr>
        <w:rFonts w:hint="default"/>
        <w:lang w:val="es-ES" w:eastAsia="es-ES" w:bidi="es-ES"/>
      </w:rPr>
    </w:lvl>
    <w:lvl w:ilvl="6">
      <w:start w:val="0"/>
      <w:numFmt w:val="bullet"/>
      <w:lvlText w:val="•"/>
      <w:lvlJc w:val="left"/>
      <w:pPr>
        <w:ind w:left="3054" w:hanging="360"/>
      </w:pPr>
      <w:rPr>
        <w:rFonts w:hint="default"/>
        <w:lang w:val="es-ES" w:eastAsia="es-ES" w:bidi="es-ES"/>
      </w:rPr>
    </w:lvl>
    <w:lvl w:ilvl="7">
      <w:start w:val="0"/>
      <w:numFmt w:val="bullet"/>
      <w:lvlText w:val="•"/>
      <w:lvlJc w:val="left"/>
      <w:pPr>
        <w:ind w:left="3429" w:hanging="360"/>
      </w:pPr>
      <w:rPr>
        <w:rFonts w:hint="default"/>
        <w:lang w:val="es-ES" w:eastAsia="es-ES" w:bidi="es-ES"/>
      </w:rPr>
    </w:lvl>
    <w:lvl w:ilvl="8">
      <w:start w:val="0"/>
      <w:numFmt w:val="bullet"/>
      <w:lvlText w:val="•"/>
      <w:lvlJc w:val="left"/>
      <w:pPr>
        <w:ind w:left="3805" w:hanging="360"/>
      </w:pPr>
      <w:rPr>
        <w:rFonts w:hint="default"/>
        <w:lang w:val="es-ES" w:eastAsia="es-ES" w:bidi="es-ES"/>
      </w:rPr>
    </w:lvl>
  </w:abstractNum>
  <w:abstractNum w:abstractNumId="17">
    <w:multiLevelType w:val="hybridMultilevel"/>
    <w:lvl w:ilvl="0">
      <w:start w:val="0"/>
      <w:numFmt w:val="bullet"/>
      <w:lvlText w:val=""/>
      <w:lvlJc w:val="left"/>
      <w:pPr>
        <w:ind w:left="801" w:hanging="361"/>
      </w:pPr>
      <w:rPr>
        <w:rFonts w:hint="default" w:ascii="Symbol" w:hAnsi="Symbol" w:eastAsia="Symbol" w:cs="Symbol"/>
        <w:w w:val="99"/>
        <w:sz w:val="20"/>
        <w:szCs w:val="20"/>
        <w:lang w:val="es-ES" w:eastAsia="es-ES" w:bidi="es-ES"/>
      </w:rPr>
    </w:lvl>
    <w:lvl w:ilvl="1">
      <w:start w:val="0"/>
      <w:numFmt w:val="bullet"/>
      <w:lvlText w:val="•"/>
      <w:lvlJc w:val="left"/>
      <w:pPr>
        <w:ind w:left="1165" w:hanging="361"/>
      </w:pPr>
      <w:rPr>
        <w:rFonts w:hint="default"/>
        <w:lang w:val="es-ES" w:eastAsia="es-ES" w:bidi="es-ES"/>
      </w:rPr>
    </w:lvl>
    <w:lvl w:ilvl="2">
      <w:start w:val="0"/>
      <w:numFmt w:val="bullet"/>
      <w:lvlText w:val="•"/>
      <w:lvlJc w:val="left"/>
      <w:pPr>
        <w:ind w:left="1531" w:hanging="361"/>
      </w:pPr>
      <w:rPr>
        <w:rFonts w:hint="default"/>
        <w:lang w:val="es-ES" w:eastAsia="es-ES" w:bidi="es-ES"/>
      </w:rPr>
    </w:lvl>
    <w:lvl w:ilvl="3">
      <w:start w:val="0"/>
      <w:numFmt w:val="bullet"/>
      <w:lvlText w:val="•"/>
      <w:lvlJc w:val="left"/>
      <w:pPr>
        <w:ind w:left="1897" w:hanging="361"/>
      </w:pPr>
      <w:rPr>
        <w:rFonts w:hint="default"/>
        <w:lang w:val="es-ES" w:eastAsia="es-ES" w:bidi="es-ES"/>
      </w:rPr>
    </w:lvl>
    <w:lvl w:ilvl="4">
      <w:start w:val="0"/>
      <w:numFmt w:val="bullet"/>
      <w:lvlText w:val="•"/>
      <w:lvlJc w:val="left"/>
      <w:pPr>
        <w:ind w:left="2262" w:hanging="361"/>
      </w:pPr>
      <w:rPr>
        <w:rFonts w:hint="default"/>
        <w:lang w:val="es-ES" w:eastAsia="es-ES" w:bidi="es-ES"/>
      </w:rPr>
    </w:lvl>
    <w:lvl w:ilvl="5">
      <w:start w:val="0"/>
      <w:numFmt w:val="bullet"/>
      <w:lvlText w:val="•"/>
      <w:lvlJc w:val="left"/>
      <w:pPr>
        <w:ind w:left="2628" w:hanging="361"/>
      </w:pPr>
      <w:rPr>
        <w:rFonts w:hint="default"/>
        <w:lang w:val="es-ES" w:eastAsia="es-ES" w:bidi="es-ES"/>
      </w:rPr>
    </w:lvl>
    <w:lvl w:ilvl="6">
      <w:start w:val="0"/>
      <w:numFmt w:val="bullet"/>
      <w:lvlText w:val="•"/>
      <w:lvlJc w:val="left"/>
      <w:pPr>
        <w:ind w:left="2994" w:hanging="361"/>
      </w:pPr>
      <w:rPr>
        <w:rFonts w:hint="default"/>
        <w:lang w:val="es-ES" w:eastAsia="es-ES" w:bidi="es-ES"/>
      </w:rPr>
    </w:lvl>
    <w:lvl w:ilvl="7">
      <w:start w:val="0"/>
      <w:numFmt w:val="bullet"/>
      <w:lvlText w:val="•"/>
      <w:lvlJc w:val="left"/>
      <w:pPr>
        <w:ind w:left="3359" w:hanging="361"/>
      </w:pPr>
      <w:rPr>
        <w:rFonts w:hint="default"/>
        <w:lang w:val="es-ES" w:eastAsia="es-ES" w:bidi="es-ES"/>
      </w:rPr>
    </w:lvl>
    <w:lvl w:ilvl="8">
      <w:start w:val="0"/>
      <w:numFmt w:val="bullet"/>
      <w:lvlText w:val="•"/>
      <w:lvlJc w:val="left"/>
      <w:pPr>
        <w:ind w:left="3725" w:hanging="361"/>
      </w:pPr>
      <w:rPr>
        <w:rFonts w:hint="default"/>
        <w:lang w:val="es-ES" w:eastAsia="es-ES" w:bidi="es-ES"/>
      </w:rPr>
    </w:lvl>
  </w:abstractNum>
  <w:abstractNum w:abstractNumId="16">
    <w:multiLevelType w:val="hybridMultilevel"/>
    <w:lvl w:ilvl="0">
      <w:start w:val="1"/>
      <w:numFmt w:val="decimal"/>
      <w:lvlText w:val="%1."/>
      <w:lvlJc w:val="left"/>
      <w:pPr>
        <w:ind w:left="798" w:hanging="360"/>
        <w:jc w:val="left"/>
      </w:pPr>
      <w:rPr>
        <w:rFonts w:hint="default"/>
        <w:spacing w:val="-1"/>
        <w:w w:val="99"/>
        <w:lang w:val="es-ES" w:eastAsia="es-ES" w:bidi="es-ES"/>
      </w:rPr>
    </w:lvl>
    <w:lvl w:ilvl="1">
      <w:start w:val="0"/>
      <w:numFmt w:val="bullet"/>
      <w:lvlText w:val="•"/>
      <w:lvlJc w:val="left"/>
      <w:pPr>
        <w:ind w:left="1173" w:hanging="360"/>
      </w:pPr>
      <w:rPr>
        <w:rFonts w:hint="default"/>
        <w:lang w:val="es-ES" w:eastAsia="es-ES" w:bidi="es-ES"/>
      </w:rPr>
    </w:lvl>
    <w:lvl w:ilvl="2">
      <w:start w:val="0"/>
      <w:numFmt w:val="bullet"/>
      <w:lvlText w:val="•"/>
      <w:lvlJc w:val="left"/>
      <w:pPr>
        <w:ind w:left="1546" w:hanging="360"/>
      </w:pPr>
      <w:rPr>
        <w:rFonts w:hint="default"/>
        <w:lang w:val="es-ES" w:eastAsia="es-ES" w:bidi="es-ES"/>
      </w:rPr>
    </w:lvl>
    <w:lvl w:ilvl="3">
      <w:start w:val="0"/>
      <w:numFmt w:val="bullet"/>
      <w:lvlText w:val="•"/>
      <w:lvlJc w:val="left"/>
      <w:pPr>
        <w:ind w:left="1919" w:hanging="360"/>
      </w:pPr>
      <w:rPr>
        <w:rFonts w:hint="default"/>
        <w:lang w:val="es-ES" w:eastAsia="es-ES" w:bidi="es-ES"/>
      </w:rPr>
    </w:lvl>
    <w:lvl w:ilvl="4">
      <w:start w:val="0"/>
      <w:numFmt w:val="bullet"/>
      <w:lvlText w:val="•"/>
      <w:lvlJc w:val="left"/>
      <w:pPr>
        <w:ind w:left="2293" w:hanging="360"/>
      </w:pPr>
      <w:rPr>
        <w:rFonts w:hint="default"/>
        <w:lang w:val="es-ES" w:eastAsia="es-ES" w:bidi="es-ES"/>
      </w:rPr>
    </w:lvl>
    <w:lvl w:ilvl="5">
      <w:start w:val="0"/>
      <w:numFmt w:val="bullet"/>
      <w:lvlText w:val="•"/>
      <w:lvlJc w:val="left"/>
      <w:pPr>
        <w:ind w:left="2666" w:hanging="360"/>
      </w:pPr>
      <w:rPr>
        <w:rFonts w:hint="default"/>
        <w:lang w:val="es-ES" w:eastAsia="es-ES" w:bidi="es-ES"/>
      </w:rPr>
    </w:lvl>
    <w:lvl w:ilvl="6">
      <w:start w:val="0"/>
      <w:numFmt w:val="bullet"/>
      <w:lvlText w:val="•"/>
      <w:lvlJc w:val="left"/>
      <w:pPr>
        <w:ind w:left="3039" w:hanging="360"/>
      </w:pPr>
      <w:rPr>
        <w:rFonts w:hint="default"/>
        <w:lang w:val="es-ES" w:eastAsia="es-ES" w:bidi="es-ES"/>
      </w:rPr>
    </w:lvl>
    <w:lvl w:ilvl="7">
      <w:start w:val="0"/>
      <w:numFmt w:val="bullet"/>
      <w:lvlText w:val="•"/>
      <w:lvlJc w:val="left"/>
      <w:pPr>
        <w:ind w:left="3413" w:hanging="360"/>
      </w:pPr>
      <w:rPr>
        <w:rFonts w:hint="default"/>
        <w:lang w:val="es-ES" w:eastAsia="es-ES" w:bidi="es-ES"/>
      </w:rPr>
    </w:lvl>
    <w:lvl w:ilvl="8">
      <w:start w:val="0"/>
      <w:numFmt w:val="bullet"/>
      <w:lvlText w:val="•"/>
      <w:lvlJc w:val="left"/>
      <w:pPr>
        <w:ind w:left="3786" w:hanging="360"/>
      </w:pPr>
      <w:rPr>
        <w:rFonts w:hint="default"/>
        <w:lang w:val="es-ES" w:eastAsia="es-ES" w:bidi="es-ES"/>
      </w:rPr>
    </w:lvl>
  </w:abstractNum>
  <w:abstractNum w:abstractNumId="15">
    <w:multiLevelType w:val="hybridMultilevel"/>
    <w:lvl w:ilvl="0">
      <w:start w:val="0"/>
      <w:numFmt w:val="bullet"/>
      <w:lvlText w:val=""/>
      <w:lvlJc w:val="left"/>
      <w:pPr>
        <w:ind w:left="804" w:hanging="356"/>
      </w:pPr>
      <w:rPr>
        <w:rFonts w:hint="default" w:ascii="Symbol" w:hAnsi="Symbol" w:eastAsia="Symbol" w:cs="Symbol"/>
        <w:color w:val="404040"/>
        <w:w w:val="99"/>
        <w:sz w:val="20"/>
        <w:szCs w:val="20"/>
        <w:lang w:val="es-ES" w:eastAsia="es-ES" w:bidi="es-ES"/>
      </w:rPr>
    </w:lvl>
    <w:lvl w:ilvl="1">
      <w:start w:val="0"/>
      <w:numFmt w:val="bullet"/>
      <w:lvlText w:val="•"/>
      <w:lvlJc w:val="left"/>
      <w:pPr>
        <w:ind w:left="1166" w:hanging="356"/>
      </w:pPr>
      <w:rPr>
        <w:rFonts w:hint="default"/>
        <w:lang w:val="es-ES" w:eastAsia="es-ES" w:bidi="es-ES"/>
      </w:rPr>
    </w:lvl>
    <w:lvl w:ilvl="2">
      <w:start w:val="0"/>
      <w:numFmt w:val="bullet"/>
      <w:lvlText w:val="•"/>
      <w:lvlJc w:val="left"/>
      <w:pPr>
        <w:ind w:left="1533" w:hanging="356"/>
      </w:pPr>
      <w:rPr>
        <w:rFonts w:hint="default"/>
        <w:lang w:val="es-ES" w:eastAsia="es-ES" w:bidi="es-ES"/>
      </w:rPr>
    </w:lvl>
    <w:lvl w:ilvl="3">
      <w:start w:val="0"/>
      <w:numFmt w:val="bullet"/>
      <w:lvlText w:val="•"/>
      <w:lvlJc w:val="left"/>
      <w:pPr>
        <w:ind w:left="1900" w:hanging="356"/>
      </w:pPr>
      <w:rPr>
        <w:rFonts w:hint="default"/>
        <w:lang w:val="es-ES" w:eastAsia="es-ES" w:bidi="es-ES"/>
      </w:rPr>
    </w:lvl>
    <w:lvl w:ilvl="4">
      <w:start w:val="0"/>
      <w:numFmt w:val="bullet"/>
      <w:lvlText w:val="•"/>
      <w:lvlJc w:val="left"/>
      <w:pPr>
        <w:ind w:left="2266" w:hanging="356"/>
      </w:pPr>
      <w:rPr>
        <w:rFonts w:hint="default"/>
        <w:lang w:val="es-ES" w:eastAsia="es-ES" w:bidi="es-ES"/>
      </w:rPr>
    </w:lvl>
    <w:lvl w:ilvl="5">
      <w:start w:val="0"/>
      <w:numFmt w:val="bullet"/>
      <w:lvlText w:val="•"/>
      <w:lvlJc w:val="left"/>
      <w:pPr>
        <w:ind w:left="2633" w:hanging="356"/>
      </w:pPr>
      <w:rPr>
        <w:rFonts w:hint="default"/>
        <w:lang w:val="es-ES" w:eastAsia="es-ES" w:bidi="es-ES"/>
      </w:rPr>
    </w:lvl>
    <w:lvl w:ilvl="6">
      <w:start w:val="0"/>
      <w:numFmt w:val="bullet"/>
      <w:lvlText w:val="•"/>
      <w:lvlJc w:val="left"/>
      <w:pPr>
        <w:ind w:left="3000" w:hanging="356"/>
      </w:pPr>
      <w:rPr>
        <w:rFonts w:hint="default"/>
        <w:lang w:val="es-ES" w:eastAsia="es-ES" w:bidi="es-ES"/>
      </w:rPr>
    </w:lvl>
    <w:lvl w:ilvl="7">
      <w:start w:val="0"/>
      <w:numFmt w:val="bullet"/>
      <w:lvlText w:val="•"/>
      <w:lvlJc w:val="left"/>
      <w:pPr>
        <w:ind w:left="3366" w:hanging="356"/>
      </w:pPr>
      <w:rPr>
        <w:rFonts w:hint="default"/>
        <w:lang w:val="es-ES" w:eastAsia="es-ES" w:bidi="es-ES"/>
      </w:rPr>
    </w:lvl>
    <w:lvl w:ilvl="8">
      <w:start w:val="0"/>
      <w:numFmt w:val="bullet"/>
      <w:lvlText w:val="•"/>
      <w:lvlJc w:val="left"/>
      <w:pPr>
        <w:ind w:left="3733" w:hanging="356"/>
      </w:pPr>
      <w:rPr>
        <w:rFonts w:hint="default"/>
        <w:lang w:val="es-ES" w:eastAsia="es-ES" w:bidi="es-ES"/>
      </w:rPr>
    </w:lvl>
  </w:abstractNum>
  <w:abstractNum w:abstractNumId="14">
    <w:multiLevelType w:val="hybridMultilevel"/>
    <w:lvl w:ilvl="0">
      <w:start w:val="0"/>
      <w:numFmt w:val="bullet"/>
      <w:lvlText w:val=""/>
      <w:lvlJc w:val="left"/>
      <w:pPr>
        <w:ind w:left="811" w:hanging="361"/>
      </w:pPr>
      <w:rPr>
        <w:rFonts w:hint="default"/>
        <w:w w:val="99"/>
        <w:lang w:val="es-ES" w:eastAsia="es-ES" w:bidi="es-ES"/>
      </w:rPr>
    </w:lvl>
    <w:lvl w:ilvl="1">
      <w:start w:val="0"/>
      <w:numFmt w:val="bullet"/>
      <w:lvlText w:val="•"/>
      <w:lvlJc w:val="left"/>
      <w:pPr>
        <w:ind w:left="1184" w:hanging="361"/>
      </w:pPr>
      <w:rPr>
        <w:rFonts w:hint="default"/>
        <w:lang w:val="es-ES" w:eastAsia="es-ES" w:bidi="es-ES"/>
      </w:rPr>
    </w:lvl>
    <w:lvl w:ilvl="2">
      <w:start w:val="0"/>
      <w:numFmt w:val="bullet"/>
      <w:lvlText w:val="•"/>
      <w:lvlJc w:val="left"/>
      <w:pPr>
        <w:ind w:left="1549" w:hanging="361"/>
      </w:pPr>
      <w:rPr>
        <w:rFonts w:hint="default"/>
        <w:lang w:val="es-ES" w:eastAsia="es-ES" w:bidi="es-ES"/>
      </w:rPr>
    </w:lvl>
    <w:lvl w:ilvl="3">
      <w:start w:val="0"/>
      <w:numFmt w:val="bullet"/>
      <w:lvlText w:val="•"/>
      <w:lvlJc w:val="left"/>
      <w:pPr>
        <w:ind w:left="1914" w:hanging="361"/>
      </w:pPr>
      <w:rPr>
        <w:rFonts w:hint="default"/>
        <w:lang w:val="es-ES" w:eastAsia="es-ES" w:bidi="es-ES"/>
      </w:rPr>
    </w:lvl>
    <w:lvl w:ilvl="4">
      <w:start w:val="0"/>
      <w:numFmt w:val="bullet"/>
      <w:lvlText w:val="•"/>
      <w:lvlJc w:val="left"/>
      <w:pPr>
        <w:ind w:left="2278" w:hanging="361"/>
      </w:pPr>
      <w:rPr>
        <w:rFonts w:hint="default"/>
        <w:lang w:val="es-ES" w:eastAsia="es-ES" w:bidi="es-ES"/>
      </w:rPr>
    </w:lvl>
    <w:lvl w:ilvl="5">
      <w:start w:val="0"/>
      <w:numFmt w:val="bullet"/>
      <w:lvlText w:val="•"/>
      <w:lvlJc w:val="left"/>
      <w:pPr>
        <w:ind w:left="2643" w:hanging="361"/>
      </w:pPr>
      <w:rPr>
        <w:rFonts w:hint="default"/>
        <w:lang w:val="es-ES" w:eastAsia="es-ES" w:bidi="es-ES"/>
      </w:rPr>
    </w:lvl>
    <w:lvl w:ilvl="6">
      <w:start w:val="0"/>
      <w:numFmt w:val="bullet"/>
      <w:lvlText w:val="•"/>
      <w:lvlJc w:val="left"/>
      <w:pPr>
        <w:ind w:left="3008" w:hanging="361"/>
      </w:pPr>
      <w:rPr>
        <w:rFonts w:hint="default"/>
        <w:lang w:val="es-ES" w:eastAsia="es-ES" w:bidi="es-ES"/>
      </w:rPr>
    </w:lvl>
    <w:lvl w:ilvl="7">
      <w:start w:val="0"/>
      <w:numFmt w:val="bullet"/>
      <w:lvlText w:val="•"/>
      <w:lvlJc w:val="left"/>
      <w:pPr>
        <w:ind w:left="3372" w:hanging="361"/>
      </w:pPr>
      <w:rPr>
        <w:rFonts w:hint="default"/>
        <w:lang w:val="es-ES" w:eastAsia="es-ES" w:bidi="es-ES"/>
      </w:rPr>
    </w:lvl>
    <w:lvl w:ilvl="8">
      <w:start w:val="0"/>
      <w:numFmt w:val="bullet"/>
      <w:lvlText w:val="•"/>
      <w:lvlJc w:val="left"/>
      <w:pPr>
        <w:ind w:left="3737" w:hanging="361"/>
      </w:pPr>
      <w:rPr>
        <w:rFonts w:hint="default"/>
        <w:lang w:val="es-ES" w:eastAsia="es-ES" w:bidi="es-ES"/>
      </w:rPr>
    </w:lvl>
  </w:abstractNum>
  <w:abstractNum w:abstractNumId="13">
    <w:multiLevelType w:val="hybridMultilevel"/>
    <w:lvl w:ilvl="0">
      <w:start w:val="0"/>
      <w:numFmt w:val="bullet"/>
      <w:lvlText w:val=""/>
      <w:lvlJc w:val="left"/>
      <w:pPr>
        <w:ind w:left="801" w:hanging="361"/>
      </w:pPr>
      <w:rPr>
        <w:rFonts w:hint="default"/>
        <w:w w:val="99"/>
        <w:lang w:val="es-ES" w:eastAsia="es-ES" w:bidi="es-ES"/>
      </w:rPr>
    </w:lvl>
    <w:lvl w:ilvl="1">
      <w:start w:val="0"/>
      <w:numFmt w:val="bullet"/>
      <w:lvlText w:val="•"/>
      <w:lvlJc w:val="left"/>
      <w:pPr>
        <w:ind w:left="1165" w:hanging="361"/>
      </w:pPr>
      <w:rPr>
        <w:rFonts w:hint="default"/>
        <w:lang w:val="es-ES" w:eastAsia="es-ES" w:bidi="es-ES"/>
      </w:rPr>
    </w:lvl>
    <w:lvl w:ilvl="2">
      <w:start w:val="0"/>
      <w:numFmt w:val="bullet"/>
      <w:lvlText w:val="•"/>
      <w:lvlJc w:val="left"/>
      <w:pPr>
        <w:ind w:left="1531" w:hanging="361"/>
      </w:pPr>
      <w:rPr>
        <w:rFonts w:hint="default"/>
        <w:lang w:val="es-ES" w:eastAsia="es-ES" w:bidi="es-ES"/>
      </w:rPr>
    </w:lvl>
    <w:lvl w:ilvl="3">
      <w:start w:val="0"/>
      <w:numFmt w:val="bullet"/>
      <w:lvlText w:val="•"/>
      <w:lvlJc w:val="left"/>
      <w:pPr>
        <w:ind w:left="1897" w:hanging="361"/>
      </w:pPr>
      <w:rPr>
        <w:rFonts w:hint="default"/>
        <w:lang w:val="es-ES" w:eastAsia="es-ES" w:bidi="es-ES"/>
      </w:rPr>
    </w:lvl>
    <w:lvl w:ilvl="4">
      <w:start w:val="0"/>
      <w:numFmt w:val="bullet"/>
      <w:lvlText w:val="•"/>
      <w:lvlJc w:val="left"/>
      <w:pPr>
        <w:ind w:left="2262" w:hanging="361"/>
      </w:pPr>
      <w:rPr>
        <w:rFonts w:hint="default"/>
        <w:lang w:val="es-ES" w:eastAsia="es-ES" w:bidi="es-ES"/>
      </w:rPr>
    </w:lvl>
    <w:lvl w:ilvl="5">
      <w:start w:val="0"/>
      <w:numFmt w:val="bullet"/>
      <w:lvlText w:val="•"/>
      <w:lvlJc w:val="left"/>
      <w:pPr>
        <w:ind w:left="2628" w:hanging="361"/>
      </w:pPr>
      <w:rPr>
        <w:rFonts w:hint="default"/>
        <w:lang w:val="es-ES" w:eastAsia="es-ES" w:bidi="es-ES"/>
      </w:rPr>
    </w:lvl>
    <w:lvl w:ilvl="6">
      <w:start w:val="0"/>
      <w:numFmt w:val="bullet"/>
      <w:lvlText w:val="•"/>
      <w:lvlJc w:val="left"/>
      <w:pPr>
        <w:ind w:left="2994" w:hanging="361"/>
      </w:pPr>
      <w:rPr>
        <w:rFonts w:hint="default"/>
        <w:lang w:val="es-ES" w:eastAsia="es-ES" w:bidi="es-ES"/>
      </w:rPr>
    </w:lvl>
    <w:lvl w:ilvl="7">
      <w:start w:val="0"/>
      <w:numFmt w:val="bullet"/>
      <w:lvlText w:val="•"/>
      <w:lvlJc w:val="left"/>
      <w:pPr>
        <w:ind w:left="3359" w:hanging="361"/>
      </w:pPr>
      <w:rPr>
        <w:rFonts w:hint="default"/>
        <w:lang w:val="es-ES" w:eastAsia="es-ES" w:bidi="es-ES"/>
      </w:rPr>
    </w:lvl>
    <w:lvl w:ilvl="8">
      <w:start w:val="0"/>
      <w:numFmt w:val="bullet"/>
      <w:lvlText w:val="•"/>
      <w:lvlJc w:val="left"/>
      <w:pPr>
        <w:ind w:left="3725" w:hanging="361"/>
      </w:pPr>
      <w:rPr>
        <w:rFonts w:hint="default"/>
        <w:lang w:val="es-ES" w:eastAsia="es-ES" w:bidi="es-ES"/>
      </w:rPr>
    </w:lvl>
  </w:abstractNum>
  <w:abstractNum w:abstractNumId="12">
    <w:multiLevelType w:val="hybridMultilevel"/>
    <w:lvl w:ilvl="0">
      <w:start w:val="1"/>
      <w:numFmt w:val="decimal"/>
      <w:lvlText w:val="%1."/>
      <w:lvlJc w:val="left"/>
      <w:pPr>
        <w:ind w:left="798" w:hanging="360"/>
        <w:jc w:val="left"/>
      </w:pPr>
      <w:rPr>
        <w:rFonts w:hint="default" w:ascii="Century Gothic" w:hAnsi="Century Gothic" w:eastAsia="Century Gothic" w:cs="Century Gothic"/>
        <w:color w:val="404040"/>
        <w:w w:val="99"/>
        <w:sz w:val="20"/>
        <w:szCs w:val="20"/>
        <w:lang w:val="es-ES" w:eastAsia="es-ES" w:bidi="es-ES"/>
      </w:rPr>
    </w:lvl>
    <w:lvl w:ilvl="1">
      <w:start w:val="0"/>
      <w:numFmt w:val="bullet"/>
      <w:lvlText w:val="•"/>
      <w:lvlJc w:val="left"/>
      <w:pPr>
        <w:ind w:left="1175" w:hanging="360"/>
      </w:pPr>
      <w:rPr>
        <w:rFonts w:hint="default"/>
        <w:lang w:val="es-ES" w:eastAsia="es-ES" w:bidi="es-ES"/>
      </w:rPr>
    </w:lvl>
    <w:lvl w:ilvl="2">
      <w:start w:val="0"/>
      <w:numFmt w:val="bullet"/>
      <w:lvlText w:val="•"/>
      <w:lvlJc w:val="left"/>
      <w:pPr>
        <w:ind w:left="1551" w:hanging="360"/>
      </w:pPr>
      <w:rPr>
        <w:rFonts w:hint="default"/>
        <w:lang w:val="es-ES" w:eastAsia="es-ES" w:bidi="es-ES"/>
      </w:rPr>
    </w:lvl>
    <w:lvl w:ilvl="3">
      <w:start w:val="0"/>
      <w:numFmt w:val="bullet"/>
      <w:lvlText w:val="•"/>
      <w:lvlJc w:val="left"/>
      <w:pPr>
        <w:ind w:left="1927" w:hanging="360"/>
      </w:pPr>
      <w:rPr>
        <w:rFonts w:hint="default"/>
        <w:lang w:val="es-ES" w:eastAsia="es-ES" w:bidi="es-ES"/>
      </w:rPr>
    </w:lvl>
    <w:lvl w:ilvl="4">
      <w:start w:val="0"/>
      <w:numFmt w:val="bullet"/>
      <w:lvlText w:val="•"/>
      <w:lvlJc w:val="left"/>
      <w:pPr>
        <w:ind w:left="2302" w:hanging="360"/>
      </w:pPr>
      <w:rPr>
        <w:rFonts w:hint="default"/>
        <w:lang w:val="es-ES" w:eastAsia="es-ES" w:bidi="es-ES"/>
      </w:rPr>
    </w:lvl>
    <w:lvl w:ilvl="5">
      <w:start w:val="0"/>
      <w:numFmt w:val="bullet"/>
      <w:lvlText w:val="•"/>
      <w:lvlJc w:val="left"/>
      <w:pPr>
        <w:ind w:left="2678" w:hanging="360"/>
      </w:pPr>
      <w:rPr>
        <w:rFonts w:hint="default"/>
        <w:lang w:val="es-ES" w:eastAsia="es-ES" w:bidi="es-ES"/>
      </w:rPr>
    </w:lvl>
    <w:lvl w:ilvl="6">
      <w:start w:val="0"/>
      <w:numFmt w:val="bullet"/>
      <w:lvlText w:val="•"/>
      <w:lvlJc w:val="left"/>
      <w:pPr>
        <w:ind w:left="3054" w:hanging="360"/>
      </w:pPr>
      <w:rPr>
        <w:rFonts w:hint="default"/>
        <w:lang w:val="es-ES" w:eastAsia="es-ES" w:bidi="es-ES"/>
      </w:rPr>
    </w:lvl>
    <w:lvl w:ilvl="7">
      <w:start w:val="0"/>
      <w:numFmt w:val="bullet"/>
      <w:lvlText w:val="•"/>
      <w:lvlJc w:val="left"/>
      <w:pPr>
        <w:ind w:left="3429" w:hanging="360"/>
      </w:pPr>
      <w:rPr>
        <w:rFonts w:hint="default"/>
        <w:lang w:val="es-ES" w:eastAsia="es-ES" w:bidi="es-ES"/>
      </w:rPr>
    </w:lvl>
    <w:lvl w:ilvl="8">
      <w:start w:val="0"/>
      <w:numFmt w:val="bullet"/>
      <w:lvlText w:val="•"/>
      <w:lvlJc w:val="left"/>
      <w:pPr>
        <w:ind w:left="3805" w:hanging="360"/>
      </w:pPr>
      <w:rPr>
        <w:rFonts w:hint="default"/>
        <w:lang w:val="es-ES" w:eastAsia="es-ES" w:bidi="es-ES"/>
      </w:rPr>
    </w:lvl>
  </w:abstractNum>
  <w:abstractNum w:abstractNumId="11">
    <w:multiLevelType w:val="hybridMultilevel"/>
    <w:lvl w:ilvl="0">
      <w:start w:val="1"/>
      <w:numFmt w:val="decimal"/>
      <w:lvlText w:val="%1"/>
      <w:lvlJc w:val="left"/>
      <w:pPr>
        <w:ind w:left="1270" w:hanging="370"/>
        <w:jc w:val="left"/>
      </w:pPr>
      <w:rPr>
        <w:rFonts w:hint="default"/>
        <w:lang w:val="es-ES" w:eastAsia="es-ES" w:bidi="es-ES"/>
      </w:rPr>
    </w:lvl>
    <w:lvl w:ilvl="1">
      <w:start w:val="2"/>
      <w:numFmt w:val="decimal"/>
      <w:lvlText w:val="%1.%2"/>
      <w:lvlJc w:val="left"/>
      <w:pPr>
        <w:ind w:left="1270" w:hanging="370"/>
        <w:jc w:val="left"/>
      </w:pPr>
      <w:rPr>
        <w:rFonts w:hint="default"/>
        <w:spacing w:val="-2"/>
        <w:w w:val="99"/>
        <w:lang w:val="es-ES" w:eastAsia="es-ES" w:bidi="es-ES"/>
      </w:rPr>
    </w:lvl>
    <w:lvl w:ilvl="2">
      <w:start w:val="0"/>
      <w:numFmt w:val="bullet"/>
      <w:lvlText w:val="✓"/>
      <w:lvlJc w:val="left"/>
      <w:pPr>
        <w:ind w:left="1621" w:hanging="360"/>
      </w:pPr>
      <w:rPr>
        <w:rFonts w:hint="default" w:ascii="MS Gothic" w:hAnsi="MS Gothic" w:eastAsia="MS Gothic" w:cs="MS Gothic"/>
        <w:w w:val="100"/>
        <w:sz w:val="22"/>
        <w:szCs w:val="22"/>
        <w:lang w:val="es-ES" w:eastAsia="es-ES" w:bidi="es-ES"/>
      </w:rPr>
    </w:lvl>
    <w:lvl w:ilvl="3">
      <w:start w:val="0"/>
      <w:numFmt w:val="bullet"/>
      <w:lvlText w:val="•"/>
      <w:lvlJc w:val="left"/>
      <w:pPr>
        <w:ind w:left="3828" w:hanging="360"/>
      </w:pPr>
      <w:rPr>
        <w:rFonts w:hint="default"/>
        <w:lang w:val="es-ES" w:eastAsia="es-ES" w:bidi="es-ES"/>
      </w:rPr>
    </w:lvl>
    <w:lvl w:ilvl="4">
      <w:start w:val="0"/>
      <w:numFmt w:val="bullet"/>
      <w:lvlText w:val="•"/>
      <w:lvlJc w:val="left"/>
      <w:pPr>
        <w:ind w:left="4933" w:hanging="360"/>
      </w:pPr>
      <w:rPr>
        <w:rFonts w:hint="default"/>
        <w:lang w:val="es-ES" w:eastAsia="es-ES" w:bidi="es-ES"/>
      </w:rPr>
    </w:lvl>
    <w:lvl w:ilvl="5">
      <w:start w:val="0"/>
      <w:numFmt w:val="bullet"/>
      <w:lvlText w:val="•"/>
      <w:lvlJc w:val="left"/>
      <w:pPr>
        <w:ind w:left="6037" w:hanging="360"/>
      </w:pPr>
      <w:rPr>
        <w:rFonts w:hint="default"/>
        <w:lang w:val="es-ES" w:eastAsia="es-ES" w:bidi="es-ES"/>
      </w:rPr>
    </w:lvl>
    <w:lvl w:ilvl="6">
      <w:start w:val="0"/>
      <w:numFmt w:val="bullet"/>
      <w:lvlText w:val="•"/>
      <w:lvlJc w:val="left"/>
      <w:pPr>
        <w:ind w:left="7142" w:hanging="360"/>
      </w:pPr>
      <w:rPr>
        <w:rFonts w:hint="default"/>
        <w:lang w:val="es-ES" w:eastAsia="es-ES" w:bidi="es-ES"/>
      </w:rPr>
    </w:lvl>
    <w:lvl w:ilvl="7">
      <w:start w:val="0"/>
      <w:numFmt w:val="bullet"/>
      <w:lvlText w:val="•"/>
      <w:lvlJc w:val="left"/>
      <w:pPr>
        <w:ind w:left="8246" w:hanging="360"/>
      </w:pPr>
      <w:rPr>
        <w:rFonts w:hint="default"/>
        <w:lang w:val="es-ES" w:eastAsia="es-ES" w:bidi="es-ES"/>
      </w:rPr>
    </w:lvl>
    <w:lvl w:ilvl="8">
      <w:start w:val="0"/>
      <w:numFmt w:val="bullet"/>
      <w:lvlText w:val="•"/>
      <w:lvlJc w:val="left"/>
      <w:pPr>
        <w:ind w:left="9351" w:hanging="360"/>
      </w:pPr>
      <w:rPr>
        <w:rFonts w:hint="default"/>
        <w:lang w:val="es-ES" w:eastAsia="es-ES" w:bidi="es-ES"/>
      </w:rPr>
    </w:lvl>
  </w:abstractNum>
  <w:abstractNum w:abstractNumId="10">
    <w:multiLevelType w:val="hybridMultilevel"/>
    <w:lvl w:ilvl="0">
      <w:start w:val="2"/>
      <w:numFmt w:val="decimal"/>
      <w:lvlText w:val="%1"/>
      <w:lvlJc w:val="left"/>
      <w:pPr>
        <w:ind w:left="1270" w:hanging="370"/>
        <w:jc w:val="left"/>
      </w:pPr>
      <w:rPr>
        <w:rFonts w:hint="default"/>
        <w:lang w:val="es-ES" w:eastAsia="es-ES" w:bidi="es-ES"/>
      </w:rPr>
    </w:lvl>
    <w:lvl w:ilvl="1">
      <w:start w:val="1"/>
      <w:numFmt w:val="decimal"/>
      <w:lvlText w:val="%1.%2"/>
      <w:lvlJc w:val="left"/>
      <w:pPr>
        <w:ind w:left="1270" w:hanging="370"/>
        <w:jc w:val="left"/>
      </w:pPr>
      <w:rPr>
        <w:rFonts w:hint="default"/>
        <w:w w:val="99"/>
        <w:lang w:val="es-ES" w:eastAsia="es-ES" w:bidi="es-ES"/>
      </w:rPr>
    </w:lvl>
    <w:lvl w:ilvl="2">
      <w:start w:val="1"/>
      <w:numFmt w:val="decimal"/>
      <w:lvlText w:val="%3."/>
      <w:lvlJc w:val="left"/>
      <w:pPr>
        <w:ind w:left="1621" w:hanging="360"/>
        <w:jc w:val="left"/>
      </w:pPr>
      <w:rPr>
        <w:rFonts w:hint="default" w:ascii="Century Gothic" w:hAnsi="Century Gothic" w:eastAsia="Century Gothic" w:cs="Century Gothic"/>
        <w:w w:val="100"/>
        <w:sz w:val="22"/>
        <w:szCs w:val="22"/>
        <w:lang w:val="es-ES" w:eastAsia="es-ES" w:bidi="es-ES"/>
      </w:rPr>
    </w:lvl>
    <w:lvl w:ilvl="3">
      <w:start w:val="0"/>
      <w:numFmt w:val="bullet"/>
      <w:lvlText w:val="•"/>
      <w:lvlJc w:val="left"/>
      <w:pPr>
        <w:ind w:left="3828" w:hanging="360"/>
      </w:pPr>
      <w:rPr>
        <w:rFonts w:hint="default"/>
        <w:lang w:val="es-ES" w:eastAsia="es-ES" w:bidi="es-ES"/>
      </w:rPr>
    </w:lvl>
    <w:lvl w:ilvl="4">
      <w:start w:val="0"/>
      <w:numFmt w:val="bullet"/>
      <w:lvlText w:val="•"/>
      <w:lvlJc w:val="left"/>
      <w:pPr>
        <w:ind w:left="4933" w:hanging="360"/>
      </w:pPr>
      <w:rPr>
        <w:rFonts w:hint="default"/>
        <w:lang w:val="es-ES" w:eastAsia="es-ES" w:bidi="es-ES"/>
      </w:rPr>
    </w:lvl>
    <w:lvl w:ilvl="5">
      <w:start w:val="0"/>
      <w:numFmt w:val="bullet"/>
      <w:lvlText w:val="•"/>
      <w:lvlJc w:val="left"/>
      <w:pPr>
        <w:ind w:left="6037" w:hanging="360"/>
      </w:pPr>
      <w:rPr>
        <w:rFonts w:hint="default"/>
        <w:lang w:val="es-ES" w:eastAsia="es-ES" w:bidi="es-ES"/>
      </w:rPr>
    </w:lvl>
    <w:lvl w:ilvl="6">
      <w:start w:val="0"/>
      <w:numFmt w:val="bullet"/>
      <w:lvlText w:val="•"/>
      <w:lvlJc w:val="left"/>
      <w:pPr>
        <w:ind w:left="7142" w:hanging="360"/>
      </w:pPr>
      <w:rPr>
        <w:rFonts w:hint="default"/>
        <w:lang w:val="es-ES" w:eastAsia="es-ES" w:bidi="es-ES"/>
      </w:rPr>
    </w:lvl>
    <w:lvl w:ilvl="7">
      <w:start w:val="0"/>
      <w:numFmt w:val="bullet"/>
      <w:lvlText w:val="•"/>
      <w:lvlJc w:val="left"/>
      <w:pPr>
        <w:ind w:left="8246" w:hanging="360"/>
      </w:pPr>
      <w:rPr>
        <w:rFonts w:hint="default"/>
        <w:lang w:val="es-ES" w:eastAsia="es-ES" w:bidi="es-ES"/>
      </w:rPr>
    </w:lvl>
    <w:lvl w:ilvl="8">
      <w:start w:val="0"/>
      <w:numFmt w:val="bullet"/>
      <w:lvlText w:val="•"/>
      <w:lvlJc w:val="left"/>
      <w:pPr>
        <w:ind w:left="9351" w:hanging="360"/>
      </w:pPr>
      <w:rPr>
        <w:rFonts w:hint="default"/>
        <w:lang w:val="es-ES" w:eastAsia="es-ES" w:bidi="es-ES"/>
      </w:rPr>
    </w:lvl>
  </w:abstractNum>
  <w:abstractNum w:abstractNumId="9">
    <w:multiLevelType w:val="hybridMultilevel"/>
    <w:lvl w:ilvl="0">
      <w:start w:val="0"/>
      <w:numFmt w:val="bullet"/>
      <w:lvlText w:val="-"/>
      <w:lvlJc w:val="left"/>
      <w:pPr>
        <w:ind w:left="1122" w:hanging="221"/>
      </w:pPr>
      <w:rPr>
        <w:rFonts w:hint="default" w:ascii="Trebuchet MS" w:hAnsi="Trebuchet MS" w:eastAsia="Trebuchet MS" w:cs="Trebuchet MS"/>
        <w:w w:val="99"/>
        <w:sz w:val="26"/>
        <w:szCs w:val="26"/>
        <w:lang w:val="es-ES" w:eastAsia="es-ES" w:bidi="es-ES"/>
      </w:rPr>
    </w:lvl>
    <w:lvl w:ilvl="1">
      <w:start w:val="0"/>
      <w:numFmt w:val="bullet"/>
      <w:lvlText w:val="•"/>
      <w:lvlJc w:val="left"/>
      <w:pPr>
        <w:ind w:left="2164" w:hanging="221"/>
      </w:pPr>
      <w:rPr>
        <w:rFonts w:hint="default"/>
        <w:lang w:val="es-ES" w:eastAsia="es-ES" w:bidi="es-ES"/>
      </w:rPr>
    </w:lvl>
    <w:lvl w:ilvl="2">
      <w:start w:val="0"/>
      <w:numFmt w:val="bullet"/>
      <w:lvlText w:val="•"/>
      <w:lvlJc w:val="left"/>
      <w:pPr>
        <w:ind w:left="3208" w:hanging="221"/>
      </w:pPr>
      <w:rPr>
        <w:rFonts w:hint="default"/>
        <w:lang w:val="es-ES" w:eastAsia="es-ES" w:bidi="es-ES"/>
      </w:rPr>
    </w:lvl>
    <w:lvl w:ilvl="3">
      <w:start w:val="0"/>
      <w:numFmt w:val="bullet"/>
      <w:lvlText w:val="•"/>
      <w:lvlJc w:val="left"/>
      <w:pPr>
        <w:ind w:left="4252" w:hanging="221"/>
      </w:pPr>
      <w:rPr>
        <w:rFonts w:hint="default"/>
        <w:lang w:val="es-ES" w:eastAsia="es-ES" w:bidi="es-ES"/>
      </w:rPr>
    </w:lvl>
    <w:lvl w:ilvl="4">
      <w:start w:val="0"/>
      <w:numFmt w:val="bullet"/>
      <w:lvlText w:val="•"/>
      <w:lvlJc w:val="left"/>
      <w:pPr>
        <w:ind w:left="5296" w:hanging="221"/>
      </w:pPr>
      <w:rPr>
        <w:rFonts w:hint="default"/>
        <w:lang w:val="es-ES" w:eastAsia="es-ES" w:bidi="es-ES"/>
      </w:rPr>
    </w:lvl>
    <w:lvl w:ilvl="5">
      <w:start w:val="0"/>
      <w:numFmt w:val="bullet"/>
      <w:lvlText w:val="•"/>
      <w:lvlJc w:val="left"/>
      <w:pPr>
        <w:ind w:left="6340" w:hanging="221"/>
      </w:pPr>
      <w:rPr>
        <w:rFonts w:hint="default"/>
        <w:lang w:val="es-ES" w:eastAsia="es-ES" w:bidi="es-ES"/>
      </w:rPr>
    </w:lvl>
    <w:lvl w:ilvl="6">
      <w:start w:val="0"/>
      <w:numFmt w:val="bullet"/>
      <w:lvlText w:val="•"/>
      <w:lvlJc w:val="left"/>
      <w:pPr>
        <w:ind w:left="7384" w:hanging="221"/>
      </w:pPr>
      <w:rPr>
        <w:rFonts w:hint="default"/>
        <w:lang w:val="es-ES" w:eastAsia="es-ES" w:bidi="es-ES"/>
      </w:rPr>
    </w:lvl>
    <w:lvl w:ilvl="7">
      <w:start w:val="0"/>
      <w:numFmt w:val="bullet"/>
      <w:lvlText w:val="•"/>
      <w:lvlJc w:val="left"/>
      <w:pPr>
        <w:ind w:left="8428" w:hanging="221"/>
      </w:pPr>
      <w:rPr>
        <w:rFonts w:hint="default"/>
        <w:lang w:val="es-ES" w:eastAsia="es-ES" w:bidi="es-ES"/>
      </w:rPr>
    </w:lvl>
    <w:lvl w:ilvl="8">
      <w:start w:val="0"/>
      <w:numFmt w:val="bullet"/>
      <w:lvlText w:val="•"/>
      <w:lvlJc w:val="left"/>
      <w:pPr>
        <w:ind w:left="9472" w:hanging="221"/>
      </w:pPr>
      <w:rPr>
        <w:rFonts w:hint="default"/>
        <w:lang w:val="es-ES" w:eastAsia="es-ES" w:bidi="es-ES"/>
      </w:rPr>
    </w:lvl>
  </w:abstractNum>
  <w:abstractNum w:abstractNumId="8">
    <w:multiLevelType w:val="hybridMultilevel"/>
    <w:lvl w:ilvl="0">
      <w:start w:val="1"/>
      <w:numFmt w:val="decimal"/>
      <w:lvlText w:val="%1."/>
      <w:lvlJc w:val="left"/>
      <w:pPr>
        <w:ind w:left="1261" w:hanging="360"/>
        <w:jc w:val="left"/>
      </w:pPr>
      <w:rPr>
        <w:rFonts w:hint="default" w:ascii="Century Gothic" w:hAnsi="Century Gothic" w:eastAsia="Century Gothic" w:cs="Century Gothic"/>
        <w:w w:val="100"/>
        <w:sz w:val="22"/>
        <w:szCs w:val="22"/>
        <w:lang w:val="es-ES" w:eastAsia="es-ES" w:bidi="es-ES"/>
      </w:rPr>
    </w:lvl>
    <w:lvl w:ilvl="1">
      <w:start w:val="0"/>
      <w:numFmt w:val="bullet"/>
      <w:lvlText w:val="•"/>
      <w:lvlJc w:val="left"/>
      <w:pPr>
        <w:ind w:left="1560" w:hanging="360"/>
      </w:pPr>
      <w:rPr>
        <w:rFonts w:hint="default"/>
        <w:lang w:val="es-ES" w:eastAsia="es-ES" w:bidi="es-ES"/>
      </w:rPr>
    </w:lvl>
    <w:lvl w:ilvl="2">
      <w:start w:val="0"/>
      <w:numFmt w:val="bullet"/>
      <w:lvlText w:val="•"/>
      <w:lvlJc w:val="left"/>
      <w:pPr>
        <w:ind w:left="2671" w:hanging="360"/>
      </w:pPr>
      <w:rPr>
        <w:rFonts w:hint="default"/>
        <w:lang w:val="es-ES" w:eastAsia="es-ES" w:bidi="es-ES"/>
      </w:rPr>
    </w:lvl>
    <w:lvl w:ilvl="3">
      <w:start w:val="0"/>
      <w:numFmt w:val="bullet"/>
      <w:lvlText w:val="•"/>
      <w:lvlJc w:val="left"/>
      <w:pPr>
        <w:ind w:left="3782" w:hanging="360"/>
      </w:pPr>
      <w:rPr>
        <w:rFonts w:hint="default"/>
        <w:lang w:val="es-ES" w:eastAsia="es-ES" w:bidi="es-ES"/>
      </w:rPr>
    </w:lvl>
    <w:lvl w:ilvl="4">
      <w:start w:val="0"/>
      <w:numFmt w:val="bullet"/>
      <w:lvlText w:val="•"/>
      <w:lvlJc w:val="left"/>
      <w:pPr>
        <w:ind w:left="4893" w:hanging="360"/>
      </w:pPr>
      <w:rPr>
        <w:rFonts w:hint="default"/>
        <w:lang w:val="es-ES" w:eastAsia="es-ES" w:bidi="es-ES"/>
      </w:rPr>
    </w:lvl>
    <w:lvl w:ilvl="5">
      <w:start w:val="0"/>
      <w:numFmt w:val="bullet"/>
      <w:lvlText w:val="•"/>
      <w:lvlJc w:val="left"/>
      <w:pPr>
        <w:ind w:left="6004" w:hanging="360"/>
      </w:pPr>
      <w:rPr>
        <w:rFonts w:hint="default"/>
        <w:lang w:val="es-ES" w:eastAsia="es-ES" w:bidi="es-ES"/>
      </w:rPr>
    </w:lvl>
    <w:lvl w:ilvl="6">
      <w:start w:val="0"/>
      <w:numFmt w:val="bullet"/>
      <w:lvlText w:val="•"/>
      <w:lvlJc w:val="left"/>
      <w:pPr>
        <w:ind w:left="7115" w:hanging="360"/>
      </w:pPr>
      <w:rPr>
        <w:rFonts w:hint="default"/>
        <w:lang w:val="es-ES" w:eastAsia="es-ES" w:bidi="es-ES"/>
      </w:rPr>
    </w:lvl>
    <w:lvl w:ilvl="7">
      <w:start w:val="0"/>
      <w:numFmt w:val="bullet"/>
      <w:lvlText w:val="•"/>
      <w:lvlJc w:val="left"/>
      <w:pPr>
        <w:ind w:left="8226" w:hanging="360"/>
      </w:pPr>
      <w:rPr>
        <w:rFonts w:hint="default"/>
        <w:lang w:val="es-ES" w:eastAsia="es-ES" w:bidi="es-ES"/>
      </w:rPr>
    </w:lvl>
    <w:lvl w:ilvl="8">
      <w:start w:val="0"/>
      <w:numFmt w:val="bullet"/>
      <w:lvlText w:val="•"/>
      <w:lvlJc w:val="left"/>
      <w:pPr>
        <w:ind w:left="9337" w:hanging="360"/>
      </w:pPr>
      <w:rPr>
        <w:rFonts w:hint="default"/>
        <w:lang w:val="es-ES" w:eastAsia="es-ES" w:bidi="es-ES"/>
      </w:rPr>
    </w:lvl>
  </w:abstractNum>
  <w:abstractNum w:abstractNumId="7">
    <w:multiLevelType w:val="hybridMultilevel"/>
    <w:lvl w:ilvl="0">
      <w:start w:val="1"/>
      <w:numFmt w:val="decimal"/>
      <w:lvlText w:val="%1."/>
      <w:lvlJc w:val="left"/>
      <w:pPr>
        <w:ind w:left="1143" w:hanging="243"/>
        <w:jc w:val="left"/>
      </w:pPr>
      <w:rPr>
        <w:rFonts w:hint="default" w:ascii="Century Gothic" w:hAnsi="Century Gothic" w:eastAsia="Century Gothic" w:cs="Century Gothic"/>
        <w:w w:val="100"/>
        <w:sz w:val="22"/>
        <w:szCs w:val="22"/>
        <w:lang w:val="es-ES" w:eastAsia="es-ES" w:bidi="es-ES"/>
      </w:rPr>
    </w:lvl>
    <w:lvl w:ilvl="1">
      <w:start w:val="0"/>
      <w:numFmt w:val="bullet"/>
      <w:lvlText w:val="•"/>
      <w:lvlJc w:val="left"/>
      <w:pPr>
        <w:ind w:left="2182" w:hanging="243"/>
      </w:pPr>
      <w:rPr>
        <w:rFonts w:hint="default"/>
        <w:lang w:val="es-ES" w:eastAsia="es-ES" w:bidi="es-ES"/>
      </w:rPr>
    </w:lvl>
    <w:lvl w:ilvl="2">
      <w:start w:val="0"/>
      <w:numFmt w:val="bullet"/>
      <w:lvlText w:val="•"/>
      <w:lvlJc w:val="left"/>
      <w:pPr>
        <w:ind w:left="3224" w:hanging="243"/>
      </w:pPr>
      <w:rPr>
        <w:rFonts w:hint="default"/>
        <w:lang w:val="es-ES" w:eastAsia="es-ES" w:bidi="es-ES"/>
      </w:rPr>
    </w:lvl>
    <w:lvl w:ilvl="3">
      <w:start w:val="0"/>
      <w:numFmt w:val="bullet"/>
      <w:lvlText w:val="•"/>
      <w:lvlJc w:val="left"/>
      <w:pPr>
        <w:ind w:left="4266" w:hanging="243"/>
      </w:pPr>
      <w:rPr>
        <w:rFonts w:hint="default"/>
        <w:lang w:val="es-ES" w:eastAsia="es-ES" w:bidi="es-ES"/>
      </w:rPr>
    </w:lvl>
    <w:lvl w:ilvl="4">
      <w:start w:val="0"/>
      <w:numFmt w:val="bullet"/>
      <w:lvlText w:val="•"/>
      <w:lvlJc w:val="left"/>
      <w:pPr>
        <w:ind w:left="5308" w:hanging="243"/>
      </w:pPr>
      <w:rPr>
        <w:rFonts w:hint="default"/>
        <w:lang w:val="es-ES" w:eastAsia="es-ES" w:bidi="es-ES"/>
      </w:rPr>
    </w:lvl>
    <w:lvl w:ilvl="5">
      <w:start w:val="0"/>
      <w:numFmt w:val="bullet"/>
      <w:lvlText w:val="•"/>
      <w:lvlJc w:val="left"/>
      <w:pPr>
        <w:ind w:left="6350" w:hanging="243"/>
      </w:pPr>
      <w:rPr>
        <w:rFonts w:hint="default"/>
        <w:lang w:val="es-ES" w:eastAsia="es-ES" w:bidi="es-ES"/>
      </w:rPr>
    </w:lvl>
    <w:lvl w:ilvl="6">
      <w:start w:val="0"/>
      <w:numFmt w:val="bullet"/>
      <w:lvlText w:val="•"/>
      <w:lvlJc w:val="left"/>
      <w:pPr>
        <w:ind w:left="7392" w:hanging="243"/>
      </w:pPr>
      <w:rPr>
        <w:rFonts w:hint="default"/>
        <w:lang w:val="es-ES" w:eastAsia="es-ES" w:bidi="es-ES"/>
      </w:rPr>
    </w:lvl>
    <w:lvl w:ilvl="7">
      <w:start w:val="0"/>
      <w:numFmt w:val="bullet"/>
      <w:lvlText w:val="•"/>
      <w:lvlJc w:val="left"/>
      <w:pPr>
        <w:ind w:left="8434" w:hanging="243"/>
      </w:pPr>
      <w:rPr>
        <w:rFonts w:hint="default"/>
        <w:lang w:val="es-ES" w:eastAsia="es-ES" w:bidi="es-ES"/>
      </w:rPr>
    </w:lvl>
    <w:lvl w:ilvl="8">
      <w:start w:val="0"/>
      <w:numFmt w:val="bullet"/>
      <w:lvlText w:val="•"/>
      <w:lvlJc w:val="left"/>
      <w:pPr>
        <w:ind w:left="9476" w:hanging="243"/>
      </w:pPr>
      <w:rPr>
        <w:rFonts w:hint="default"/>
        <w:lang w:val="es-ES" w:eastAsia="es-ES" w:bidi="es-ES"/>
      </w:rPr>
    </w:lvl>
  </w:abstractNum>
  <w:abstractNum w:abstractNumId="6">
    <w:multiLevelType w:val="hybridMultilevel"/>
    <w:lvl w:ilvl="0">
      <w:start w:val="1"/>
      <w:numFmt w:val="decimal"/>
      <w:lvlText w:val="%1)"/>
      <w:lvlJc w:val="left"/>
      <w:pPr>
        <w:ind w:left="1162" w:hanging="262"/>
        <w:jc w:val="left"/>
      </w:pPr>
      <w:rPr>
        <w:rFonts w:hint="default" w:ascii="Century Gothic" w:hAnsi="Century Gothic" w:eastAsia="Century Gothic" w:cs="Century Gothic"/>
        <w:w w:val="100"/>
        <w:sz w:val="22"/>
        <w:szCs w:val="22"/>
        <w:lang w:val="es-ES" w:eastAsia="es-ES" w:bidi="es-ES"/>
      </w:rPr>
    </w:lvl>
    <w:lvl w:ilvl="1">
      <w:start w:val="0"/>
      <w:numFmt w:val="bullet"/>
      <w:lvlText w:val="•"/>
      <w:lvlJc w:val="left"/>
      <w:pPr>
        <w:ind w:left="2200" w:hanging="262"/>
      </w:pPr>
      <w:rPr>
        <w:rFonts w:hint="default"/>
        <w:lang w:val="es-ES" w:eastAsia="es-ES" w:bidi="es-ES"/>
      </w:rPr>
    </w:lvl>
    <w:lvl w:ilvl="2">
      <w:start w:val="0"/>
      <w:numFmt w:val="bullet"/>
      <w:lvlText w:val="•"/>
      <w:lvlJc w:val="left"/>
      <w:pPr>
        <w:ind w:left="3240" w:hanging="262"/>
      </w:pPr>
      <w:rPr>
        <w:rFonts w:hint="default"/>
        <w:lang w:val="es-ES" w:eastAsia="es-ES" w:bidi="es-ES"/>
      </w:rPr>
    </w:lvl>
    <w:lvl w:ilvl="3">
      <w:start w:val="0"/>
      <w:numFmt w:val="bullet"/>
      <w:lvlText w:val="•"/>
      <w:lvlJc w:val="left"/>
      <w:pPr>
        <w:ind w:left="4280" w:hanging="262"/>
      </w:pPr>
      <w:rPr>
        <w:rFonts w:hint="default"/>
        <w:lang w:val="es-ES" w:eastAsia="es-ES" w:bidi="es-ES"/>
      </w:rPr>
    </w:lvl>
    <w:lvl w:ilvl="4">
      <w:start w:val="0"/>
      <w:numFmt w:val="bullet"/>
      <w:lvlText w:val="•"/>
      <w:lvlJc w:val="left"/>
      <w:pPr>
        <w:ind w:left="5320" w:hanging="262"/>
      </w:pPr>
      <w:rPr>
        <w:rFonts w:hint="default"/>
        <w:lang w:val="es-ES" w:eastAsia="es-ES" w:bidi="es-ES"/>
      </w:rPr>
    </w:lvl>
    <w:lvl w:ilvl="5">
      <w:start w:val="0"/>
      <w:numFmt w:val="bullet"/>
      <w:lvlText w:val="•"/>
      <w:lvlJc w:val="left"/>
      <w:pPr>
        <w:ind w:left="6360" w:hanging="262"/>
      </w:pPr>
      <w:rPr>
        <w:rFonts w:hint="default"/>
        <w:lang w:val="es-ES" w:eastAsia="es-ES" w:bidi="es-ES"/>
      </w:rPr>
    </w:lvl>
    <w:lvl w:ilvl="6">
      <w:start w:val="0"/>
      <w:numFmt w:val="bullet"/>
      <w:lvlText w:val="•"/>
      <w:lvlJc w:val="left"/>
      <w:pPr>
        <w:ind w:left="7400" w:hanging="262"/>
      </w:pPr>
      <w:rPr>
        <w:rFonts w:hint="default"/>
        <w:lang w:val="es-ES" w:eastAsia="es-ES" w:bidi="es-ES"/>
      </w:rPr>
    </w:lvl>
    <w:lvl w:ilvl="7">
      <w:start w:val="0"/>
      <w:numFmt w:val="bullet"/>
      <w:lvlText w:val="•"/>
      <w:lvlJc w:val="left"/>
      <w:pPr>
        <w:ind w:left="8440" w:hanging="262"/>
      </w:pPr>
      <w:rPr>
        <w:rFonts w:hint="default"/>
        <w:lang w:val="es-ES" w:eastAsia="es-ES" w:bidi="es-ES"/>
      </w:rPr>
    </w:lvl>
    <w:lvl w:ilvl="8">
      <w:start w:val="0"/>
      <w:numFmt w:val="bullet"/>
      <w:lvlText w:val="•"/>
      <w:lvlJc w:val="left"/>
      <w:pPr>
        <w:ind w:left="9480" w:hanging="262"/>
      </w:pPr>
      <w:rPr>
        <w:rFonts w:hint="default"/>
        <w:lang w:val="es-ES" w:eastAsia="es-ES" w:bidi="es-ES"/>
      </w:rPr>
    </w:lvl>
  </w:abstractNum>
  <w:abstractNum w:abstractNumId="5">
    <w:multiLevelType w:val="hybridMultilevel"/>
    <w:lvl w:ilvl="0">
      <w:start w:val="1"/>
      <w:numFmt w:val="decimal"/>
      <w:lvlText w:val="%1."/>
      <w:lvlJc w:val="left"/>
      <w:pPr>
        <w:ind w:left="1621" w:hanging="360"/>
        <w:jc w:val="left"/>
      </w:pPr>
      <w:rPr>
        <w:rFonts w:hint="default" w:ascii="Century Gothic" w:hAnsi="Century Gothic" w:eastAsia="Century Gothic" w:cs="Century Gothic"/>
        <w:w w:val="100"/>
        <w:sz w:val="22"/>
        <w:szCs w:val="22"/>
        <w:lang w:val="es-ES" w:eastAsia="es-ES" w:bidi="es-ES"/>
      </w:rPr>
    </w:lvl>
    <w:lvl w:ilvl="1">
      <w:start w:val="0"/>
      <w:numFmt w:val="bullet"/>
      <w:lvlText w:val="•"/>
      <w:lvlJc w:val="left"/>
      <w:pPr>
        <w:ind w:left="2614" w:hanging="360"/>
      </w:pPr>
      <w:rPr>
        <w:rFonts w:hint="default"/>
        <w:lang w:val="es-ES" w:eastAsia="es-ES" w:bidi="es-ES"/>
      </w:rPr>
    </w:lvl>
    <w:lvl w:ilvl="2">
      <w:start w:val="0"/>
      <w:numFmt w:val="bullet"/>
      <w:lvlText w:val="•"/>
      <w:lvlJc w:val="left"/>
      <w:pPr>
        <w:ind w:left="3608" w:hanging="360"/>
      </w:pPr>
      <w:rPr>
        <w:rFonts w:hint="default"/>
        <w:lang w:val="es-ES" w:eastAsia="es-ES" w:bidi="es-ES"/>
      </w:rPr>
    </w:lvl>
    <w:lvl w:ilvl="3">
      <w:start w:val="0"/>
      <w:numFmt w:val="bullet"/>
      <w:lvlText w:val="•"/>
      <w:lvlJc w:val="left"/>
      <w:pPr>
        <w:ind w:left="4602" w:hanging="360"/>
      </w:pPr>
      <w:rPr>
        <w:rFonts w:hint="default"/>
        <w:lang w:val="es-ES" w:eastAsia="es-ES" w:bidi="es-ES"/>
      </w:rPr>
    </w:lvl>
    <w:lvl w:ilvl="4">
      <w:start w:val="0"/>
      <w:numFmt w:val="bullet"/>
      <w:lvlText w:val="•"/>
      <w:lvlJc w:val="left"/>
      <w:pPr>
        <w:ind w:left="5596" w:hanging="360"/>
      </w:pPr>
      <w:rPr>
        <w:rFonts w:hint="default"/>
        <w:lang w:val="es-ES" w:eastAsia="es-ES" w:bidi="es-ES"/>
      </w:rPr>
    </w:lvl>
    <w:lvl w:ilvl="5">
      <w:start w:val="0"/>
      <w:numFmt w:val="bullet"/>
      <w:lvlText w:val="•"/>
      <w:lvlJc w:val="left"/>
      <w:pPr>
        <w:ind w:left="6590" w:hanging="360"/>
      </w:pPr>
      <w:rPr>
        <w:rFonts w:hint="default"/>
        <w:lang w:val="es-ES" w:eastAsia="es-ES" w:bidi="es-ES"/>
      </w:rPr>
    </w:lvl>
    <w:lvl w:ilvl="6">
      <w:start w:val="0"/>
      <w:numFmt w:val="bullet"/>
      <w:lvlText w:val="•"/>
      <w:lvlJc w:val="left"/>
      <w:pPr>
        <w:ind w:left="7584" w:hanging="360"/>
      </w:pPr>
      <w:rPr>
        <w:rFonts w:hint="default"/>
        <w:lang w:val="es-ES" w:eastAsia="es-ES" w:bidi="es-ES"/>
      </w:rPr>
    </w:lvl>
    <w:lvl w:ilvl="7">
      <w:start w:val="0"/>
      <w:numFmt w:val="bullet"/>
      <w:lvlText w:val="•"/>
      <w:lvlJc w:val="left"/>
      <w:pPr>
        <w:ind w:left="8578" w:hanging="360"/>
      </w:pPr>
      <w:rPr>
        <w:rFonts w:hint="default"/>
        <w:lang w:val="es-ES" w:eastAsia="es-ES" w:bidi="es-ES"/>
      </w:rPr>
    </w:lvl>
    <w:lvl w:ilvl="8">
      <w:start w:val="0"/>
      <w:numFmt w:val="bullet"/>
      <w:lvlText w:val="•"/>
      <w:lvlJc w:val="left"/>
      <w:pPr>
        <w:ind w:left="9572" w:hanging="360"/>
      </w:pPr>
      <w:rPr>
        <w:rFonts w:hint="default"/>
        <w:lang w:val="es-ES" w:eastAsia="es-ES" w:bidi="es-ES"/>
      </w:rPr>
    </w:lvl>
  </w:abstractNum>
  <w:abstractNum w:abstractNumId="4">
    <w:multiLevelType w:val="hybridMultilevel"/>
    <w:lvl w:ilvl="0">
      <w:start w:val="0"/>
      <w:numFmt w:val="bullet"/>
      <w:lvlText w:val=""/>
      <w:lvlJc w:val="left"/>
      <w:pPr>
        <w:ind w:left="1621" w:hanging="360"/>
      </w:pPr>
      <w:rPr>
        <w:rFonts w:hint="default" w:ascii="Symbol" w:hAnsi="Symbol" w:eastAsia="Symbol" w:cs="Symbol"/>
        <w:w w:val="100"/>
        <w:sz w:val="22"/>
        <w:szCs w:val="22"/>
        <w:lang w:val="es-ES" w:eastAsia="es-ES" w:bidi="es-ES"/>
      </w:rPr>
    </w:lvl>
    <w:lvl w:ilvl="1">
      <w:start w:val="0"/>
      <w:numFmt w:val="bullet"/>
      <w:lvlText w:val="•"/>
      <w:lvlJc w:val="left"/>
      <w:pPr>
        <w:ind w:left="2614" w:hanging="360"/>
      </w:pPr>
      <w:rPr>
        <w:rFonts w:hint="default"/>
        <w:lang w:val="es-ES" w:eastAsia="es-ES" w:bidi="es-ES"/>
      </w:rPr>
    </w:lvl>
    <w:lvl w:ilvl="2">
      <w:start w:val="0"/>
      <w:numFmt w:val="bullet"/>
      <w:lvlText w:val="•"/>
      <w:lvlJc w:val="left"/>
      <w:pPr>
        <w:ind w:left="3608" w:hanging="360"/>
      </w:pPr>
      <w:rPr>
        <w:rFonts w:hint="default"/>
        <w:lang w:val="es-ES" w:eastAsia="es-ES" w:bidi="es-ES"/>
      </w:rPr>
    </w:lvl>
    <w:lvl w:ilvl="3">
      <w:start w:val="0"/>
      <w:numFmt w:val="bullet"/>
      <w:lvlText w:val="•"/>
      <w:lvlJc w:val="left"/>
      <w:pPr>
        <w:ind w:left="4602" w:hanging="360"/>
      </w:pPr>
      <w:rPr>
        <w:rFonts w:hint="default"/>
        <w:lang w:val="es-ES" w:eastAsia="es-ES" w:bidi="es-ES"/>
      </w:rPr>
    </w:lvl>
    <w:lvl w:ilvl="4">
      <w:start w:val="0"/>
      <w:numFmt w:val="bullet"/>
      <w:lvlText w:val="•"/>
      <w:lvlJc w:val="left"/>
      <w:pPr>
        <w:ind w:left="5596" w:hanging="360"/>
      </w:pPr>
      <w:rPr>
        <w:rFonts w:hint="default"/>
        <w:lang w:val="es-ES" w:eastAsia="es-ES" w:bidi="es-ES"/>
      </w:rPr>
    </w:lvl>
    <w:lvl w:ilvl="5">
      <w:start w:val="0"/>
      <w:numFmt w:val="bullet"/>
      <w:lvlText w:val="•"/>
      <w:lvlJc w:val="left"/>
      <w:pPr>
        <w:ind w:left="6590" w:hanging="360"/>
      </w:pPr>
      <w:rPr>
        <w:rFonts w:hint="default"/>
        <w:lang w:val="es-ES" w:eastAsia="es-ES" w:bidi="es-ES"/>
      </w:rPr>
    </w:lvl>
    <w:lvl w:ilvl="6">
      <w:start w:val="0"/>
      <w:numFmt w:val="bullet"/>
      <w:lvlText w:val="•"/>
      <w:lvlJc w:val="left"/>
      <w:pPr>
        <w:ind w:left="7584" w:hanging="360"/>
      </w:pPr>
      <w:rPr>
        <w:rFonts w:hint="default"/>
        <w:lang w:val="es-ES" w:eastAsia="es-ES" w:bidi="es-ES"/>
      </w:rPr>
    </w:lvl>
    <w:lvl w:ilvl="7">
      <w:start w:val="0"/>
      <w:numFmt w:val="bullet"/>
      <w:lvlText w:val="•"/>
      <w:lvlJc w:val="left"/>
      <w:pPr>
        <w:ind w:left="8578" w:hanging="360"/>
      </w:pPr>
      <w:rPr>
        <w:rFonts w:hint="default"/>
        <w:lang w:val="es-ES" w:eastAsia="es-ES" w:bidi="es-ES"/>
      </w:rPr>
    </w:lvl>
    <w:lvl w:ilvl="8">
      <w:start w:val="0"/>
      <w:numFmt w:val="bullet"/>
      <w:lvlText w:val="•"/>
      <w:lvlJc w:val="left"/>
      <w:pPr>
        <w:ind w:left="9572" w:hanging="360"/>
      </w:pPr>
      <w:rPr>
        <w:rFonts w:hint="default"/>
        <w:lang w:val="es-ES" w:eastAsia="es-ES" w:bidi="es-ES"/>
      </w:rPr>
    </w:lvl>
  </w:abstractNum>
  <w:abstractNum w:abstractNumId="3">
    <w:multiLevelType w:val="hybridMultilevel"/>
    <w:lvl w:ilvl="0">
      <w:start w:val="0"/>
      <w:numFmt w:val="bullet"/>
      <w:lvlText w:val="✓"/>
      <w:lvlJc w:val="left"/>
      <w:pPr>
        <w:ind w:left="1621" w:hanging="360"/>
      </w:pPr>
      <w:rPr>
        <w:rFonts w:hint="default" w:ascii="MS Gothic" w:hAnsi="MS Gothic" w:eastAsia="MS Gothic" w:cs="MS Gothic"/>
        <w:w w:val="100"/>
        <w:sz w:val="22"/>
        <w:szCs w:val="22"/>
        <w:lang w:val="es-ES" w:eastAsia="es-ES" w:bidi="es-ES"/>
      </w:rPr>
    </w:lvl>
    <w:lvl w:ilvl="1">
      <w:start w:val="0"/>
      <w:numFmt w:val="bullet"/>
      <w:lvlText w:val="•"/>
      <w:lvlJc w:val="left"/>
      <w:pPr>
        <w:ind w:left="1620" w:hanging="360"/>
      </w:pPr>
      <w:rPr>
        <w:rFonts w:hint="default"/>
        <w:lang w:val="es-ES" w:eastAsia="es-ES" w:bidi="es-ES"/>
      </w:rPr>
    </w:lvl>
    <w:lvl w:ilvl="2">
      <w:start w:val="0"/>
      <w:numFmt w:val="bullet"/>
      <w:lvlText w:val="•"/>
      <w:lvlJc w:val="left"/>
      <w:pPr>
        <w:ind w:left="2724" w:hanging="360"/>
      </w:pPr>
      <w:rPr>
        <w:rFonts w:hint="default"/>
        <w:lang w:val="es-ES" w:eastAsia="es-ES" w:bidi="es-ES"/>
      </w:rPr>
    </w:lvl>
    <w:lvl w:ilvl="3">
      <w:start w:val="0"/>
      <w:numFmt w:val="bullet"/>
      <w:lvlText w:val="•"/>
      <w:lvlJc w:val="left"/>
      <w:pPr>
        <w:ind w:left="3828" w:hanging="360"/>
      </w:pPr>
      <w:rPr>
        <w:rFonts w:hint="default"/>
        <w:lang w:val="es-ES" w:eastAsia="es-ES" w:bidi="es-ES"/>
      </w:rPr>
    </w:lvl>
    <w:lvl w:ilvl="4">
      <w:start w:val="0"/>
      <w:numFmt w:val="bullet"/>
      <w:lvlText w:val="•"/>
      <w:lvlJc w:val="left"/>
      <w:pPr>
        <w:ind w:left="4933" w:hanging="360"/>
      </w:pPr>
      <w:rPr>
        <w:rFonts w:hint="default"/>
        <w:lang w:val="es-ES" w:eastAsia="es-ES" w:bidi="es-ES"/>
      </w:rPr>
    </w:lvl>
    <w:lvl w:ilvl="5">
      <w:start w:val="0"/>
      <w:numFmt w:val="bullet"/>
      <w:lvlText w:val="•"/>
      <w:lvlJc w:val="left"/>
      <w:pPr>
        <w:ind w:left="6037" w:hanging="360"/>
      </w:pPr>
      <w:rPr>
        <w:rFonts w:hint="default"/>
        <w:lang w:val="es-ES" w:eastAsia="es-ES" w:bidi="es-ES"/>
      </w:rPr>
    </w:lvl>
    <w:lvl w:ilvl="6">
      <w:start w:val="0"/>
      <w:numFmt w:val="bullet"/>
      <w:lvlText w:val="•"/>
      <w:lvlJc w:val="left"/>
      <w:pPr>
        <w:ind w:left="7142" w:hanging="360"/>
      </w:pPr>
      <w:rPr>
        <w:rFonts w:hint="default"/>
        <w:lang w:val="es-ES" w:eastAsia="es-ES" w:bidi="es-ES"/>
      </w:rPr>
    </w:lvl>
    <w:lvl w:ilvl="7">
      <w:start w:val="0"/>
      <w:numFmt w:val="bullet"/>
      <w:lvlText w:val="•"/>
      <w:lvlJc w:val="left"/>
      <w:pPr>
        <w:ind w:left="8246" w:hanging="360"/>
      </w:pPr>
      <w:rPr>
        <w:rFonts w:hint="default"/>
        <w:lang w:val="es-ES" w:eastAsia="es-ES" w:bidi="es-ES"/>
      </w:rPr>
    </w:lvl>
    <w:lvl w:ilvl="8">
      <w:start w:val="0"/>
      <w:numFmt w:val="bullet"/>
      <w:lvlText w:val="•"/>
      <w:lvlJc w:val="left"/>
      <w:pPr>
        <w:ind w:left="9351" w:hanging="360"/>
      </w:pPr>
      <w:rPr>
        <w:rFonts w:hint="default"/>
        <w:lang w:val="es-ES" w:eastAsia="es-ES" w:bidi="es-ES"/>
      </w:rPr>
    </w:lvl>
  </w:abstractNum>
  <w:abstractNum w:abstractNumId="2">
    <w:multiLevelType w:val="hybridMultilevel"/>
    <w:lvl w:ilvl="0">
      <w:start w:val="4"/>
      <w:numFmt w:val="decimal"/>
      <w:lvlText w:val="%1"/>
      <w:lvlJc w:val="left"/>
      <w:pPr>
        <w:ind w:left="1232" w:hanging="332"/>
        <w:jc w:val="left"/>
      </w:pPr>
      <w:rPr>
        <w:rFonts w:hint="default"/>
        <w:lang w:val="es-ES" w:eastAsia="es-ES" w:bidi="es-ES"/>
      </w:rPr>
    </w:lvl>
    <w:lvl w:ilvl="1">
      <w:start w:val="0"/>
      <w:numFmt w:val="decimal"/>
      <w:lvlText w:val="%1.%2"/>
      <w:lvlJc w:val="left"/>
      <w:pPr>
        <w:ind w:left="1232" w:hanging="332"/>
        <w:jc w:val="left"/>
      </w:pPr>
      <w:rPr>
        <w:rFonts w:hint="default"/>
        <w:spacing w:val="-3"/>
        <w:w w:val="99"/>
        <w:u w:val="single" w:color="000000"/>
        <w:lang w:val="es-ES" w:eastAsia="es-ES" w:bidi="es-ES"/>
      </w:rPr>
    </w:lvl>
    <w:lvl w:ilvl="2">
      <w:start w:val="0"/>
      <w:numFmt w:val="bullet"/>
      <w:lvlText w:val="•"/>
      <w:lvlJc w:val="left"/>
      <w:pPr>
        <w:ind w:left="3304" w:hanging="332"/>
      </w:pPr>
      <w:rPr>
        <w:rFonts w:hint="default"/>
        <w:lang w:val="es-ES" w:eastAsia="es-ES" w:bidi="es-ES"/>
      </w:rPr>
    </w:lvl>
    <w:lvl w:ilvl="3">
      <w:start w:val="0"/>
      <w:numFmt w:val="bullet"/>
      <w:lvlText w:val="•"/>
      <w:lvlJc w:val="left"/>
      <w:pPr>
        <w:ind w:left="4336" w:hanging="332"/>
      </w:pPr>
      <w:rPr>
        <w:rFonts w:hint="default"/>
        <w:lang w:val="es-ES" w:eastAsia="es-ES" w:bidi="es-ES"/>
      </w:rPr>
    </w:lvl>
    <w:lvl w:ilvl="4">
      <w:start w:val="0"/>
      <w:numFmt w:val="bullet"/>
      <w:lvlText w:val="•"/>
      <w:lvlJc w:val="left"/>
      <w:pPr>
        <w:ind w:left="5368" w:hanging="332"/>
      </w:pPr>
      <w:rPr>
        <w:rFonts w:hint="default"/>
        <w:lang w:val="es-ES" w:eastAsia="es-ES" w:bidi="es-ES"/>
      </w:rPr>
    </w:lvl>
    <w:lvl w:ilvl="5">
      <w:start w:val="0"/>
      <w:numFmt w:val="bullet"/>
      <w:lvlText w:val="•"/>
      <w:lvlJc w:val="left"/>
      <w:pPr>
        <w:ind w:left="6400" w:hanging="332"/>
      </w:pPr>
      <w:rPr>
        <w:rFonts w:hint="default"/>
        <w:lang w:val="es-ES" w:eastAsia="es-ES" w:bidi="es-ES"/>
      </w:rPr>
    </w:lvl>
    <w:lvl w:ilvl="6">
      <w:start w:val="0"/>
      <w:numFmt w:val="bullet"/>
      <w:lvlText w:val="•"/>
      <w:lvlJc w:val="left"/>
      <w:pPr>
        <w:ind w:left="7432" w:hanging="332"/>
      </w:pPr>
      <w:rPr>
        <w:rFonts w:hint="default"/>
        <w:lang w:val="es-ES" w:eastAsia="es-ES" w:bidi="es-ES"/>
      </w:rPr>
    </w:lvl>
    <w:lvl w:ilvl="7">
      <w:start w:val="0"/>
      <w:numFmt w:val="bullet"/>
      <w:lvlText w:val="•"/>
      <w:lvlJc w:val="left"/>
      <w:pPr>
        <w:ind w:left="8464" w:hanging="332"/>
      </w:pPr>
      <w:rPr>
        <w:rFonts w:hint="default"/>
        <w:lang w:val="es-ES" w:eastAsia="es-ES" w:bidi="es-ES"/>
      </w:rPr>
    </w:lvl>
    <w:lvl w:ilvl="8">
      <w:start w:val="0"/>
      <w:numFmt w:val="bullet"/>
      <w:lvlText w:val="•"/>
      <w:lvlJc w:val="left"/>
      <w:pPr>
        <w:ind w:left="9496" w:hanging="332"/>
      </w:pPr>
      <w:rPr>
        <w:rFonts w:hint="default"/>
        <w:lang w:val="es-ES" w:eastAsia="es-ES" w:bidi="es-ES"/>
      </w:rPr>
    </w:lvl>
  </w:abstractNum>
  <w:abstractNum w:abstractNumId="1">
    <w:multiLevelType w:val="hybridMultilevel"/>
    <w:lvl w:ilvl="0">
      <w:start w:val="3"/>
      <w:numFmt w:val="decimal"/>
      <w:lvlText w:val="%1"/>
      <w:lvlJc w:val="left"/>
      <w:pPr>
        <w:ind w:left="1232" w:hanging="332"/>
        <w:jc w:val="left"/>
      </w:pPr>
      <w:rPr>
        <w:rFonts w:hint="default"/>
        <w:lang w:val="es-ES" w:eastAsia="es-ES" w:bidi="es-ES"/>
      </w:rPr>
    </w:lvl>
    <w:lvl w:ilvl="1">
      <w:start w:val="0"/>
      <w:numFmt w:val="decimal"/>
      <w:lvlText w:val="%1.%2"/>
      <w:lvlJc w:val="left"/>
      <w:pPr>
        <w:ind w:left="1232" w:hanging="332"/>
        <w:jc w:val="left"/>
      </w:pPr>
      <w:rPr>
        <w:rFonts w:hint="default"/>
        <w:spacing w:val="-3"/>
        <w:w w:val="99"/>
        <w:u w:val="single" w:color="000000"/>
        <w:lang w:val="es-ES" w:eastAsia="es-ES" w:bidi="es-ES"/>
      </w:rPr>
    </w:lvl>
    <w:lvl w:ilvl="2">
      <w:start w:val="0"/>
      <w:numFmt w:val="bullet"/>
      <w:lvlText w:val="•"/>
      <w:lvlJc w:val="left"/>
      <w:pPr>
        <w:ind w:left="3304" w:hanging="332"/>
      </w:pPr>
      <w:rPr>
        <w:rFonts w:hint="default"/>
        <w:lang w:val="es-ES" w:eastAsia="es-ES" w:bidi="es-ES"/>
      </w:rPr>
    </w:lvl>
    <w:lvl w:ilvl="3">
      <w:start w:val="0"/>
      <w:numFmt w:val="bullet"/>
      <w:lvlText w:val="•"/>
      <w:lvlJc w:val="left"/>
      <w:pPr>
        <w:ind w:left="4336" w:hanging="332"/>
      </w:pPr>
      <w:rPr>
        <w:rFonts w:hint="default"/>
        <w:lang w:val="es-ES" w:eastAsia="es-ES" w:bidi="es-ES"/>
      </w:rPr>
    </w:lvl>
    <w:lvl w:ilvl="4">
      <w:start w:val="0"/>
      <w:numFmt w:val="bullet"/>
      <w:lvlText w:val="•"/>
      <w:lvlJc w:val="left"/>
      <w:pPr>
        <w:ind w:left="5368" w:hanging="332"/>
      </w:pPr>
      <w:rPr>
        <w:rFonts w:hint="default"/>
        <w:lang w:val="es-ES" w:eastAsia="es-ES" w:bidi="es-ES"/>
      </w:rPr>
    </w:lvl>
    <w:lvl w:ilvl="5">
      <w:start w:val="0"/>
      <w:numFmt w:val="bullet"/>
      <w:lvlText w:val="•"/>
      <w:lvlJc w:val="left"/>
      <w:pPr>
        <w:ind w:left="6400" w:hanging="332"/>
      </w:pPr>
      <w:rPr>
        <w:rFonts w:hint="default"/>
        <w:lang w:val="es-ES" w:eastAsia="es-ES" w:bidi="es-ES"/>
      </w:rPr>
    </w:lvl>
    <w:lvl w:ilvl="6">
      <w:start w:val="0"/>
      <w:numFmt w:val="bullet"/>
      <w:lvlText w:val="•"/>
      <w:lvlJc w:val="left"/>
      <w:pPr>
        <w:ind w:left="7432" w:hanging="332"/>
      </w:pPr>
      <w:rPr>
        <w:rFonts w:hint="default"/>
        <w:lang w:val="es-ES" w:eastAsia="es-ES" w:bidi="es-ES"/>
      </w:rPr>
    </w:lvl>
    <w:lvl w:ilvl="7">
      <w:start w:val="0"/>
      <w:numFmt w:val="bullet"/>
      <w:lvlText w:val="•"/>
      <w:lvlJc w:val="left"/>
      <w:pPr>
        <w:ind w:left="8464" w:hanging="332"/>
      </w:pPr>
      <w:rPr>
        <w:rFonts w:hint="default"/>
        <w:lang w:val="es-ES" w:eastAsia="es-ES" w:bidi="es-ES"/>
      </w:rPr>
    </w:lvl>
    <w:lvl w:ilvl="8">
      <w:start w:val="0"/>
      <w:numFmt w:val="bullet"/>
      <w:lvlText w:val="•"/>
      <w:lvlJc w:val="left"/>
      <w:pPr>
        <w:ind w:left="9496" w:hanging="332"/>
      </w:pPr>
      <w:rPr>
        <w:rFonts w:hint="default"/>
        <w:lang w:val="es-ES" w:eastAsia="es-ES" w:bidi="es-ES"/>
      </w:rPr>
    </w:lvl>
  </w:abstractNum>
  <w:abstractNum w:abstractNumId="0">
    <w:multiLevelType w:val="hybridMultilevel"/>
    <w:lvl w:ilvl="0">
      <w:start w:val="1"/>
      <w:numFmt w:val="decimal"/>
      <w:lvlText w:val="%1."/>
      <w:lvlJc w:val="left"/>
      <w:pPr>
        <w:ind w:left="1122" w:hanging="221"/>
        <w:jc w:val="left"/>
      </w:pPr>
      <w:rPr>
        <w:rFonts w:hint="default"/>
        <w:w w:val="99"/>
        <w:u w:val="single" w:color="000000"/>
        <w:lang w:val="es-ES" w:eastAsia="es-ES" w:bidi="es-ES"/>
      </w:rPr>
    </w:lvl>
    <w:lvl w:ilvl="1">
      <w:start w:val="1"/>
      <w:numFmt w:val="decimal"/>
      <w:lvlText w:val="%1.%2"/>
      <w:lvlJc w:val="left"/>
      <w:pPr>
        <w:ind w:left="1222" w:hanging="322"/>
        <w:jc w:val="left"/>
      </w:pPr>
      <w:rPr>
        <w:rFonts w:hint="default" w:ascii="Century Gothic" w:hAnsi="Century Gothic" w:eastAsia="Century Gothic" w:cs="Century Gothic"/>
        <w:spacing w:val="-3"/>
        <w:w w:val="99"/>
        <w:sz w:val="20"/>
        <w:szCs w:val="20"/>
        <w:lang w:val="es-ES" w:eastAsia="es-ES" w:bidi="es-ES"/>
      </w:rPr>
    </w:lvl>
    <w:lvl w:ilvl="2">
      <w:start w:val="0"/>
      <w:numFmt w:val="bullet"/>
      <w:lvlText w:val="•"/>
      <w:lvlJc w:val="left"/>
      <w:pPr>
        <w:ind w:left="2368" w:hanging="322"/>
      </w:pPr>
      <w:rPr>
        <w:rFonts w:hint="default"/>
        <w:lang w:val="es-ES" w:eastAsia="es-ES" w:bidi="es-ES"/>
      </w:rPr>
    </w:lvl>
    <w:lvl w:ilvl="3">
      <w:start w:val="0"/>
      <w:numFmt w:val="bullet"/>
      <w:lvlText w:val="•"/>
      <w:lvlJc w:val="left"/>
      <w:pPr>
        <w:ind w:left="3517" w:hanging="322"/>
      </w:pPr>
      <w:rPr>
        <w:rFonts w:hint="default"/>
        <w:lang w:val="es-ES" w:eastAsia="es-ES" w:bidi="es-ES"/>
      </w:rPr>
    </w:lvl>
    <w:lvl w:ilvl="4">
      <w:start w:val="0"/>
      <w:numFmt w:val="bullet"/>
      <w:lvlText w:val="•"/>
      <w:lvlJc w:val="left"/>
      <w:pPr>
        <w:ind w:left="4666" w:hanging="322"/>
      </w:pPr>
      <w:rPr>
        <w:rFonts w:hint="default"/>
        <w:lang w:val="es-ES" w:eastAsia="es-ES" w:bidi="es-ES"/>
      </w:rPr>
    </w:lvl>
    <w:lvl w:ilvl="5">
      <w:start w:val="0"/>
      <w:numFmt w:val="bullet"/>
      <w:lvlText w:val="•"/>
      <w:lvlJc w:val="left"/>
      <w:pPr>
        <w:ind w:left="5815" w:hanging="322"/>
      </w:pPr>
      <w:rPr>
        <w:rFonts w:hint="default"/>
        <w:lang w:val="es-ES" w:eastAsia="es-ES" w:bidi="es-ES"/>
      </w:rPr>
    </w:lvl>
    <w:lvl w:ilvl="6">
      <w:start w:val="0"/>
      <w:numFmt w:val="bullet"/>
      <w:lvlText w:val="•"/>
      <w:lvlJc w:val="left"/>
      <w:pPr>
        <w:ind w:left="6964" w:hanging="322"/>
      </w:pPr>
      <w:rPr>
        <w:rFonts w:hint="default"/>
        <w:lang w:val="es-ES" w:eastAsia="es-ES" w:bidi="es-ES"/>
      </w:rPr>
    </w:lvl>
    <w:lvl w:ilvl="7">
      <w:start w:val="0"/>
      <w:numFmt w:val="bullet"/>
      <w:lvlText w:val="•"/>
      <w:lvlJc w:val="left"/>
      <w:pPr>
        <w:ind w:left="8113" w:hanging="322"/>
      </w:pPr>
      <w:rPr>
        <w:rFonts w:hint="default"/>
        <w:lang w:val="es-ES" w:eastAsia="es-ES" w:bidi="es-ES"/>
      </w:rPr>
    </w:lvl>
    <w:lvl w:ilvl="8">
      <w:start w:val="0"/>
      <w:numFmt w:val="bullet"/>
      <w:lvlText w:val="•"/>
      <w:lvlJc w:val="left"/>
      <w:pPr>
        <w:ind w:left="9262" w:hanging="322"/>
      </w:pPr>
      <w:rPr>
        <w:rFonts w:hint="default"/>
        <w:lang w:val="es-ES" w:eastAsia="es-ES" w:bidi="es-ES"/>
      </w:rPr>
    </w:lvl>
  </w:abstractNum>
  <w:num w:numId="58">
    <w:abstractNumId w:val="57"/>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s-ES" w:eastAsia="es-ES" w:bidi="es-ES"/>
    </w:rPr>
  </w:style>
  <w:style w:styleId="TOC1" w:type="paragraph">
    <w:name w:val="TOC 1"/>
    <w:basedOn w:val="Normal"/>
    <w:uiPriority w:val="1"/>
    <w:qFormat/>
    <w:pPr>
      <w:spacing w:before="360"/>
      <w:ind w:left="901"/>
    </w:pPr>
    <w:rPr>
      <w:rFonts w:ascii="Century Gothic" w:hAnsi="Century Gothic" w:eastAsia="Century Gothic" w:cs="Century Gothic"/>
      <w:sz w:val="20"/>
      <w:szCs w:val="20"/>
      <w:u w:val="single" w:color="000000"/>
      <w:lang w:val="es-ES" w:eastAsia="es-ES" w:bidi="es-ES"/>
    </w:rPr>
  </w:style>
  <w:style w:styleId="BodyText" w:type="paragraph">
    <w:name w:val="Body Text"/>
    <w:basedOn w:val="Normal"/>
    <w:uiPriority w:val="1"/>
    <w:qFormat/>
    <w:pPr/>
    <w:rPr>
      <w:rFonts w:ascii="Century Gothic" w:hAnsi="Century Gothic" w:eastAsia="Century Gothic" w:cs="Century Gothic"/>
      <w:sz w:val="22"/>
      <w:szCs w:val="22"/>
      <w:lang w:val="es-ES" w:eastAsia="es-ES" w:bidi="es-ES"/>
    </w:rPr>
  </w:style>
  <w:style w:styleId="Heading1" w:type="paragraph">
    <w:name w:val="Heading 1"/>
    <w:basedOn w:val="Normal"/>
    <w:uiPriority w:val="1"/>
    <w:qFormat/>
    <w:pPr>
      <w:spacing w:before="257"/>
      <w:ind w:left="901"/>
      <w:outlineLvl w:val="1"/>
    </w:pPr>
    <w:rPr>
      <w:rFonts w:ascii="Century Gothic" w:hAnsi="Century Gothic" w:eastAsia="Century Gothic" w:cs="Century Gothic"/>
      <w:sz w:val="40"/>
      <w:szCs w:val="40"/>
      <w:lang w:val="es-ES" w:eastAsia="es-ES" w:bidi="es-ES"/>
    </w:rPr>
  </w:style>
  <w:style w:styleId="Heading2" w:type="paragraph">
    <w:name w:val="Heading 2"/>
    <w:basedOn w:val="Normal"/>
    <w:uiPriority w:val="1"/>
    <w:qFormat/>
    <w:pPr>
      <w:ind w:left="901"/>
      <w:outlineLvl w:val="2"/>
    </w:pPr>
    <w:rPr>
      <w:rFonts w:ascii="Corbel" w:hAnsi="Corbel" w:eastAsia="Corbel" w:cs="Corbel"/>
      <w:b/>
      <w:bCs/>
      <w:sz w:val="24"/>
      <w:szCs w:val="24"/>
      <w:lang w:val="es-ES" w:eastAsia="es-ES" w:bidi="es-ES"/>
    </w:rPr>
  </w:style>
  <w:style w:styleId="Heading3" w:type="paragraph">
    <w:name w:val="Heading 3"/>
    <w:basedOn w:val="Normal"/>
    <w:uiPriority w:val="1"/>
    <w:qFormat/>
    <w:pPr>
      <w:ind w:left="901"/>
      <w:jc w:val="center"/>
      <w:outlineLvl w:val="3"/>
    </w:pPr>
    <w:rPr>
      <w:rFonts w:ascii="Century Gothic" w:hAnsi="Century Gothic" w:eastAsia="Century Gothic" w:cs="Century Gothic"/>
      <w:sz w:val="24"/>
      <w:szCs w:val="24"/>
      <w:lang w:val="es-ES" w:eastAsia="es-ES" w:bidi="es-ES"/>
    </w:rPr>
  </w:style>
  <w:style w:styleId="Heading4" w:type="paragraph">
    <w:name w:val="Heading 4"/>
    <w:basedOn w:val="Normal"/>
    <w:uiPriority w:val="1"/>
    <w:qFormat/>
    <w:pPr>
      <w:ind w:left="901"/>
      <w:outlineLvl w:val="4"/>
    </w:pPr>
    <w:rPr>
      <w:rFonts w:ascii="Century Gothic" w:hAnsi="Century Gothic" w:eastAsia="Century Gothic" w:cs="Century Gothic"/>
      <w:b/>
      <w:bCs/>
      <w:sz w:val="22"/>
      <w:szCs w:val="22"/>
      <w:lang w:val="es-ES" w:eastAsia="es-ES" w:bidi="es-ES"/>
    </w:rPr>
  </w:style>
  <w:style w:styleId="ListParagraph" w:type="paragraph">
    <w:name w:val="List Paragraph"/>
    <w:basedOn w:val="Normal"/>
    <w:uiPriority w:val="1"/>
    <w:qFormat/>
    <w:pPr>
      <w:ind w:left="1621" w:hanging="361"/>
    </w:pPr>
    <w:rPr>
      <w:rFonts w:ascii="Century Gothic" w:hAnsi="Century Gothic" w:eastAsia="Century Gothic" w:cs="Century Gothic"/>
      <w:lang w:val="es-ES" w:eastAsia="es-ES" w:bidi="es-ES"/>
    </w:rPr>
  </w:style>
  <w:style w:styleId="TableParagraph" w:type="paragraph">
    <w:name w:val="Table Paragraph"/>
    <w:basedOn w:val="Normal"/>
    <w:uiPriority w:val="1"/>
    <w:qFormat/>
    <w:pPr/>
    <w:rPr>
      <w:rFonts w:ascii="Century Gothic" w:hAnsi="Century Gothic" w:eastAsia="Century Gothic" w:cs="Century Gothic"/>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4.png"/><Relationship Id="rId8" Type="http://schemas.openxmlformats.org/officeDocument/2006/relationships/image" Target="media/image5.jpe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hyperlink" Target="http://www.cuentame.inegi.org.mx/monografias/informacion/jal/territorio/div_municipal.aspx?tema=me&amp;amp;e=14" TargetMode="External"/><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hyperlink" Target="https://www.jalisco.gob.mx/es/jalisco/municipios/magdalena" TargetMode="External"/><Relationship Id="rId16" Type="http://schemas.openxmlformats.org/officeDocument/2006/relationships/hyperlink" Target="https://es.climate-data.org/america-del-norte/mexico/jalisco/magdalena-872520/" TargetMode="External"/><Relationship Id="rId17" Type="http://schemas.openxmlformats.org/officeDocument/2006/relationships/hyperlink" Target="https://semadet.jalisco.gob.mx/sites/semadet.jalisco.gob.mx/files/programa_estrategico_forestal_del_estado_de_jalisco_2014-2030_20-11-2014.pdf" TargetMode="External"/><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hyperlink" Target="https://iieg.gob.mx/contenido/Municipios/Magdalena.pdf" TargetMode="External"/><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hyperlink" Target="https://iieg.gob.mx/contenido/PoblacionVivienda/11RegionValles2010.pdf" TargetMode="External"/><Relationship Id="rId35" Type="http://schemas.openxmlformats.org/officeDocument/2006/relationships/image" Target="media/image26.jpeg"/><Relationship Id="rId36" Type="http://schemas.openxmlformats.org/officeDocument/2006/relationships/hyperlink" Target="https://www.inegi.org.mx/temas/estructura/" TargetMode="External"/><Relationship Id="rId37" Type="http://schemas.openxmlformats.org/officeDocument/2006/relationships/image" Target="media/image27.jpe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30.jpeg"/><Relationship Id="rId41" Type="http://schemas.openxmlformats.org/officeDocument/2006/relationships/header" Target="header2.xml"/><Relationship Id="rId42" Type="http://schemas.openxmlformats.org/officeDocument/2006/relationships/footer" Target="footer2.xml"/><Relationship Id="rId43" Type="http://schemas.openxmlformats.org/officeDocument/2006/relationships/image" Target="media/image31.png"/><Relationship Id="rId44" Type="http://schemas.openxmlformats.org/officeDocument/2006/relationships/image" Target="media/image3.png"/><Relationship Id="rId45" Type="http://schemas.openxmlformats.org/officeDocument/2006/relationships/footer" Target="footer3.xml"/><Relationship Id="rId46" Type="http://schemas.openxmlformats.org/officeDocument/2006/relationships/image" Target="media/image32.jpeg"/><Relationship Id="rId47" Type="http://schemas.openxmlformats.org/officeDocument/2006/relationships/image" Target="media/image33.jpeg"/><Relationship Id="rId48" Type="http://schemas.openxmlformats.org/officeDocument/2006/relationships/image" Target="media/image34.png"/><Relationship Id="rId49" Type="http://schemas.openxmlformats.org/officeDocument/2006/relationships/footer" Target="footer4.xml"/><Relationship Id="rId50" Type="http://schemas.openxmlformats.org/officeDocument/2006/relationships/image" Target="media/image35.png"/><Relationship Id="rId51" Type="http://schemas.openxmlformats.org/officeDocument/2006/relationships/image" Target="media/image36.png"/><Relationship Id="rId52" Type="http://schemas.openxmlformats.org/officeDocument/2006/relationships/image" Target="media/image37.png"/><Relationship Id="rId53" Type="http://schemas.openxmlformats.org/officeDocument/2006/relationships/image" Target="media/image38.png"/><Relationship Id="rId54" Type="http://schemas.openxmlformats.org/officeDocument/2006/relationships/image" Target="media/image39.png"/><Relationship Id="rId55" Type="http://schemas.openxmlformats.org/officeDocument/2006/relationships/image" Target="media/image40.png"/><Relationship Id="rId56" Type="http://schemas.openxmlformats.org/officeDocument/2006/relationships/image" Target="media/image41.png"/><Relationship Id="rId57" Type="http://schemas.openxmlformats.org/officeDocument/2006/relationships/image" Target="media/image42.png"/><Relationship Id="rId58" Type="http://schemas.openxmlformats.org/officeDocument/2006/relationships/footer" Target="footer5.xml"/><Relationship Id="rId59" Type="http://schemas.openxmlformats.org/officeDocument/2006/relationships/image" Target="media/image43.png"/><Relationship Id="rId60" Type="http://schemas.openxmlformats.org/officeDocument/2006/relationships/image" Target="media/image44.png"/><Relationship Id="rId61" Type="http://schemas.openxmlformats.org/officeDocument/2006/relationships/footer" Target="footer6.xml"/><Relationship Id="rId62" Type="http://schemas.openxmlformats.org/officeDocument/2006/relationships/footer" Target="footer7.xml"/><Relationship Id="rId63" Type="http://schemas.openxmlformats.org/officeDocument/2006/relationships/footer" Target="footer8.xml"/><Relationship Id="rId64" Type="http://schemas.openxmlformats.org/officeDocument/2006/relationships/footer" Target="footer9.xml"/><Relationship Id="rId65" Type="http://schemas.openxmlformats.org/officeDocument/2006/relationships/image" Target="media/image45.png"/><Relationship Id="rId66" Type="http://schemas.openxmlformats.org/officeDocument/2006/relationships/footer" Target="footer10.xml"/><Relationship Id="rId67" Type="http://schemas.openxmlformats.org/officeDocument/2006/relationships/footer" Target="footer11.xml"/><Relationship Id="rId6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10.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3.png"/></Relationships>

</file>

<file path=word/_rels/footer11.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vianney rodriguez vázquez del m.</dc:creator>
  <dcterms:created xsi:type="dcterms:W3CDTF">2021-02-05T16:02:50Z</dcterms:created>
  <dcterms:modified xsi:type="dcterms:W3CDTF">2021-02-05T16:02:50Z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2019-05-31T00:00:00Z</vt:filetime>
  </property>
  <property fmtid="{D5CDD505-2E9C-101B-9397-08002B2CF9AE}" pid="3" name="Creator">
    <vt:lpwstr>Microsoft® Word 2016</vt:lpwstr>
  </property>
  <property fmtid="{D5CDD505-2E9C-101B-9397-08002B2CF9AE}" pid="4" name="LastSaved">
    <vt:filetime>2021-02-05T00:00:00Z</vt:filetime>
  </property>
</Properties>
</file>